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763E" w14:textId="539446FC" w:rsidR="00A71942" w:rsidRDefault="00ED735A" w:rsidP="00667FB1">
      <w:pPr>
        <w:pStyle w:val="Pagedecouverture"/>
        <w:rPr>
          <w:noProof/>
        </w:rPr>
      </w:pPr>
      <w:bookmarkStart w:id="0" w:name="LW_BM_COVERPAGE"/>
      <w:bookmarkStart w:id="1" w:name="_Toc230857883"/>
      <w:bookmarkStart w:id="2" w:name="_Hlk112765103"/>
      <w:r>
        <w:rPr>
          <w:noProof/>
        </w:rPr>
        <w:pict w14:anchorId="38770A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44011CB-F05B-470A-A279-ADAB9B7AF66D" style="width:455.4pt;height:607.8pt">
            <v:imagedata r:id="rId8" o:title=""/>
          </v:shape>
        </w:pict>
      </w:r>
    </w:p>
    <w:bookmarkEnd w:id="0"/>
    <w:p w14:paraId="55086F27" w14:textId="77777777" w:rsidR="00667FB1" w:rsidRDefault="00667FB1" w:rsidP="00667FB1">
      <w:pPr>
        <w:rPr>
          <w:noProof/>
        </w:rPr>
        <w:sectPr w:rsidR="00667FB1" w:rsidSect="00667FB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7A2C742F" w14:textId="13A5A71B" w:rsidR="00A71942" w:rsidRDefault="00A71942" w:rsidP="001A597C">
      <w:pPr>
        <w:pStyle w:val="Pagedecouverture"/>
        <w:rPr>
          <w:noProof/>
        </w:rPr>
      </w:pPr>
    </w:p>
    <w:bookmarkStart w:id="3" w:name="_Toc232611409" w:displacedByCustomXml="next"/>
    <w:bookmarkStart w:id="4" w:name="_Toc232758088" w:displacedByCustomXml="next"/>
    <w:sdt>
      <w:sdtPr>
        <w:rPr>
          <w:rFonts w:asciiTheme="minorHAnsi" w:eastAsia="Calibri" w:hAnsiTheme="minorHAnsi" w:cstheme="minorBidi"/>
          <w:b w:val="0"/>
          <w:i/>
          <w:iCs/>
          <w:caps/>
          <w:smallCaps w:val="0"/>
          <w:noProof/>
          <w:color w:val="242828" w:themeColor="text1"/>
          <w:sz w:val="24"/>
          <w:szCs w:val="24"/>
        </w:rPr>
        <w:id w:val="-796535421"/>
        <w:docPartObj>
          <w:docPartGallery w:val="Table of Contents"/>
          <w:docPartUnique/>
        </w:docPartObj>
      </w:sdtPr>
      <w:sdtEndPr>
        <w:rPr>
          <w:rFonts w:eastAsiaTheme="minorEastAsia"/>
          <w:caps w:val="0"/>
          <w:sz w:val="20"/>
          <w:szCs w:val="20"/>
        </w:rPr>
      </w:sdtEndPr>
      <w:sdtContent>
        <w:p w14:paraId="47223D63" w14:textId="77777777" w:rsidR="00DA44A2" w:rsidRPr="003B24BC" w:rsidRDefault="00A71942" w:rsidP="00E276C8">
          <w:pPr>
            <w:pStyle w:val="Heading1COM"/>
            <w:numPr>
              <w:ilvl w:val="0"/>
              <w:numId w:val="0"/>
            </w:numPr>
            <w:spacing w:before="120" w:after="120" w:line="240" w:lineRule="auto"/>
            <w:ind w:left="360" w:hanging="360"/>
            <w:jc w:val="center"/>
            <w:rPr>
              <w:noProof/>
              <w:sz w:val="24"/>
              <w:szCs w:val="24"/>
            </w:rPr>
          </w:pPr>
          <w:r>
            <w:rPr>
              <w:noProof/>
            </w:rPr>
            <w:t>Table of contents</w:t>
          </w:r>
          <w:bookmarkEnd w:id="3"/>
          <w:r w:rsidR="00DA44A2" w:rsidRPr="1FC5E705">
            <w:rPr>
              <w:noProof/>
            </w:rPr>
            <w:fldChar w:fldCharType="begin"/>
          </w:r>
          <w:r>
            <w:rPr>
              <w:noProof/>
            </w:rPr>
            <w:instrText xml:space="preserve"> TOC \o "1-3" \h \z \u </w:instrText>
          </w:r>
          <w:r w:rsidR="00DA44A2" w:rsidRPr="1FC5E705">
            <w:rPr>
              <w:noProof/>
            </w:rPr>
            <w:fldChar w:fldCharType="separate"/>
          </w:r>
        </w:p>
        <w:p w14:paraId="3289DABE" w14:textId="3DC856AA"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089" w:history="1">
            <w:r w:rsidRPr="1FC5E705">
              <w:rPr>
                <w:rStyle w:val="Hyperlink"/>
                <w:rFonts w:cs="Times New Roman"/>
                <w:noProof/>
                <w:sz w:val="24"/>
                <w:szCs w:val="24"/>
              </w:rPr>
              <w:t>Annex 1: Procedural Information</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_Toc232758089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w:t>
            </w:r>
            <w:r w:rsidR="00DA44A2" w:rsidRPr="003B24BC">
              <w:rPr>
                <w:rFonts w:ascii="Times New Roman" w:hAnsi="Times New Roman" w:cs="Times New Roman"/>
                <w:noProof/>
                <w:webHidden/>
                <w:sz w:val="24"/>
                <w:szCs w:val="24"/>
              </w:rPr>
              <w:fldChar w:fldCharType="end"/>
            </w:r>
          </w:hyperlink>
        </w:p>
        <w:p w14:paraId="6D998A08" w14:textId="25318C20"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0"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rPr>
              <w:t>Lead DG, Decide Planning/CWP references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_Toc232758090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w:t>
            </w:r>
            <w:r w:rsidR="00DA44A2" w:rsidRPr="003B24BC">
              <w:rPr>
                <w:rFonts w:ascii="Times New Roman" w:hAnsi="Times New Roman" w:cs="Times New Roman"/>
                <w:noProof/>
                <w:webHidden/>
                <w:sz w:val="24"/>
                <w:szCs w:val="24"/>
              </w:rPr>
              <w:fldChar w:fldCharType="end"/>
            </w:r>
          </w:hyperlink>
        </w:p>
        <w:p w14:paraId="36513B09" w14:textId="38C7C8E6"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1"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rPr>
              <w:t>Organisation and timing</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_Toc232758091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w:t>
            </w:r>
            <w:r w:rsidR="00DA44A2" w:rsidRPr="003B24BC">
              <w:rPr>
                <w:rFonts w:ascii="Times New Roman" w:hAnsi="Times New Roman" w:cs="Times New Roman"/>
                <w:noProof/>
                <w:webHidden/>
                <w:sz w:val="24"/>
                <w:szCs w:val="24"/>
              </w:rPr>
              <w:fldChar w:fldCharType="end"/>
            </w:r>
          </w:hyperlink>
        </w:p>
        <w:p w14:paraId="655291EC" w14:textId="2ABB4011"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2" w:history="1">
            <w:r w:rsidRPr="1FC5E705">
              <w:rPr>
                <w:rStyle w:val="Hyperlink"/>
                <w:rFonts w:cs="Times New Roman"/>
                <w:noProof/>
                <w:sz w:val="24"/>
                <w:szCs w:val="24"/>
              </w:rPr>
              <w:t>3.</w:t>
            </w:r>
            <w:r w:rsidR="00DA44A2">
              <w:rPr>
                <w:noProof/>
              </w:rPr>
              <w:tab/>
            </w:r>
            <w:r w:rsidRPr="1FC5E705">
              <w:rPr>
                <w:rStyle w:val="Hyperlink"/>
                <w:rFonts w:cs="Times New Roman"/>
                <w:noProof/>
                <w:sz w:val="24"/>
                <w:szCs w:val="24"/>
              </w:rPr>
              <w:t>Consultation of the RSB</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_Toc232758092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w:t>
            </w:r>
            <w:r w:rsidR="00DA44A2" w:rsidRPr="003B24BC">
              <w:rPr>
                <w:rFonts w:ascii="Times New Roman" w:hAnsi="Times New Roman" w:cs="Times New Roman"/>
                <w:noProof/>
                <w:webHidden/>
                <w:sz w:val="24"/>
                <w:szCs w:val="24"/>
              </w:rPr>
              <w:fldChar w:fldCharType="end"/>
            </w:r>
          </w:hyperlink>
        </w:p>
        <w:p w14:paraId="2BB4F9C8" w14:textId="30C4FEA8"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3" w:history="1">
            <w:r w:rsidRPr="1FC5E705">
              <w:rPr>
                <w:rStyle w:val="Hyperlink"/>
                <w:rFonts w:cs="Times New Roman"/>
                <w:noProof/>
                <w:sz w:val="24"/>
                <w:szCs w:val="24"/>
              </w:rPr>
              <w:t>4.</w:t>
            </w:r>
            <w:r w:rsidR="00DA44A2">
              <w:rPr>
                <w:noProof/>
              </w:rPr>
              <w:tab/>
            </w:r>
            <w:r w:rsidRPr="1FC5E705">
              <w:rPr>
                <w:rStyle w:val="Hyperlink"/>
                <w:rFonts w:cs="Times New Roman"/>
                <w:noProof/>
                <w:sz w:val="24"/>
                <w:szCs w:val="24"/>
              </w:rPr>
              <w:t>Evidence, sources and quality</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_Toc232758093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8</w:t>
            </w:r>
            <w:r w:rsidR="00DA44A2" w:rsidRPr="003B24BC">
              <w:rPr>
                <w:rFonts w:ascii="Times New Roman" w:hAnsi="Times New Roman" w:cs="Times New Roman"/>
                <w:noProof/>
                <w:webHidden/>
                <w:sz w:val="24"/>
                <w:szCs w:val="24"/>
              </w:rPr>
              <w:fldChar w:fldCharType="end"/>
            </w:r>
          </w:hyperlink>
        </w:p>
        <w:p w14:paraId="58DF2879" w14:textId="732963B2"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094" w:history="1">
            <w:r w:rsidRPr="1FC5E705">
              <w:rPr>
                <w:rStyle w:val="Hyperlink"/>
                <w:rFonts w:cs="Times New Roman"/>
                <w:noProof/>
                <w:sz w:val="24"/>
                <w:szCs w:val="24"/>
              </w:rPr>
              <w:t>Annex 2: Stakeholder consultation (Synopsis report)</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_Toc232758094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w:t>
            </w:r>
            <w:r w:rsidR="00DA44A2" w:rsidRPr="003B24BC">
              <w:rPr>
                <w:rFonts w:ascii="Times New Roman" w:hAnsi="Times New Roman" w:cs="Times New Roman"/>
                <w:noProof/>
                <w:webHidden/>
                <w:sz w:val="24"/>
                <w:szCs w:val="24"/>
              </w:rPr>
              <w:fldChar w:fldCharType="end"/>
            </w:r>
          </w:hyperlink>
        </w:p>
        <w:p w14:paraId="04209A5A" w14:textId="4C94F2E4"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5"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rPr>
              <w:t>Introduction</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_Toc232758095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w:t>
            </w:r>
            <w:r w:rsidR="00DA44A2" w:rsidRPr="003B24BC">
              <w:rPr>
                <w:rFonts w:ascii="Times New Roman" w:hAnsi="Times New Roman" w:cs="Times New Roman"/>
                <w:noProof/>
                <w:webHidden/>
                <w:sz w:val="24"/>
                <w:szCs w:val="24"/>
              </w:rPr>
              <w:fldChar w:fldCharType="end"/>
            </w:r>
          </w:hyperlink>
        </w:p>
        <w:p w14:paraId="71CE33DA" w14:textId="0FE4333B"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6"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rPr>
              <w:t>Methodology for data processing</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_Toc232758096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10</w:t>
            </w:r>
            <w:r w:rsidR="00DA44A2" w:rsidRPr="003B24BC">
              <w:rPr>
                <w:rFonts w:ascii="Times New Roman" w:hAnsi="Times New Roman" w:cs="Times New Roman"/>
                <w:noProof/>
                <w:webHidden/>
                <w:sz w:val="24"/>
                <w:szCs w:val="24"/>
              </w:rPr>
              <w:fldChar w:fldCharType="end"/>
            </w:r>
          </w:hyperlink>
        </w:p>
        <w:p w14:paraId="0EA82523" w14:textId="5E7E770C"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097" w:history="1">
            <w:r w:rsidRPr="1FC5E705">
              <w:rPr>
                <w:rStyle w:val="Hyperlink"/>
                <w:rFonts w:cs="Times New Roman"/>
                <w:noProof/>
                <w:sz w:val="24"/>
                <w:szCs w:val="24"/>
              </w:rPr>
              <w:t>3.</w:t>
            </w:r>
            <w:r w:rsidR="00DA44A2">
              <w:rPr>
                <w:noProof/>
              </w:rPr>
              <w:tab/>
            </w:r>
            <w:r w:rsidRPr="1FC5E705">
              <w:rPr>
                <w:rStyle w:val="Hyperlink"/>
                <w:rFonts w:cs="Times New Roman"/>
                <w:noProof/>
                <w:sz w:val="24"/>
                <w:szCs w:val="24"/>
              </w:rPr>
              <w:t>Results of the open public consultation</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_Toc232758097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11</w:t>
            </w:r>
            <w:r w:rsidR="00DA44A2" w:rsidRPr="003B24BC">
              <w:rPr>
                <w:rFonts w:ascii="Times New Roman" w:hAnsi="Times New Roman" w:cs="Times New Roman"/>
                <w:noProof/>
                <w:webHidden/>
                <w:sz w:val="24"/>
                <w:szCs w:val="24"/>
              </w:rPr>
              <w:fldChar w:fldCharType="end"/>
            </w:r>
          </w:hyperlink>
        </w:p>
        <w:p w14:paraId="63A57BC4" w14:textId="4CF1EBE7"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098" w:history="1">
            <w:r w:rsidRPr="1FC5E705">
              <w:rPr>
                <w:rStyle w:val="Hyperlink"/>
                <w:rFonts w:cs="Times New Roman"/>
                <w:i w:val="0"/>
                <w:iCs w:val="0"/>
                <w:noProof/>
                <w:sz w:val="24"/>
                <w:szCs w:val="24"/>
              </w:rPr>
              <w:t>3.1.</w:t>
            </w:r>
            <w:r w:rsidR="00DA44A2">
              <w:rPr>
                <w:noProof/>
              </w:rPr>
              <w:tab/>
            </w:r>
            <w:r w:rsidRPr="1FC5E705">
              <w:rPr>
                <w:rStyle w:val="Hyperlink"/>
                <w:rFonts w:cs="Times New Roman"/>
                <w:i w:val="0"/>
                <w:iCs w:val="0"/>
                <w:noProof/>
                <w:sz w:val="24"/>
                <w:szCs w:val="24"/>
              </w:rPr>
              <w:t>Overview of participants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_Toc232758098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w:t>
            </w:r>
            <w:r w:rsidR="00DA44A2" w:rsidRPr="1FC5E705">
              <w:rPr>
                <w:rFonts w:ascii="Times New Roman" w:hAnsi="Times New Roman" w:cs="Times New Roman"/>
                <w:i w:val="0"/>
                <w:iCs w:val="0"/>
                <w:noProof/>
                <w:webHidden/>
                <w:sz w:val="24"/>
                <w:szCs w:val="24"/>
              </w:rPr>
              <w:fldChar w:fldCharType="end"/>
            </w:r>
          </w:hyperlink>
        </w:p>
        <w:p w14:paraId="5E89F60D" w14:textId="41365563"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099" w:history="1">
            <w:r w:rsidRPr="1FC5E705">
              <w:rPr>
                <w:rStyle w:val="Hyperlink"/>
                <w:rFonts w:cs="Times New Roman"/>
                <w:i w:val="0"/>
                <w:iCs w:val="0"/>
                <w:smallCaps/>
                <w:noProof/>
                <w:sz w:val="24"/>
                <w:szCs w:val="24"/>
              </w:rPr>
              <w:t>3.2.</w:t>
            </w:r>
            <w:r w:rsidR="00DA44A2">
              <w:rPr>
                <w:noProof/>
              </w:rPr>
              <w:tab/>
            </w:r>
            <w:r w:rsidRPr="1FC5E705">
              <w:rPr>
                <w:rStyle w:val="Hyperlink"/>
                <w:rFonts w:cs="Times New Roman"/>
                <w:i w:val="0"/>
                <w:iCs w:val="0"/>
                <w:noProof/>
                <w:sz w:val="24"/>
                <w:szCs w:val="24"/>
              </w:rPr>
              <w:t>Evaluation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_Toc232758099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w:t>
            </w:r>
            <w:r w:rsidR="00DA44A2" w:rsidRPr="1FC5E705">
              <w:rPr>
                <w:rFonts w:ascii="Times New Roman" w:hAnsi="Times New Roman" w:cs="Times New Roman"/>
                <w:i w:val="0"/>
                <w:iCs w:val="0"/>
                <w:noProof/>
                <w:webHidden/>
                <w:sz w:val="24"/>
                <w:szCs w:val="24"/>
              </w:rPr>
              <w:fldChar w:fldCharType="end"/>
            </w:r>
          </w:hyperlink>
        </w:p>
        <w:p w14:paraId="6DB1477B" w14:textId="7C02CA34"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0" w:history="1">
            <w:r w:rsidRPr="1FC5E705">
              <w:rPr>
                <w:rStyle w:val="Hyperlink"/>
                <w:rFonts w:eastAsia="Aptos" w:cs="Times New Roman"/>
                <w:i w:val="0"/>
                <w:iCs w:val="0"/>
                <w:smallCaps/>
                <w:noProof/>
                <w:sz w:val="24"/>
                <w:szCs w:val="24"/>
              </w:rPr>
              <w:t>3.2.1.</w:t>
            </w:r>
            <w:r w:rsidR="00DA44A2">
              <w:rPr>
                <w:noProof/>
              </w:rPr>
              <w:tab/>
            </w:r>
            <w:r w:rsidRPr="1FC5E705">
              <w:rPr>
                <w:rStyle w:val="Hyperlink"/>
                <w:rFonts w:cs="Times New Roman"/>
                <w:i w:val="0"/>
                <w:iCs w:val="0"/>
                <w:noProof/>
                <w:sz w:val="24"/>
                <w:szCs w:val="24"/>
              </w:rPr>
              <w:t>Effectiveness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w:t>
            </w:r>
            <w:r w:rsidR="00DA44A2" w:rsidRPr="1FC5E705">
              <w:rPr>
                <w:rFonts w:ascii="Times New Roman" w:hAnsi="Times New Roman" w:cs="Times New Roman"/>
                <w:i w:val="0"/>
                <w:iCs w:val="0"/>
                <w:noProof/>
                <w:webHidden/>
                <w:sz w:val="24"/>
                <w:szCs w:val="24"/>
              </w:rPr>
              <w:fldChar w:fldCharType="end"/>
            </w:r>
          </w:hyperlink>
        </w:p>
        <w:p w14:paraId="45103611" w14:textId="73148473"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1" w:history="1">
            <w:r w:rsidRPr="1FC5E705">
              <w:rPr>
                <w:rStyle w:val="Hyperlink"/>
                <w:rFonts w:cs="Times New Roman"/>
                <w:i w:val="0"/>
                <w:iCs w:val="0"/>
                <w:noProof/>
                <w:sz w:val="24"/>
                <w:szCs w:val="24"/>
              </w:rPr>
              <w:t>3.2.2.</w:t>
            </w:r>
            <w:r w:rsidR="00DA44A2">
              <w:rPr>
                <w:noProof/>
              </w:rPr>
              <w:tab/>
            </w:r>
            <w:r w:rsidRPr="1FC5E705">
              <w:rPr>
                <w:rStyle w:val="Hyperlink"/>
                <w:rFonts w:cs="Times New Roman"/>
                <w:i w:val="0"/>
                <w:iCs w:val="0"/>
                <w:noProof/>
                <w:sz w:val="24"/>
                <w:szCs w:val="24"/>
              </w:rPr>
              <w:t>Cost-efficiency</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w:t>
            </w:r>
            <w:r w:rsidR="00DA44A2" w:rsidRPr="1FC5E705">
              <w:rPr>
                <w:rFonts w:ascii="Times New Roman" w:hAnsi="Times New Roman" w:cs="Times New Roman"/>
                <w:i w:val="0"/>
                <w:iCs w:val="0"/>
                <w:noProof/>
                <w:webHidden/>
                <w:sz w:val="24"/>
                <w:szCs w:val="24"/>
              </w:rPr>
              <w:fldChar w:fldCharType="end"/>
            </w:r>
          </w:hyperlink>
        </w:p>
        <w:p w14:paraId="19F6F1BC" w14:textId="428459B2"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2" w:history="1">
            <w:r w:rsidRPr="1FC5E705">
              <w:rPr>
                <w:rStyle w:val="Hyperlink"/>
                <w:rFonts w:cs="Times New Roman"/>
                <w:i w:val="0"/>
                <w:iCs w:val="0"/>
                <w:noProof/>
                <w:sz w:val="24"/>
                <w:szCs w:val="24"/>
              </w:rPr>
              <w:t>3.2.3.</w:t>
            </w:r>
            <w:r w:rsidR="00DA44A2">
              <w:rPr>
                <w:noProof/>
              </w:rPr>
              <w:tab/>
            </w:r>
            <w:r w:rsidRPr="1FC5E705">
              <w:rPr>
                <w:rStyle w:val="Hyperlink"/>
                <w:rFonts w:cs="Times New Roman"/>
                <w:i w:val="0"/>
                <w:iCs w:val="0"/>
                <w:noProof/>
                <w:sz w:val="24"/>
                <w:szCs w:val="24"/>
              </w:rPr>
              <w:t>Relevance and added value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w:t>
            </w:r>
            <w:r w:rsidR="00DA44A2" w:rsidRPr="1FC5E705">
              <w:rPr>
                <w:rFonts w:ascii="Times New Roman" w:hAnsi="Times New Roman" w:cs="Times New Roman"/>
                <w:i w:val="0"/>
                <w:iCs w:val="0"/>
                <w:noProof/>
                <w:webHidden/>
                <w:sz w:val="24"/>
                <w:szCs w:val="24"/>
              </w:rPr>
              <w:fldChar w:fldCharType="end"/>
            </w:r>
          </w:hyperlink>
        </w:p>
        <w:p w14:paraId="31A47EAF" w14:textId="4141333D"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3" w:history="1">
            <w:r w:rsidRPr="1FC5E705">
              <w:rPr>
                <w:rStyle w:val="Hyperlink"/>
                <w:rFonts w:cs="Times New Roman"/>
                <w:i w:val="0"/>
                <w:iCs w:val="0"/>
                <w:noProof/>
                <w:sz w:val="24"/>
                <w:szCs w:val="24"/>
              </w:rPr>
              <w:t>3.2.4.</w:t>
            </w:r>
            <w:r w:rsidR="00DA44A2">
              <w:rPr>
                <w:noProof/>
              </w:rPr>
              <w:tab/>
            </w:r>
            <w:r w:rsidRPr="1FC5E705">
              <w:rPr>
                <w:rStyle w:val="Hyperlink"/>
                <w:rFonts w:cs="Times New Roman"/>
                <w:i w:val="0"/>
                <w:iCs w:val="0"/>
                <w:noProof/>
                <w:sz w:val="24"/>
                <w:szCs w:val="24"/>
              </w:rPr>
              <w:t>Simplification and coherence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13</w:t>
            </w:r>
            <w:r w:rsidR="00DA44A2" w:rsidRPr="1FC5E705">
              <w:rPr>
                <w:rFonts w:ascii="Times New Roman" w:hAnsi="Times New Roman" w:cs="Times New Roman"/>
                <w:i w:val="0"/>
                <w:iCs w:val="0"/>
                <w:noProof/>
                <w:webHidden/>
                <w:sz w:val="24"/>
                <w:szCs w:val="24"/>
              </w:rPr>
              <w:fldChar w:fldCharType="end"/>
            </w:r>
          </w:hyperlink>
        </w:p>
        <w:p w14:paraId="0E9CBAB2" w14:textId="410CBB46"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4" w:history="1">
            <w:r w:rsidRPr="1FC5E705">
              <w:rPr>
                <w:rStyle w:val="Hyperlink"/>
                <w:rFonts w:cs="Times New Roman"/>
                <w:i w:val="0"/>
                <w:iCs w:val="0"/>
                <w:noProof/>
                <w:sz w:val="24"/>
                <w:szCs w:val="24"/>
              </w:rPr>
              <w:t>3.3.</w:t>
            </w:r>
            <w:r w:rsidR="00DA44A2">
              <w:rPr>
                <w:noProof/>
              </w:rPr>
              <w:tab/>
            </w:r>
            <w:r w:rsidRPr="1FC5E705">
              <w:rPr>
                <w:rStyle w:val="Hyperlink"/>
                <w:rFonts w:cs="Times New Roman"/>
                <w:i w:val="0"/>
                <w:iCs w:val="0"/>
                <w:noProof/>
                <w:sz w:val="24"/>
                <w:szCs w:val="24"/>
              </w:rPr>
              <w:t>Impact assessment</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14</w:t>
            </w:r>
            <w:r w:rsidR="00DA44A2" w:rsidRPr="1FC5E705">
              <w:rPr>
                <w:rFonts w:ascii="Times New Roman" w:hAnsi="Times New Roman" w:cs="Times New Roman"/>
                <w:i w:val="0"/>
                <w:iCs w:val="0"/>
                <w:noProof/>
                <w:webHidden/>
                <w:sz w:val="24"/>
                <w:szCs w:val="24"/>
              </w:rPr>
              <w:fldChar w:fldCharType="end"/>
            </w:r>
          </w:hyperlink>
        </w:p>
        <w:p w14:paraId="2DB2FE34" w14:textId="00B74D75"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05" w:history="1">
            <w:r w:rsidRPr="1FC5E705">
              <w:rPr>
                <w:rStyle w:val="Hyperlink"/>
                <w:rFonts w:cs="Times New Roman"/>
                <w:i w:val="0"/>
                <w:iCs w:val="0"/>
                <w:noProof/>
                <w:sz w:val="24"/>
                <w:szCs w:val="24"/>
              </w:rPr>
              <w:t>3.3.1.</w:t>
            </w:r>
            <w:r w:rsidR="00DA44A2">
              <w:rPr>
                <w:noProof/>
              </w:rPr>
              <w:tab/>
            </w:r>
            <w:r w:rsidRPr="1FC5E705">
              <w:rPr>
                <w:rStyle w:val="Hyperlink"/>
                <w:rFonts w:cs="Times New Roman"/>
                <w:i w:val="0"/>
                <w:iCs w:val="0"/>
                <w:noProof/>
                <w:sz w:val="24"/>
                <w:szCs w:val="24"/>
              </w:rPr>
              <w:t>Aviation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_Toc232758105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14</w:t>
            </w:r>
            <w:r w:rsidR="00DA44A2" w:rsidRPr="1FC5E705">
              <w:rPr>
                <w:rFonts w:ascii="Times New Roman" w:hAnsi="Times New Roman" w:cs="Times New Roman"/>
                <w:i w:val="0"/>
                <w:iCs w:val="0"/>
                <w:noProof/>
                <w:webHidden/>
                <w:sz w:val="24"/>
                <w:szCs w:val="24"/>
              </w:rPr>
              <w:fldChar w:fldCharType="end"/>
            </w:r>
          </w:hyperlink>
        </w:p>
        <w:p w14:paraId="520E68AA" w14:textId="13E67ED0"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14" w:history="1">
            <w:r w:rsidRPr="1FC5E705">
              <w:rPr>
                <w:rStyle w:val="Hyperlink"/>
                <w:rFonts w:cs="Times New Roman"/>
                <w:i w:val="0"/>
                <w:iCs w:val="0"/>
                <w:noProof/>
                <w:sz w:val="24"/>
                <w:szCs w:val="24"/>
              </w:rPr>
              <w:t>3.3.3.</w:t>
            </w:r>
            <w:r w:rsidR="00DA44A2">
              <w:rPr>
                <w:noProof/>
              </w:rPr>
              <w:tab/>
            </w:r>
            <w:r w:rsidRPr="1FC5E705">
              <w:rPr>
                <w:rStyle w:val="Hyperlink"/>
                <w:rFonts w:cs="Times New Roman"/>
                <w:i w:val="0"/>
                <w:iCs w:val="0"/>
                <w:noProof/>
                <w:sz w:val="24"/>
                <w:szCs w:val="24"/>
              </w:rPr>
              <w:t>Measures to address the risk of carbon leakage for emissions not covered by CBAM sectors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_Toc232758114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18</w:t>
            </w:r>
            <w:r w:rsidR="00DA44A2" w:rsidRPr="1FC5E705">
              <w:rPr>
                <w:rFonts w:ascii="Times New Roman" w:hAnsi="Times New Roman" w:cs="Times New Roman"/>
                <w:i w:val="0"/>
                <w:iCs w:val="0"/>
                <w:noProof/>
                <w:webHidden/>
                <w:sz w:val="24"/>
                <w:szCs w:val="24"/>
              </w:rPr>
              <w:fldChar w:fldCharType="end"/>
            </w:r>
          </w:hyperlink>
        </w:p>
        <w:p w14:paraId="34A2DDD3" w14:textId="05D1825E"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17" w:history="1">
            <w:r w:rsidRPr="1FC5E705">
              <w:rPr>
                <w:rStyle w:val="Hyperlink"/>
                <w:rFonts w:cs="Times New Roman"/>
                <w:i w:val="0"/>
                <w:iCs w:val="0"/>
                <w:noProof/>
                <w:sz w:val="24"/>
                <w:szCs w:val="24"/>
              </w:rPr>
              <w:t>3.3.4.</w:t>
            </w:r>
            <w:r w:rsidR="00DA44A2">
              <w:rPr>
                <w:noProof/>
              </w:rPr>
              <w:tab/>
            </w:r>
            <w:r w:rsidRPr="1FC5E705">
              <w:rPr>
                <w:rStyle w:val="Hyperlink"/>
                <w:rFonts w:cs="Times New Roman"/>
                <w:i w:val="0"/>
                <w:iCs w:val="0"/>
                <w:noProof/>
                <w:sz w:val="24"/>
                <w:szCs w:val="24"/>
              </w:rPr>
              <w:t>Revenue use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_Toc232758117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19</w:t>
            </w:r>
            <w:r w:rsidR="00DA44A2" w:rsidRPr="1FC5E705">
              <w:rPr>
                <w:rFonts w:ascii="Times New Roman" w:hAnsi="Times New Roman" w:cs="Times New Roman"/>
                <w:i w:val="0"/>
                <w:iCs w:val="0"/>
                <w:noProof/>
                <w:webHidden/>
                <w:sz w:val="24"/>
                <w:szCs w:val="24"/>
              </w:rPr>
              <w:fldChar w:fldCharType="end"/>
            </w:r>
          </w:hyperlink>
        </w:p>
        <w:p w14:paraId="6724B893" w14:textId="04E6B227"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18" w:history="1">
            <w:r w:rsidRPr="1FC5E705">
              <w:rPr>
                <w:rStyle w:val="Hyperlink"/>
                <w:rFonts w:cs="Times New Roman"/>
                <w:i w:val="0"/>
                <w:iCs w:val="0"/>
                <w:noProof/>
                <w:sz w:val="24"/>
                <w:szCs w:val="24"/>
              </w:rPr>
              <w:t>3.3.5.</w:t>
            </w:r>
            <w:r w:rsidR="00DA44A2">
              <w:rPr>
                <w:noProof/>
              </w:rPr>
              <w:tab/>
            </w:r>
            <w:r w:rsidRPr="1FC5E705">
              <w:rPr>
                <w:rStyle w:val="Hyperlink"/>
                <w:rFonts w:cs="Times New Roman"/>
                <w:i w:val="0"/>
                <w:iCs w:val="0"/>
                <w:noProof/>
                <w:sz w:val="24"/>
                <w:szCs w:val="24"/>
              </w:rPr>
              <w:t>Industrial decarbonisation support</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_Toc232758118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20</w:t>
            </w:r>
            <w:r w:rsidR="00DA44A2" w:rsidRPr="1FC5E705">
              <w:rPr>
                <w:rFonts w:ascii="Times New Roman" w:hAnsi="Times New Roman" w:cs="Times New Roman"/>
                <w:i w:val="0"/>
                <w:iCs w:val="0"/>
                <w:noProof/>
                <w:webHidden/>
                <w:sz w:val="24"/>
                <w:szCs w:val="24"/>
              </w:rPr>
              <w:fldChar w:fldCharType="end"/>
            </w:r>
          </w:hyperlink>
        </w:p>
        <w:p w14:paraId="06C9BFD7" w14:textId="0779FBFE"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19" w:history="1">
            <w:r w:rsidRPr="1FC5E705">
              <w:rPr>
                <w:rStyle w:val="Hyperlink"/>
                <w:rFonts w:cs="Times New Roman"/>
                <w:i w:val="0"/>
                <w:iCs w:val="0"/>
                <w:noProof/>
                <w:sz w:val="24"/>
                <w:szCs w:val="24"/>
              </w:rPr>
              <w:t>3.3.6.</w:t>
            </w:r>
            <w:r w:rsidR="00DA44A2">
              <w:rPr>
                <w:noProof/>
              </w:rPr>
              <w:tab/>
            </w:r>
            <w:r w:rsidRPr="1FC5E705">
              <w:rPr>
                <w:rStyle w:val="Hyperlink"/>
                <w:rFonts w:cs="Times New Roman"/>
                <w:i w:val="0"/>
                <w:iCs w:val="0"/>
                <w:noProof/>
                <w:sz w:val="24"/>
                <w:szCs w:val="24"/>
              </w:rPr>
              <w:t>Market Stability Reserve (MSR)</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_Toc232758119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21</w:t>
            </w:r>
            <w:r w:rsidR="00DA44A2" w:rsidRPr="1FC5E705">
              <w:rPr>
                <w:rFonts w:ascii="Times New Roman" w:hAnsi="Times New Roman" w:cs="Times New Roman"/>
                <w:i w:val="0"/>
                <w:iCs w:val="0"/>
                <w:noProof/>
                <w:webHidden/>
                <w:sz w:val="24"/>
                <w:szCs w:val="24"/>
              </w:rPr>
              <w:fldChar w:fldCharType="end"/>
            </w:r>
          </w:hyperlink>
        </w:p>
        <w:p w14:paraId="04D145D2" w14:textId="4005C612"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0" w:history="1">
            <w:r w:rsidRPr="1FC5E705">
              <w:rPr>
                <w:rStyle w:val="Hyperlink"/>
                <w:rFonts w:cs="Times New Roman"/>
                <w:i w:val="0"/>
                <w:iCs w:val="0"/>
                <w:noProof/>
                <w:sz w:val="24"/>
                <w:szCs w:val="24"/>
              </w:rPr>
              <w:t>3.3.7.</w:t>
            </w:r>
            <w:r w:rsidR="00DA44A2">
              <w:rPr>
                <w:noProof/>
              </w:rPr>
              <w:tab/>
            </w:r>
            <w:r w:rsidRPr="1FC5E705">
              <w:rPr>
                <w:rStyle w:val="Hyperlink"/>
                <w:rFonts w:cs="Times New Roman"/>
                <w:i w:val="0"/>
                <w:iCs w:val="0"/>
                <w:noProof/>
                <w:sz w:val="24"/>
                <w:szCs w:val="24"/>
              </w:rPr>
              <w:t>Carbon removals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22</w:t>
            </w:r>
            <w:r w:rsidR="00DA44A2" w:rsidRPr="1FC5E705">
              <w:rPr>
                <w:rFonts w:ascii="Times New Roman" w:hAnsi="Times New Roman" w:cs="Times New Roman"/>
                <w:i w:val="0"/>
                <w:iCs w:val="0"/>
                <w:noProof/>
                <w:webHidden/>
                <w:sz w:val="24"/>
                <w:szCs w:val="24"/>
              </w:rPr>
              <w:fldChar w:fldCharType="end"/>
            </w:r>
          </w:hyperlink>
        </w:p>
        <w:p w14:paraId="6B702AEE" w14:textId="16B91820"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1" w:history="1">
            <w:r w:rsidRPr="1FC5E705">
              <w:rPr>
                <w:rStyle w:val="Hyperlink"/>
                <w:rFonts w:cs="Times New Roman"/>
                <w:i w:val="0"/>
                <w:iCs w:val="0"/>
                <w:noProof/>
                <w:sz w:val="24"/>
                <w:szCs w:val="24"/>
              </w:rPr>
              <w:t>3.3.8.</w:t>
            </w:r>
            <w:r w:rsidR="00DA44A2">
              <w:rPr>
                <w:noProof/>
              </w:rPr>
              <w:tab/>
            </w:r>
            <w:r w:rsidRPr="1FC5E705">
              <w:rPr>
                <w:rStyle w:val="Hyperlink"/>
                <w:rFonts w:cs="Times New Roman"/>
                <w:i w:val="0"/>
                <w:iCs w:val="0"/>
                <w:noProof/>
                <w:sz w:val="24"/>
                <w:szCs w:val="24"/>
              </w:rPr>
              <w:t>CO2 transport</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23</w:t>
            </w:r>
            <w:r w:rsidR="00DA44A2" w:rsidRPr="1FC5E705">
              <w:rPr>
                <w:rFonts w:ascii="Times New Roman" w:hAnsi="Times New Roman" w:cs="Times New Roman"/>
                <w:i w:val="0"/>
                <w:iCs w:val="0"/>
                <w:noProof/>
                <w:webHidden/>
                <w:sz w:val="24"/>
                <w:szCs w:val="24"/>
              </w:rPr>
              <w:fldChar w:fldCharType="end"/>
            </w:r>
          </w:hyperlink>
        </w:p>
        <w:p w14:paraId="492BDBA7" w14:textId="7B06EDB9"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2" w:history="1">
            <w:r w:rsidRPr="1FC5E705">
              <w:rPr>
                <w:rStyle w:val="Hyperlink"/>
                <w:rFonts w:cs="Times New Roman"/>
                <w:i w:val="0"/>
                <w:iCs w:val="0"/>
                <w:noProof/>
                <w:sz w:val="24"/>
                <w:szCs w:val="24"/>
              </w:rPr>
              <w:t>3.3.9.</w:t>
            </w:r>
            <w:r w:rsidR="00DA44A2">
              <w:rPr>
                <w:noProof/>
              </w:rPr>
              <w:tab/>
            </w:r>
            <w:r w:rsidRPr="1FC5E705">
              <w:rPr>
                <w:rStyle w:val="Hyperlink"/>
                <w:rFonts w:cs="Times New Roman"/>
                <w:i w:val="0"/>
                <w:iCs w:val="0"/>
                <w:noProof/>
                <w:sz w:val="24"/>
                <w:szCs w:val="24"/>
              </w:rPr>
              <w:t>CCU</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23</w:t>
            </w:r>
            <w:r w:rsidR="00DA44A2" w:rsidRPr="1FC5E705">
              <w:rPr>
                <w:rFonts w:ascii="Times New Roman" w:hAnsi="Times New Roman" w:cs="Times New Roman"/>
                <w:i w:val="0"/>
                <w:iCs w:val="0"/>
                <w:noProof/>
                <w:webHidden/>
                <w:sz w:val="24"/>
                <w:szCs w:val="24"/>
              </w:rPr>
              <w:fldChar w:fldCharType="end"/>
            </w:r>
          </w:hyperlink>
        </w:p>
        <w:p w14:paraId="329684CA" w14:textId="210C8BB6"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3" w:history="1">
            <w:r w:rsidRPr="1FC5E705">
              <w:rPr>
                <w:rStyle w:val="Hyperlink"/>
                <w:rFonts w:cs="Times New Roman"/>
                <w:i w:val="0"/>
                <w:iCs w:val="0"/>
                <w:noProof/>
                <w:sz w:val="24"/>
                <w:szCs w:val="24"/>
              </w:rPr>
              <w:t>3.3.10.</w:t>
            </w:r>
            <w:r w:rsidR="00DA44A2">
              <w:rPr>
                <w:noProof/>
              </w:rPr>
              <w:tab/>
            </w:r>
            <w:r w:rsidRPr="1FC5E705">
              <w:rPr>
                <w:rStyle w:val="Hyperlink"/>
                <w:rFonts w:cs="Times New Roman"/>
                <w:i w:val="0"/>
                <w:iCs w:val="0"/>
                <w:noProof/>
                <w:sz w:val="24"/>
                <w:szCs w:val="24"/>
              </w:rPr>
              <w:t>Municipal waste incineration (MWI) and other waste management processes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24</w:t>
            </w:r>
            <w:r w:rsidR="00DA44A2" w:rsidRPr="1FC5E705">
              <w:rPr>
                <w:rFonts w:ascii="Times New Roman" w:hAnsi="Times New Roman" w:cs="Times New Roman"/>
                <w:i w:val="0"/>
                <w:iCs w:val="0"/>
                <w:noProof/>
                <w:webHidden/>
                <w:sz w:val="24"/>
                <w:szCs w:val="24"/>
              </w:rPr>
              <w:fldChar w:fldCharType="end"/>
            </w:r>
          </w:hyperlink>
        </w:p>
        <w:p w14:paraId="2FB192A0" w14:textId="6F542F31"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7" w:history="1">
            <w:r w:rsidRPr="1FC5E705">
              <w:rPr>
                <w:rStyle w:val="Hyperlink"/>
                <w:rFonts w:cs="Times New Roman"/>
                <w:i w:val="0"/>
                <w:iCs w:val="0"/>
                <w:noProof/>
                <w:sz w:val="24"/>
                <w:szCs w:val="24"/>
              </w:rPr>
              <w:t>3.3.11.</w:t>
            </w:r>
            <w:r w:rsidR="00DA44A2">
              <w:rPr>
                <w:noProof/>
              </w:rPr>
              <w:tab/>
            </w:r>
            <w:r w:rsidRPr="1FC5E705">
              <w:rPr>
                <w:rStyle w:val="Hyperlink"/>
                <w:rFonts w:cs="Times New Roman"/>
                <w:i w:val="0"/>
                <w:iCs w:val="0"/>
                <w:noProof/>
                <w:sz w:val="24"/>
                <w:szCs w:val="24"/>
              </w:rPr>
              <w:t>20MW Threshold</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26</w:t>
            </w:r>
            <w:r w:rsidR="00DA44A2" w:rsidRPr="1FC5E705">
              <w:rPr>
                <w:rFonts w:ascii="Times New Roman" w:hAnsi="Times New Roman" w:cs="Times New Roman"/>
                <w:i w:val="0"/>
                <w:iCs w:val="0"/>
                <w:noProof/>
                <w:webHidden/>
                <w:sz w:val="24"/>
                <w:szCs w:val="24"/>
              </w:rPr>
              <w:fldChar w:fldCharType="end"/>
            </w:r>
          </w:hyperlink>
        </w:p>
        <w:p w14:paraId="4A52E1CA" w14:textId="6BFD0C9E"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8" w:history="1">
            <w:r w:rsidRPr="1FC5E705">
              <w:rPr>
                <w:rStyle w:val="Hyperlink"/>
                <w:rFonts w:cs="Times New Roman"/>
                <w:i w:val="0"/>
                <w:iCs w:val="0"/>
                <w:noProof/>
                <w:sz w:val="24"/>
                <w:szCs w:val="24"/>
              </w:rPr>
              <w:t>3.3.12.</w:t>
            </w:r>
            <w:r w:rsidR="00DA44A2">
              <w:rPr>
                <w:noProof/>
              </w:rPr>
              <w:tab/>
            </w:r>
            <w:r w:rsidRPr="1FC5E705">
              <w:rPr>
                <w:rStyle w:val="Hyperlink"/>
                <w:rFonts w:cs="Times New Roman"/>
                <w:i w:val="0"/>
                <w:iCs w:val="0"/>
                <w:noProof/>
                <w:sz w:val="24"/>
                <w:szCs w:val="24"/>
              </w:rPr>
              <w:t>Linking</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26</w:t>
            </w:r>
            <w:r w:rsidR="00DA44A2" w:rsidRPr="1FC5E705">
              <w:rPr>
                <w:rFonts w:ascii="Times New Roman" w:hAnsi="Times New Roman" w:cs="Times New Roman"/>
                <w:i w:val="0"/>
                <w:iCs w:val="0"/>
                <w:noProof/>
                <w:webHidden/>
                <w:sz w:val="24"/>
                <w:szCs w:val="24"/>
              </w:rPr>
              <w:fldChar w:fldCharType="end"/>
            </w:r>
          </w:hyperlink>
        </w:p>
        <w:p w14:paraId="68ACCECF" w14:textId="1B6508B8"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29" w:history="1">
            <w:r w:rsidRPr="1FC5E705">
              <w:rPr>
                <w:rStyle w:val="Hyperlink"/>
                <w:rFonts w:cs="Times New Roman"/>
                <w:i w:val="0"/>
                <w:iCs w:val="0"/>
                <w:noProof/>
                <w:sz w:val="24"/>
                <w:szCs w:val="24"/>
              </w:rPr>
              <w:t>3.4.</w:t>
            </w:r>
            <w:r w:rsidR="00DA44A2">
              <w:rPr>
                <w:noProof/>
              </w:rPr>
              <w:tab/>
            </w:r>
            <w:r w:rsidRPr="1FC5E705">
              <w:rPr>
                <w:rStyle w:val="Hyperlink"/>
                <w:rFonts w:cs="Times New Roman"/>
                <w:i w:val="0"/>
                <w:iCs w:val="0"/>
                <w:noProof/>
                <w:sz w:val="24"/>
                <w:szCs w:val="24"/>
              </w:rPr>
              <w:t>Position papers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_Toc232758129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27</w:t>
            </w:r>
            <w:r w:rsidR="00DA44A2" w:rsidRPr="1FC5E705">
              <w:rPr>
                <w:rFonts w:ascii="Times New Roman" w:hAnsi="Times New Roman" w:cs="Times New Roman"/>
                <w:i w:val="0"/>
                <w:iCs w:val="0"/>
                <w:noProof/>
                <w:webHidden/>
                <w:sz w:val="24"/>
                <w:szCs w:val="24"/>
              </w:rPr>
              <w:fldChar w:fldCharType="end"/>
            </w:r>
          </w:hyperlink>
        </w:p>
        <w:p w14:paraId="4886BF87" w14:textId="1F6C5A23"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0" w:history="1">
            <w:r w:rsidRPr="1FC5E705">
              <w:rPr>
                <w:rStyle w:val="Hyperlink"/>
                <w:rFonts w:cs="Times New Roman"/>
                <w:i w:val="0"/>
                <w:iCs w:val="0"/>
                <w:noProof/>
                <w:sz w:val="24"/>
                <w:szCs w:val="24"/>
              </w:rPr>
              <w:t>3.4.1.</w:t>
            </w:r>
            <w:r w:rsidR="00DA44A2">
              <w:rPr>
                <w:noProof/>
              </w:rPr>
              <w:tab/>
            </w:r>
            <w:r w:rsidRPr="1FC5E705">
              <w:rPr>
                <w:rStyle w:val="Hyperlink"/>
                <w:rFonts w:cs="Times New Roman"/>
                <w:i w:val="0"/>
                <w:iCs w:val="0"/>
                <w:noProof/>
                <w:sz w:val="24"/>
                <w:szCs w:val="24"/>
              </w:rPr>
              <w:t>Aviation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27</w:t>
            </w:r>
            <w:r w:rsidR="00DA44A2" w:rsidRPr="1FC5E705">
              <w:rPr>
                <w:rFonts w:ascii="Times New Roman" w:hAnsi="Times New Roman" w:cs="Times New Roman"/>
                <w:i w:val="0"/>
                <w:iCs w:val="0"/>
                <w:noProof/>
                <w:webHidden/>
                <w:sz w:val="24"/>
                <w:szCs w:val="24"/>
              </w:rPr>
              <w:fldChar w:fldCharType="end"/>
            </w:r>
          </w:hyperlink>
        </w:p>
        <w:p w14:paraId="746E8032" w14:textId="59FCF971"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1" w:history="1">
            <w:r w:rsidRPr="1FC5E705">
              <w:rPr>
                <w:rStyle w:val="Hyperlink"/>
                <w:rFonts w:cs="Times New Roman"/>
                <w:i w:val="0"/>
                <w:iCs w:val="0"/>
                <w:noProof/>
                <w:sz w:val="24"/>
                <w:szCs w:val="24"/>
              </w:rPr>
              <w:t>3.4.2.</w:t>
            </w:r>
            <w:r w:rsidR="00DA44A2">
              <w:rPr>
                <w:noProof/>
              </w:rPr>
              <w:tab/>
            </w:r>
            <w:r w:rsidRPr="1FC5E705">
              <w:rPr>
                <w:rStyle w:val="Hyperlink"/>
                <w:rFonts w:cs="Times New Roman"/>
                <w:i w:val="0"/>
                <w:iCs w:val="0"/>
                <w:noProof/>
                <w:sz w:val="24"/>
                <w:szCs w:val="24"/>
              </w:rPr>
              <w:t>Maritime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27</w:t>
            </w:r>
            <w:r w:rsidR="00DA44A2" w:rsidRPr="1FC5E705">
              <w:rPr>
                <w:rFonts w:ascii="Times New Roman" w:hAnsi="Times New Roman" w:cs="Times New Roman"/>
                <w:i w:val="0"/>
                <w:iCs w:val="0"/>
                <w:noProof/>
                <w:webHidden/>
                <w:sz w:val="24"/>
                <w:szCs w:val="24"/>
              </w:rPr>
              <w:fldChar w:fldCharType="end"/>
            </w:r>
          </w:hyperlink>
        </w:p>
        <w:p w14:paraId="4E38FC6B" w14:textId="399A4F7D"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2" w:history="1">
            <w:r w:rsidRPr="1FC5E705">
              <w:rPr>
                <w:rStyle w:val="Hyperlink"/>
                <w:rFonts w:cs="Times New Roman"/>
                <w:i w:val="0"/>
                <w:iCs w:val="0"/>
                <w:noProof/>
                <w:sz w:val="24"/>
                <w:szCs w:val="24"/>
              </w:rPr>
              <w:t>3.4.3.</w:t>
            </w:r>
            <w:r w:rsidR="00DA44A2">
              <w:rPr>
                <w:noProof/>
              </w:rPr>
              <w:tab/>
            </w:r>
            <w:r w:rsidRPr="1FC5E705">
              <w:rPr>
                <w:rStyle w:val="Hyperlink"/>
                <w:rFonts w:cs="Times New Roman"/>
                <w:i w:val="0"/>
                <w:iCs w:val="0"/>
                <w:noProof/>
                <w:sz w:val="24"/>
                <w:szCs w:val="24"/>
              </w:rPr>
              <w:t>Measures to address carbon leakage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28</w:t>
            </w:r>
            <w:r w:rsidR="00DA44A2" w:rsidRPr="1FC5E705">
              <w:rPr>
                <w:rFonts w:ascii="Times New Roman" w:hAnsi="Times New Roman" w:cs="Times New Roman"/>
                <w:i w:val="0"/>
                <w:iCs w:val="0"/>
                <w:noProof/>
                <w:webHidden/>
                <w:sz w:val="24"/>
                <w:szCs w:val="24"/>
              </w:rPr>
              <w:fldChar w:fldCharType="end"/>
            </w:r>
          </w:hyperlink>
        </w:p>
        <w:p w14:paraId="7B387141" w14:textId="7A992C5E"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3" w:history="1">
            <w:r w:rsidRPr="1FC5E705">
              <w:rPr>
                <w:rStyle w:val="Hyperlink"/>
                <w:rFonts w:cs="Times New Roman"/>
                <w:i w:val="0"/>
                <w:iCs w:val="0"/>
                <w:noProof/>
                <w:sz w:val="24"/>
                <w:szCs w:val="24"/>
              </w:rPr>
              <w:t>3.4.4.</w:t>
            </w:r>
            <w:r w:rsidR="00DA44A2">
              <w:rPr>
                <w:noProof/>
              </w:rPr>
              <w:tab/>
            </w:r>
            <w:r w:rsidRPr="1FC5E705">
              <w:rPr>
                <w:rStyle w:val="Hyperlink"/>
                <w:rFonts w:cs="Times New Roman"/>
                <w:i w:val="0"/>
                <w:iCs w:val="0"/>
                <w:noProof/>
                <w:sz w:val="24"/>
                <w:szCs w:val="24"/>
              </w:rPr>
              <w:t>Revenue use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28</w:t>
            </w:r>
            <w:r w:rsidR="00DA44A2" w:rsidRPr="1FC5E705">
              <w:rPr>
                <w:rFonts w:ascii="Times New Roman" w:hAnsi="Times New Roman" w:cs="Times New Roman"/>
                <w:i w:val="0"/>
                <w:iCs w:val="0"/>
                <w:noProof/>
                <w:webHidden/>
                <w:sz w:val="24"/>
                <w:szCs w:val="24"/>
              </w:rPr>
              <w:fldChar w:fldCharType="end"/>
            </w:r>
          </w:hyperlink>
        </w:p>
        <w:p w14:paraId="3F5DC964" w14:textId="73C71BC1"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4" w:history="1">
            <w:r w:rsidRPr="1FC5E705">
              <w:rPr>
                <w:rStyle w:val="Hyperlink"/>
                <w:rFonts w:cs="Times New Roman"/>
                <w:i w:val="0"/>
                <w:iCs w:val="0"/>
                <w:noProof/>
                <w:sz w:val="24"/>
                <w:szCs w:val="24"/>
              </w:rPr>
              <w:t>3.4.5.</w:t>
            </w:r>
            <w:r w:rsidR="00DA44A2">
              <w:rPr>
                <w:noProof/>
              </w:rPr>
              <w:tab/>
            </w:r>
            <w:r w:rsidRPr="1FC5E705">
              <w:rPr>
                <w:rStyle w:val="Hyperlink"/>
                <w:rFonts w:cs="Times New Roman"/>
                <w:i w:val="0"/>
                <w:iCs w:val="0"/>
                <w:noProof/>
                <w:sz w:val="24"/>
                <w:szCs w:val="24"/>
              </w:rPr>
              <w:t>Market Stability Reserve (MSR)</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28</w:t>
            </w:r>
            <w:r w:rsidR="00DA44A2" w:rsidRPr="1FC5E705">
              <w:rPr>
                <w:rFonts w:ascii="Times New Roman" w:hAnsi="Times New Roman" w:cs="Times New Roman"/>
                <w:i w:val="0"/>
                <w:iCs w:val="0"/>
                <w:noProof/>
                <w:webHidden/>
                <w:sz w:val="24"/>
                <w:szCs w:val="24"/>
              </w:rPr>
              <w:fldChar w:fldCharType="end"/>
            </w:r>
          </w:hyperlink>
        </w:p>
        <w:p w14:paraId="0C03E80F" w14:textId="6CA76EE0"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5" w:history="1">
            <w:r w:rsidRPr="1FC5E705">
              <w:rPr>
                <w:rStyle w:val="Hyperlink"/>
                <w:rFonts w:cs="Times New Roman"/>
                <w:i w:val="0"/>
                <w:iCs w:val="0"/>
                <w:noProof/>
                <w:sz w:val="24"/>
                <w:szCs w:val="24"/>
              </w:rPr>
              <w:t>3.4.6.</w:t>
            </w:r>
            <w:r w:rsidR="00DA44A2">
              <w:rPr>
                <w:noProof/>
              </w:rPr>
              <w:tab/>
            </w:r>
            <w:r w:rsidRPr="1FC5E705">
              <w:rPr>
                <w:rStyle w:val="Hyperlink"/>
                <w:rFonts w:cs="Times New Roman"/>
                <w:i w:val="0"/>
                <w:iCs w:val="0"/>
                <w:noProof/>
                <w:sz w:val="24"/>
                <w:szCs w:val="24"/>
              </w:rPr>
              <w:t>New technologies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28</w:t>
            </w:r>
            <w:r w:rsidR="00DA44A2" w:rsidRPr="1FC5E705">
              <w:rPr>
                <w:rFonts w:ascii="Times New Roman" w:hAnsi="Times New Roman" w:cs="Times New Roman"/>
                <w:i w:val="0"/>
                <w:iCs w:val="0"/>
                <w:noProof/>
                <w:webHidden/>
                <w:sz w:val="24"/>
                <w:szCs w:val="24"/>
              </w:rPr>
              <w:fldChar w:fldCharType="end"/>
            </w:r>
          </w:hyperlink>
        </w:p>
        <w:p w14:paraId="0CEA3C0D" w14:textId="2F5215EA"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6" w:history="1">
            <w:r w:rsidRPr="1FC5E705">
              <w:rPr>
                <w:rStyle w:val="Hyperlink"/>
                <w:rFonts w:cs="Times New Roman"/>
                <w:i w:val="0"/>
                <w:iCs w:val="0"/>
                <w:noProof/>
                <w:sz w:val="24"/>
                <w:szCs w:val="24"/>
              </w:rPr>
              <w:t>3.4.7.</w:t>
            </w:r>
            <w:r w:rsidR="00DA44A2">
              <w:rPr>
                <w:noProof/>
              </w:rPr>
              <w:tab/>
            </w:r>
            <w:r w:rsidRPr="1FC5E705">
              <w:rPr>
                <w:rStyle w:val="Hyperlink"/>
                <w:rFonts w:cs="Times New Roman"/>
                <w:i w:val="0"/>
                <w:iCs w:val="0"/>
                <w:noProof/>
                <w:sz w:val="24"/>
                <w:szCs w:val="24"/>
              </w:rPr>
              <w:t>Potential expansion of the scope of the Directive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28</w:t>
            </w:r>
            <w:r w:rsidR="00DA44A2" w:rsidRPr="1FC5E705">
              <w:rPr>
                <w:rFonts w:ascii="Times New Roman" w:hAnsi="Times New Roman" w:cs="Times New Roman"/>
                <w:i w:val="0"/>
                <w:iCs w:val="0"/>
                <w:noProof/>
                <w:webHidden/>
                <w:sz w:val="24"/>
                <w:szCs w:val="24"/>
              </w:rPr>
              <w:fldChar w:fldCharType="end"/>
            </w:r>
          </w:hyperlink>
        </w:p>
        <w:p w14:paraId="110E85D5" w14:textId="55939722"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7" w:history="1">
            <w:r w:rsidRPr="1FC5E705">
              <w:rPr>
                <w:rStyle w:val="Hyperlink"/>
                <w:rFonts w:cs="Times New Roman"/>
                <w:i w:val="0"/>
                <w:iCs w:val="0"/>
                <w:noProof/>
                <w:sz w:val="24"/>
                <w:szCs w:val="24"/>
              </w:rPr>
              <w:t>3.4.8.</w:t>
            </w:r>
            <w:r w:rsidR="00DA44A2">
              <w:rPr>
                <w:noProof/>
              </w:rPr>
              <w:tab/>
            </w:r>
            <w:r w:rsidRPr="1FC5E705">
              <w:rPr>
                <w:rStyle w:val="Hyperlink"/>
                <w:rFonts w:cs="Times New Roman"/>
                <w:i w:val="0"/>
                <w:iCs w:val="0"/>
                <w:noProof/>
                <w:sz w:val="24"/>
                <w:szCs w:val="24"/>
              </w:rPr>
              <w:t>20MW threshold</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29</w:t>
            </w:r>
            <w:r w:rsidR="00DA44A2" w:rsidRPr="1FC5E705">
              <w:rPr>
                <w:rFonts w:ascii="Times New Roman" w:hAnsi="Times New Roman" w:cs="Times New Roman"/>
                <w:i w:val="0"/>
                <w:iCs w:val="0"/>
                <w:noProof/>
                <w:webHidden/>
                <w:sz w:val="24"/>
                <w:szCs w:val="24"/>
              </w:rPr>
              <w:fldChar w:fldCharType="end"/>
            </w:r>
          </w:hyperlink>
        </w:p>
        <w:p w14:paraId="7530FE50" w14:textId="20F03B67"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38" w:history="1">
            <w:r w:rsidRPr="1FC5E705">
              <w:rPr>
                <w:rStyle w:val="Hyperlink"/>
                <w:rFonts w:cs="Times New Roman"/>
                <w:i w:val="0"/>
                <w:iCs w:val="0"/>
                <w:noProof/>
                <w:sz w:val="24"/>
                <w:szCs w:val="24"/>
              </w:rPr>
              <w:t>3.5.</w:t>
            </w:r>
            <w:r w:rsidR="00DA44A2">
              <w:rPr>
                <w:noProof/>
              </w:rPr>
              <w:tab/>
            </w:r>
            <w:r w:rsidRPr="1FC5E705">
              <w:rPr>
                <w:rStyle w:val="Hyperlink"/>
                <w:rFonts w:cs="Times New Roman"/>
                <w:i w:val="0"/>
                <w:iCs w:val="0"/>
                <w:noProof/>
                <w:sz w:val="24"/>
                <w:szCs w:val="24"/>
              </w:rPr>
              <w:t>Interviews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_Toc232758138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29</w:t>
            </w:r>
            <w:r w:rsidR="00DA44A2" w:rsidRPr="1FC5E705">
              <w:rPr>
                <w:rFonts w:ascii="Times New Roman" w:hAnsi="Times New Roman" w:cs="Times New Roman"/>
                <w:i w:val="0"/>
                <w:iCs w:val="0"/>
                <w:noProof/>
                <w:webHidden/>
                <w:sz w:val="24"/>
                <w:szCs w:val="24"/>
              </w:rPr>
              <w:fldChar w:fldCharType="end"/>
            </w:r>
          </w:hyperlink>
        </w:p>
        <w:p w14:paraId="73993D45" w14:textId="2312DA4B"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139" w:history="1">
            <w:r w:rsidRPr="1FC5E705">
              <w:rPr>
                <w:rStyle w:val="Hyperlink"/>
                <w:rFonts w:cs="Times New Roman"/>
                <w:noProof/>
                <w:sz w:val="24"/>
                <w:szCs w:val="24"/>
              </w:rPr>
              <w:t>Annex 3: Who is affected by the initiative and how?</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_Toc232758139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30</w:t>
            </w:r>
            <w:r w:rsidR="00DA44A2" w:rsidRPr="003B24BC">
              <w:rPr>
                <w:rFonts w:ascii="Times New Roman" w:hAnsi="Times New Roman" w:cs="Times New Roman"/>
                <w:noProof/>
                <w:webHidden/>
                <w:sz w:val="24"/>
                <w:szCs w:val="24"/>
              </w:rPr>
              <w:fldChar w:fldCharType="end"/>
            </w:r>
          </w:hyperlink>
        </w:p>
        <w:p w14:paraId="58D063CB" w14:textId="3008720B"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40"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lang w:eastAsia="en-GB"/>
              </w:rPr>
              <w:t>Practical</w:t>
            </w:r>
            <w:r w:rsidRPr="1FC5E705">
              <w:rPr>
                <w:rStyle w:val="Hyperlink"/>
                <w:rFonts w:cs="Times New Roman"/>
                <w:noProof/>
                <w:sz w:val="24"/>
                <w:szCs w:val="24"/>
              </w:rPr>
              <w:t xml:space="preserve"> implications of the initiative</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_Toc232758140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30</w:t>
            </w:r>
            <w:r w:rsidR="00DA44A2" w:rsidRPr="003B24BC">
              <w:rPr>
                <w:rFonts w:ascii="Times New Roman" w:hAnsi="Times New Roman" w:cs="Times New Roman"/>
                <w:noProof/>
                <w:webHidden/>
                <w:sz w:val="24"/>
                <w:szCs w:val="24"/>
              </w:rPr>
              <w:fldChar w:fldCharType="end"/>
            </w:r>
          </w:hyperlink>
        </w:p>
        <w:p w14:paraId="4D9159F5" w14:textId="0A902E34"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1" w:history="1">
            <w:r w:rsidRPr="1FC5E705">
              <w:rPr>
                <w:rStyle w:val="Hyperlink"/>
                <w:rFonts w:cs="Times New Roman"/>
                <w:i w:val="0"/>
                <w:iCs w:val="0"/>
                <w:noProof/>
                <w:sz w:val="24"/>
                <w:szCs w:val="24"/>
              </w:rPr>
              <w:t>1.1.</w:t>
            </w:r>
            <w:r w:rsidR="00DA44A2">
              <w:rPr>
                <w:noProof/>
              </w:rPr>
              <w:tab/>
            </w:r>
            <w:r w:rsidRPr="1FC5E705">
              <w:rPr>
                <w:rStyle w:val="Hyperlink"/>
                <w:rFonts w:cs="Times New Roman"/>
                <w:i w:val="0"/>
                <w:iCs w:val="0"/>
                <w:noProof/>
                <w:sz w:val="24"/>
                <w:szCs w:val="24"/>
              </w:rPr>
              <w:t>Effects on regulated entities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30</w:t>
            </w:r>
            <w:r w:rsidR="00DA44A2" w:rsidRPr="1FC5E705">
              <w:rPr>
                <w:rFonts w:ascii="Times New Roman" w:hAnsi="Times New Roman" w:cs="Times New Roman"/>
                <w:i w:val="0"/>
                <w:iCs w:val="0"/>
                <w:noProof/>
                <w:webHidden/>
                <w:sz w:val="24"/>
                <w:szCs w:val="24"/>
              </w:rPr>
              <w:fldChar w:fldCharType="end"/>
            </w:r>
          </w:hyperlink>
        </w:p>
        <w:p w14:paraId="5C34E578" w14:textId="4181206C"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2" w:history="1">
            <w:r w:rsidRPr="1FC5E705">
              <w:rPr>
                <w:rStyle w:val="Hyperlink"/>
                <w:rFonts w:cs="Times New Roman"/>
                <w:i w:val="0"/>
                <w:iCs w:val="0"/>
                <w:noProof/>
                <w:sz w:val="24"/>
                <w:szCs w:val="24"/>
              </w:rPr>
              <w:t>1.1.1.</w:t>
            </w:r>
            <w:r w:rsidR="00DA44A2">
              <w:rPr>
                <w:noProof/>
              </w:rPr>
              <w:tab/>
            </w:r>
            <w:r w:rsidRPr="1FC5E705">
              <w:rPr>
                <w:rStyle w:val="Hyperlink"/>
                <w:rFonts w:cs="Times New Roman"/>
                <w:i w:val="0"/>
                <w:iCs w:val="0"/>
                <w:noProof/>
                <w:sz w:val="24"/>
                <w:szCs w:val="24"/>
              </w:rPr>
              <w:t>Stationary installations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30</w:t>
            </w:r>
            <w:r w:rsidR="00DA44A2" w:rsidRPr="1FC5E705">
              <w:rPr>
                <w:rFonts w:ascii="Times New Roman" w:hAnsi="Times New Roman" w:cs="Times New Roman"/>
                <w:i w:val="0"/>
                <w:iCs w:val="0"/>
                <w:noProof/>
                <w:webHidden/>
                <w:sz w:val="24"/>
                <w:szCs w:val="24"/>
              </w:rPr>
              <w:fldChar w:fldCharType="end"/>
            </w:r>
          </w:hyperlink>
        </w:p>
        <w:p w14:paraId="745401C9" w14:textId="78186AB3"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3" w:history="1">
            <w:r w:rsidRPr="1FC5E705">
              <w:rPr>
                <w:rStyle w:val="Hyperlink"/>
                <w:rFonts w:cs="Times New Roman"/>
                <w:i w:val="0"/>
                <w:iCs w:val="0"/>
                <w:noProof/>
                <w:sz w:val="24"/>
                <w:szCs w:val="24"/>
              </w:rPr>
              <w:t>1.1.2.</w:t>
            </w:r>
            <w:r w:rsidR="00DA44A2">
              <w:rPr>
                <w:noProof/>
              </w:rPr>
              <w:tab/>
            </w:r>
            <w:r w:rsidRPr="1FC5E705">
              <w:rPr>
                <w:rStyle w:val="Hyperlink"/>
                <w:rFonts w:cs="Times New Roman"/>
                <w:i w:val="0"/>
                <w:iCs w:val="0"/>
                <w:noProof/>
                <w:sz w:val="24"/>
                <w:szCs w:val="24"/>
              </w:rPr>
              <w:t>Aviation and maritime transport</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31</w:t>
            </w:r>
            <w:r w:rsidR="00DA44A2" w:rsidRPr="1FC5E705">
              <w:rPr>
                <w:rFonts w:ascii="Times New Roman" w:hAnsi="Times New Roman" w:cs="Times New Roman"/>
                <w:i w:val="0"/>
                <w:iCs w:val="0"/>
                <w:noProof/>
                <w:webHidden/>
                <w:sz w:val="24"/>
                <w:szCs w:val="24"/>
              </w:rPr>
              <w:fldChar w:fldCharType="end"/>
            </w:r>
          </w:hyperlink>
        </w:p>
        <w:p w14:paraId="55D56A03" w14:textId="640ABF2A"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4" w:history="1">
            <w:r w:rsidRPr="1FC5E705">
              <w:rPr>
                <w:rStyle w:val="Hyperlink"/>
                <w:rFonts w:cs="Times New Roman"/>
                <w:i w:val="0"/>
                <w:iCs w:val="0"/>
                <w:noProof/>
                <w:sz w:val="24"/>
                <w:szCs w:val="24"/>
              </w:rPr>
              <w:t>1.2.</w:t>
            </w:r>
            <w:r w:rsidR="00DA44A2">
              <w:rPr>
                <w:noProof/>
              </w:rPr>
              <w:tab/>
            </w:r>
            <w:r w:rsidRPr="1FC5E705">
              <w:rPr>
                <w:rStyle w:val="Hyperlink"/>
                <w:rFonts w:cs="Times New Roman"/>
                <w:i w:val="0"/>
                <w:iCs w:val="0"/>
                <w:noProof/>
                <w:sz w:val="24"/>
                <w:szCs w:val="24"/>
              </w:rPr>
              <w:t>Effects on other stakeholders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32</w:t>
            </w:r>
            <w:r w:rsidR="00DA44A2" w:rsidRPr="1FC5E705">
              <w:rPr>
                <w:rFonts w:ascii="Times New Roman" w:hAnsi="Times New Roman" w:cs="Times New Roman"/>
                <w:i w:val="0"/>
                <w:iCs w:val="0"/>
                <w:noProof/>
                <w:webHidden/>
                <w:sz w:val="24"/>
                <w:szCs w:val="24"/>
              </w:rPr>
              <w:fldChar w:fldCharType="end"/>
            </w:r>
          </w:hyperlink>
        </w:p>
        <w:p w14:paraId="7750E7CD" w14:textId="67DD7B7A"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5" w:history="1">
            <w:r w:rsidRPr="1FC5E705">
              <w:rPr>
                <w:rStyle w:val="Hyperlink"/>
                <w:rFonts w:cs="Times New Roman"/>
                <w:i w:val="0"/>
                <w:iCs w:val="0"/>
                <w:noProof/>
                <w:sz w:val="24"/>
                <w:szCs w:val="24"/>
              </w:rPr>
              <w:t>1.2.1.</w:t>
            </w:r>
            <w:r w:rsidR="00DA44A2">
              <w:rPr>
                <w:noProof/>
              </w:rPr>
              <w:tab/>
            </w:r>
            <w:r w:rsidRPr="1FC5E705">
              <w:rPr>
                <w:rStyle w:val="Hyperlink"/>
                <w:rFonts w:cs="Times New Roman"/>
                <w:i w:val="0"/>
                <w:iCs w:val="0"/>
                <w:noProof/>
                <w:sz w:val="24"/>
                <w:szCs w:val="24"/>
              </w:rPr>
              <w:t>SMEs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32</w:t>
            </w:r>
            <w:r w:rsidR="00DA44A2" w:rsidRPr="1FC5E705">
              <w:rPr>
                <w:rFonts w:ascii="Times New Roman" w:hAnsi="Times New Roman" w:cs="Times New Roman"/>
                <w:i w:val="0"/>
                <w:iCs w:val="0"/>
                <w:noProof/>
                <w:webHidden/>
                <w:sz w:val="24"/>
                <w:szCs w:val="24"/>
              </w:rPr>
              <w:fldChar w:fldCharType="end"/>
            </w:r>
          </w:hyperlink>
        </w:p>
        <w:p w14:paraId="75D9A732" w14:textId="0A3007D7"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6" w:history="1">
            <w:r w:rsidRPr="1FC5E705">
              <w:rPr>
                <w:rStyle w:val="Hyperlink"/>
                <w:rFonts w:cs="Times New Roman"/>
                <w:i w:val="0"/>
                <w:iCs w:val="0"/>
                <w:noProof/>
                <w:sz w:val="24"/>
                <w:szCs w:val="24"/>
              </w:rPr>
              <w:t>1.2.2.</w:t>
            </w:r>
            <w:r w:rsidR="00DA44A2">
              <w:rPr>
                <w:noProof/>
              </w:rPr>
              <w:tab/>
            </w:r>
            <w:r w:rsidRPr="1FC5E705">
              <w:rPr>
                <w:rStyle w:val="Hyperlink"/>
                <w:rFonts w:cs="Times New Roman"/>
                <w:i w:val="0"/>
                <w:iCs w:val="0"/>
                <w:noProof/>
                <w:sz w:val="24"/>
                <w:szCs w:val="24"/>
              </w:rPr>
              <w:t>Public authorities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32</w:t>
            </w:r>
            <w:r w:rsidR="00DA44A2" w:rsidRPr="1FC5E705">
              <w:rPr>
                <w:rFonts w:ascii="Times New Roman" w:hAnsi="Times New Roman" w:cs="Times New Roman"/>
                <w:i w:val="0"/>
                <w:iCs w:val="0"/>
                <w:noProof/>
                <w:webHidden/>
                <w:sz w:val="24"/>
                <w:szCs w:val="24"/>
              </w:rPr>
              <w:fldChar w:fldCharType="end"/>
            </w:r>
          </w:hyperlink>
        </w:p>
        <w:p w14:paraId="39F00F97" w14:textId="2E58A49F"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7" w:history="1">
            <w:r w:rsidRPr="1FC5E705">
              <w:rPr>
                <w:rStyle w:val="Hyperlink"/>
                <w:rFonts w:cs="Times New Roman"/>
                <w:i w:val="0"/>
                <w:iCs w:val="0"/>
                <w:noProof/>
                <w:sz w:val="24"/>
                <w:szCs w:val="24"/>
              </w:rPr>
              <w:t>1.2.3.</w:t>
            </w:r>
            <w:r w:rsidR="00DA44A2">
              <w:rPr>
                <w:noProof/>
              </w:rPr>
              <w:tab/>
            </w:r>
            <w:r w:rsidRPr="1FC5E705">
              <w:rPr>
                <w:rStyle w:val="Hyperlink"/>
                <w:rFonts w:cs="Times New Roman"/>
                <w:i w:val="0"/>
                <w:iCs w:val="0"/>
                <w:noProof/>
                <w:sz w:val="24"/>
                <w:szCs w:val="24"/>
              </w:rPr>
              <w:t>Citizens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33</w:t>
            </w:r>
            <w:r w:rsidR="00DA44A2" w:rsidRPr="1FC5E705">
              <w:rPr>
                <w:rFonts w:ascii="Times New Roman" w:hAnsi="Times New Roman" w:cs="Times New Roman"/>
                <w:i w:val="0"/>
                <w:iCs w:val="0"/>
                <w:noProof/>
                <w:webHidden/>
                <w:sz w:val="24"/>
                <w:szCs w:val="24"/>
              </w:rPr>
              <w:fldChar w:fldCharType="end"/>
            </w:r>
          </w:hyperlink>
        </w:p>
        <w:p w14:paraId="4992F962" w14:textId="5D118C4F"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48"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lang w:eastAsia="en-GB"/>
              </w:rPr>
              <w:t>Summary</w:t>
            </w:r>
            <w:r w:rsidRPr="1FC5E705">
              <w:rPr>
                <w:rStyle w:val="Hyperlink"/>
                <w:rFonts w:cs="Times New Roman"/>
                <w:noProof/>
                <w:sz w:val="24"/>
                <w:szCs w:val="24"/>
              </w:rPr>
              <w:t xml:space="preserve"> of costs and benefits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_Toc232758148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34</w:t>
            </w:r>
            <w:r w:rsidR="00DA44A2" w:rsidRPr="003B24BC">
              <w:rPr>
                <w:rFonts w:ascii="Times New Roman" w:hAnsi="Times New Roman" w:cs="Times New Roman"/>
                <w:noProof/>
                <w:webHidden/>
                <w:sz w:val="24"/>
                <w:szCs w:val="24"/>
              </w:rPr>
              <w:fldChar w:fldCharType="end"/>
            </w:r>
          </w:hyperlink>
        </w:p>
        <w:p w14:paraId="2676032A" w14:textId="426FC3CF"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49" w:history="1">
            <w:r w:rsidRPr="1FC5E705">
              <w:rPr>
                <w:rStyle w:val="Hyperlink"/>
                <w:rFonts w:cs="Times New Roman"/>
                <w:i w:val="0"/>
                <w:iCs w:val="0"/>
                <w:noProof/>
                <w:sz w:val="24"/>
                <w:szCs w:val="24"/>
              </w:rPr>
              <w:t>2.1.</w:t>
            </w:r>
            <w:r w:rsidR="00DA44A2">
              <w:rPr>
                <w:noProof/>
              </w:rPr>
              <w:tab/>
            </w:r>
            <w:r w:rsidRPr="1FC5E705">
              <w:rPr>
                <w:rStyle w:val="Hyperlink"/>
                <w:rFonts w:cs="Times New Roman"/>
                <w:i w:val="0"/>
                <w:iCs w:val="0"/>
                <w:noProof/>
                <w:sz w:val="24"/>
                <w:szCs w:val="24"/>
              </w:rPr>
              <w:t>Overview of benefits – preferred option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_Toc232758149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35</w:t>
            </w:r>
            <w:r w:rsidR="00DA44A2" w:rsidRPr="1FC5E705">
              <w:rPr>
                <w:rFonts w:ascii="Times New Roman" w:hAnsi="Times New Roman" w:cs="Times New Roman"/>
                <w:i w:val="0"/>
                <w:iCs w:val="0"/>
                <w:noProof/>
                <w:webHidden/>
                <w:sz w:val="24"/>
                <w:szCs w:val="24"/>
              </w:rPr>
              <w:fldChar w:fldCharType="end"/>
            </w:r>
          </w:hyperlink>
        </w:p>
        <w:p w14:paraId="18641E94" w14:textId="30A4AD30"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50" w:history="1">
            <w:r w:rsidRPr="1FC5E705">
              <w:rPr>
                <w:rStyle w:val="Hyperlink"/>
                <w:rFonts w:cs="Times New Roman"/>
                <w:i w:val="0"/>
                <w:iCs w:val="0"/>
                <w:noProof/>
                <w:sz w:val="24"/>
                <w:szCs w:val="24"/>
              </w:rPr>
              <w:t>2.2.</w:t>
            </w:r>
            <w:r w:rsidR="00DA44A2">
              <w:rPr>
                <w:noProof/>
              </w:rPr>
              <w:tab/>
            </w:r>
            <w:r w:rsidRPr="1FC5E705">
              <w:rPr>
                <w:rStyle w:val="Hyperlink"/>
                <w:rFonts w:cs="Times New Roman"/>
                <w:i w:val="0"/>
                <w:iCs w:val="0"/>
                <w:noProof/>
                <w:sz w:val="24"/>
                <w:szCs w:val="24"/>
              </w:rPr>
              <w:t>Overview of costs – preferred option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_Toc232758150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40</w:t>
            </w:r>
            <w:r w:rsidR="00DA44A2" w:rsidRPr="1FC5E705">
              <w:rPr>
                <w:rFonts w:ascii="Times New Roman" w:hAnsi="Times New Roman" w:cs="Times New Roman"/>
                <w:i w:val="0"/>
                <w:iCs w:val="0"/>
                <w:noProof/>
                <w:webHidden/>
                <w:sz w:val="24"/>
                <w:szCs w:val="24"/>
              </w:rPr>
              <w:fldChar w:fldCharType="end"/>
            </w:r>
          </w:hyperlink>
        </w:p>
        <w:p w14:paraId="53F5CFB5" w14:textId="1BB69725"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51" w:history="1">
            <w:r w:rsidRPr="1FC5E705">
              <w:rPr>
                <w:rStyle w:val="Hyperlink"/>
                <w:rFonts w:cs="Times New Roman"/>
                <w:i w:val="0"/>
                <w:iCs w:val="0"/>
                <w:noProof/>
                <w:sz w:val="24"/>
                <w:szCs w:val="24"/>
              </w:rPr>
              <w:t>2.3.</w:t>
            </w:r>
            <w:r w:rsidR="00DA44A2">
              <w:rPr>
                <w:noProof/>
              </w:rPr>
              <w:tab/>
            </w:r>
            <w:r w:rsidRPr="1FC5E705">
              <w:rPr>
                <w:rStyle w:val="Hyperlink"/>
                <w:rFonts w:cs="Times New Roman"/>
                <w:i w:val="0"/>
                <w:iCs w:val="0"/>
                <w:noProof/>
                <w:sz w:val="24"/>
                <w:szCs w:val="24"/>
              </w:rPr>
              <w:t>Application of the “one in, one out” approach – Preferred option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_Toc232758151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49</w:t>
            </w:r>
            <w:r w:rsidR="00DA44A2" w:rsidRPr="1FC5E705">
              <w:rPr>
                <w:rFonts w:ascii="Times New Roman" w:hAnsi="Times New Roman" w:cs="Times New Roman"/>
                <w:i w:val="0"/>
                <w:iCs w:val="0"/>
                <w:noProof/>
                <w:webHidden/>
                <w:sz w:val="24"/>
                <w:szCs w:val="24"/>
              </w:rPr>
              <w:fldChar w:fldCharType="end"/>
            </w:r>
          </w:hyperlink>
        </w:p>
        <w:p w14:paraId="182E3896" w14:textId="25B55F00"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52" w:history="1">
            <w:r w:rsidRPr="1FC5E705">
              <w:rPr>
                <w:rStyle w:val="Hyperlink"/>
                <w:rFonts w:cs="Times New Roman"/>
                <w:noProof/>
                <w:sz w:val="24"/>
                <w:szCs w:val="24"/>
              </w:rPr>
              <w:t>3.</w:t>
            </w:r>
            <w:r w:rsidR="00DA44A2">
              <w:rPr>
                <w:noProof/>
              </w:rPr>
              <w:tab/>
            </w:r>
            <w:r w:rsidRPr="1FC5E705">
              <w:rPr>
                <w:rStyle w:val="Hyperlink"/>
                <w:rFonts w:cs="Times New Roman"/>
                <w:noProof/>
                <w:sz w:val="24"/>
                <w:szCs w:val="24"/>
                <w:lang w:eastAsia="en-GB"/>
              </w:rPr>
              <w:t>Relevant</w:t>
            </w:r>
            <w:r w:rsidRPr="1FC5E705">
              <w:rPr>
                <w:rStyle w:val="Hyperlink"/>
                <w:rFonts w:cs="Times New Roman"/>
                <w:noProof/>
                <w:sz w:val="24"/>
                <w:szCs w:val="24"/>
              </w:rPr>
              <w:t xml:space="preserve"> </w:t>
            </w:r>
            <w:r w:rsidRPr="1FC5E705">
              <w:rPr>
                <w:rStyle w:val="Hyperlink"/>
                <w:rFonts w:cs="Times New Roman"/>
                <w:noProof/>
                <w:sz w:val="24"/>
                <w:szCs w:val="24"/>
                <w:lang w:eastAsia="en-GB"/>
              </w:rPr>
              <w:t>Sustainable</w:t>
            </w:r>
            <w:r w:rsidRPr="1FC5E705">
              <w:rPr>
                <w:rStyle w:val="Hyperlink"/>
                <w:rFonts w:cs="Times New Roman"/>
                <w:noProof/>
                <w:sz w:val="24"/>
                <w:szCs w:val="24"/>
              </w:rPr>
              <w:t xml:space="preserve"> Development Goals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_Toc232758152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51</w:t>
            </w:r>
            <w:r w:rsidR="00DA44A2" w:rsidRPr="003B24BC">
              <w:rPr>
                <w:rFonts w:ascii="Times New Roman" w:hAnsi="Times New Roman" w:cs="Times New Roman"/>
                <w:noProof/>
                <w:webHidden/>
                <w:sz w:val="24"/>
                <w:szCs w:val="24"/>
              </w:rPr>
              <w:fldChar w:fldCharType="end"/>
            </w:r>
          </w:hyperlink>
        </w:p>
        <w:p w14:paraId="403D8033" w14:textId="02E0B2B2"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153" w:history="1">
            <w:r w:rsidRPr="1FC5E705">
              <w:rPr>
                <w:rStyle w:val="Hyperlink"/>
                <w:rFonts w:cs="Times New Roman"/>
                <w:noProof/>
                <w:sz w:val="24"/>
                <w:szCs w:val="24"/>
              </w:rPr>
              <w:t>Annex 4: Modelling</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_Toc232758153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54</w:t>
            </w:r>
            <w:r w:rsidR="00DA44A2" w:rsidRPr="003B24BC">
              <w:rPr>
                <w:rFonts w:ascii="Times New Roman" w:hAnsi="Times New Roman" w:cs="Times New Roman"/>
                <w:noProof/>
                <w:webHidden/>
                <w:sz w:val="24"/>
                <w:szCs w:val="24"/>
              </w:rPr>
              <w:fldChar w:fldCharType="end"/>
            </w:r>
          </w:hyperlink>
        </w:p>
        <w:p w14:paraId="126BF6BA" w14:textId="64E431A0"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154" w:history="1">
            <w:r w:rsidRPr="1FC5E705">
              <w:rPr>
                <w:rStyle w:val="Hyperlink"/>
                <w:rFonts w:cs="Times New Roman"/>
                <w:noProof/>
                <w:sz w:val="24"/>
                <w:szCs w:val="24"/>
              </w:rPr>
              <w:t>List of Tables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_Toc232758154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54</w:t>
            </w:r>
            <w:r w:rsidR="00DA44A2" w:rsidRPr="003B24BC">
              <w:rPr>
                <w:rFonts w:ascii="Times New Roman" w:hAnsi="Times New Roman" w:cs="Times New Roman"/>
                <w:noProof/>
                <w:webHidden/>
                <w:sz w:val="24"/>
                <w:szCs w:val="24"/>
              </w:rPr>
              <w:fldChar w:fldCharType="end"/>
            </w:r>
          </w:hyperlink>
        </w:p>
        <w:p w14:paraId="52E4FB03" w14:textId="7E2DF60B"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155" w:history="1">
            <w:r w:rsidRPr="1FC5E705">
              <w:rPr>
                <w:rStyle w:val="Hyperlink"/>
                <w:rFonts w:cs="Times New Roman"/>
                <w:noProof/>
                <w:sz w:val="24"/>
                <w:szCs w:val="24"/>
              </w:rPr>
              <w:t>List of Figures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_Toc232758155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54</w:t>
            </w:r>
            <w:r w:rsidR="00DA44A2" w:rsidRPr="003B24BC">
              <w:rPr>
                <w:rFonts w:ascii="Times New Roman" w:hAnsi="Times New Roman" w:cs="Times New Roman"/>
                <w:noProof/>
                <w:webHidden/>
                <w:sz w:val="24"/>
                <w:szCs w:val="24"/>
              </w:rPr>
              <w:fldChar w:fldCharType="end"/>
            </w:r>
          </w:hyperlink>
        </w:p>
        <w:p w14:paraId="357E79D5" w14:textId="0A997250"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56"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lang w:eastAsia="en-GB"/>
              </w:rPr>
              <w:t>Analysis</w:t>
            </w:r>
            <w:r w:rsidRPr="1FC5E705">
              <w:rPr>
                <w:rStyle w:val="Hyperlink"/>
                <w:rFonts w:cs="Times New Roman"/>
                <w:noProof/>
                <w:sz w:val="24"/>
                <w:szCs w:val="24"/>
              </w:rPr>
              <w:t xml:space="preserve"> of future GHG emissions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_Toc232758156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55</w:t>
            </w:r>
            <w:r w:rsidR="00DA44A2" w:rsidRPr="003B24BC">
              <w:rPr>
                <w:rFonts w:ascii="Times New Roman" w:hAnsi="Times New Roman" w:cs="Times New Roman"/>
                <w:noProof/>
                <w:webHidden/>
                <w:sz w:val="24"/>
                <w:szCs w:val="24"/>
              </w:rPr>
              <w:fldChar w:fldCharType="end"/>
            </w:r>
          </w:hyperlink>
        </w:p>
        <w:p w14:paraId="5014AEC1" w14:textId="6D7F51F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57" w:history="1">
            <w:r w:rsidRPr="1FC5E705">
              <w:rPr>
                <w:rStyle w:val="Hyperlink"/>
                <w:rFonts w:cs="Times New Roman"/>
                <w:i w:val="0"/>
                <w:iCs w:val="0"/>
                <w:noProof/>
                <w:sz w:val="24"/>
                <w:szCs w:val="24"/>
              </w:rPr>
              <w:t>1.1.</w:t>
            </w:r>
            <w:r w:rsidR="00DA44A2">
              <w:rPr>
                <w:noProof/>
              </w:rPr>
              <w:tab/>
            </w:r>
            <w:r w:rsidRPr="1FC5E705">
              <w:rPr>
                <w:rStyle w:val="Hyperlink"/>
                <w:rFonts w:cs="Times New Roman"/>
                <w:i w:val="0"/>
                <w:iCs w:val="0"/>
                <w:noProof/>
                <w:sz w:val="24"/>
                <w:szCs w:val="24"/>
              </w:rPr>
              <w:t>Models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_Toc232758157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55</w:t>
            </w:r>
            <w:r w:rsidR="00DA44A2" w:rsidRPr="1FC5E705">
              <w:rPr>
                <w:rFonts w:ascii="Times New Roman" w:hAnsi="Times New Roman" w:cs="Times New Roman"/>
                <w:i w:val="0"/>
                <w:iCs w:val="0"/>
                <w:noProof/>
                <w:webHidden/>
                <w:sz w:val="24"/>
                <w:szCs w:val="24"/>
              </w:rPr>
              <w:fldChar w:fldCharType="end"/>
            </w:r>
          </w:hyperlink>
        </w:p>
        <w:p w14:paraId="4480FBCD" w14:textId="2B226EE3"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58" w:history="1">
            <w:r w:rsidRPr="1FC5E705">
              <w:rPr>
                <w:rStyle w:val="Hyperlink"/>
                <w:rFonts w:cs="Times New Roman"/>
                <w:i w:val="0"/>
                <w:iCs w:val="0"/>
                <w:noProof/>
                <w:sz w:val="24"/>
                <w:szCs w:val="24"/>
              </w:rPr>
              <w:t>1.1.1.</w:t>
            </w:r>
            <w:r w:rsidR="00DA44A2">
              <w:rPr>
                <w:noProof/>
              </w:rPr>
              <w:tab/>
            </w:r>
            <w:r w:rsidRPr="1FC5E705">
              <w:rPr>
                <w:rStyle w:val="Hyperlink"/>
                <w:rFonts w:cs="Times New Roman"/>
                <w:i w:val="0"/>
                <w:iCs w:val="0"/>
                <w:noProof/>
                <w:sz w:val="24"/>
                <w:szCs w:val="24"/>
              </w:rPr>
              <w:t>Main modelling suite for GHG emissions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_Toc232758158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55</w:t>
            </w:r>
            <w:r w:rsidR="00DA44A2" w:rsidRPr="1FC5E705">
              <w:rPr>
                <w:rFonts w:ascii="Times New Roman" w:hAnsi="Times New Roman" w:cs="Times New Roman"/>
                <w:i w:val="0"/>
                <w:iCs w:val="0"/>
                <w:noProof/>
                <w:webHidden/>
                <w:sz w:val="24"/>
                <w:szCs w:val="24"/>
              </w:rPr>
              <w:fldChar w:fldCharType="end"/>
            </w:r>
          </w:hyperlink>
        </w:p>
        <w:p w14:paraId="2348D193" w14:textId="3BFD5A07"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59" w:history="1">
            <w:r w:rsidRPr="1FC5E705">
              <w:rPr>
                <w:rStyle w:val="Hyperlink"/>
                <w:rFonts w:cs="Times New Roman"/>
                <w:i w:val="0"/>
                <w:iCs w:val="0"/>
                <w:noProof/>
                <w:sz w:val="24"/>
                <w:szCs w:val="24"/>
              </w:rPr>
              <w:t>1.1.2.</w:t>
            </w:r>
            <w:r w:rsidR="00DA44A2">
              <w:rPr>
                <w:noProof/>
              </w:rPr>
              <w:tab/>
            </w:r>
            <w:r w:rsidRPr="1FC5E705">
              <w:rPr>
                <w:rStyle w:val="Hyperlink"/>
                <w:rFonts w:cs="Times New Roman"/>
                <w:i w:val="0"/>
                <w:iCs w:val="0"/>
                <w:noProof/>
                <w:sz w:val="24"/>
                <w:szCs w:val="24"/>
              </w:rPr>
              <w:t>Modelling used for the current Impact Assessment</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_Toc232758159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56</w:t>
            </w:r>
            <w:r w:rsidR="00DA44A2" w:rsidRPr="1FC5E705">
              <w:rPr>
                <w:rFonts w:ascii="Times New Roman" w:hAnsi="Times New Roman" w:cs="Times New Roman"/>
                <w:i w:val="0"/>
                <w:iCs w:val="0"/>
                <w:noProof/>
                <w:webHidden/>
                <w:sz w:val="24"/>
                <w:szCs w:val="24"/>
              </w:rPr>
              <w:fldChar w:fldCharType="end"/>
            </w:r>
          </w:hyperlink>
        </w:p>
        <w:p w14:paraId="24D7E016" w14:textId="5C01612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3" w:history="1">
            <w:r w:rsidRPr="1FC5E705">
              <w:rPr>
                <w:rStyle w:val="Hyperlink"/>
                <w:rFonts w:cs="Times New Roman"/>
                <w:i w:val="0"/>
                <w:iCs w:val="0"/>
                <w:noProof/>
                <w:sz w:val="24"/>
                <w:szCs w:val="24"/>
              </w:rPr>
              <w:t>1.2.</w:t>
            </w:r>
            <w:r w:rsidR="00DA44A2">
              <w:rPr>
                <w:noProof/>
              </w:rPr>
              <w:tab/>
            </w:r>
            <w:r w:rsidRPr="1FC5E705">
              <w:rPr>
                <w:rStyle w:val="Hyperlink"/>
                <w:rFonts w:cs="Times New Roman"/>
                <w:i w:val="0"/>
                <w:iCs w:val="0"/>
                <w:noProof/>
                <w:sz w:val="24"/>
                <w:szCs w:val="24"/>
              </w:rPr>
              <w:t>Key Assumptions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67</w:t>
            </w:r>
            <w:r w:rsidR="00DA44A2" w:rsidRPr="1FC5E705">
              <w:rPr>
                <w:rFonts w:ascii="Times New Roman" w:hAnsi="Times New Roman" w:cs="Times New Roman"/>
                <w:i w:val="0"/>
                <w:iCs w:val="0"/>
                <w:noProof/>
                <w:webHidden/>
                <w:sz w:val="24"/>
                <w:szCs w:val="24"/>
              </w:rPr>
              <w:fldChar w:fldCharType="end"/>
            </w:r>
          </w:hyperlink>
        </w:p>
        <w:p w14:paraId="08BC62C5" w14:textId="1ECBF2E7"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4" w:history="1">
            <w:r w:rsidRPr="1FC5E705">
              <w:rPr>
                <w:rStyle w:val="Hyperlink"/>
                <w:rFonts w:cs="Times New Roman"/>
                <w:i w:val="0"/>
                <w:iCs w:val="0"/>
                <w:noProof/>
                <w:sz w:val="24"/>
                <w:szCs w:val="24"/>
              </w:rPr>
              <w:t>1.2.1.</w:t>
            </w:r>
            <w:r w:rsidR="00DA44A2">
              <w:rPr>
                <w:noProof/>
              </w:rPr>
              <w:tab/>
            </w:r>
            <w:r w:rsidRPr="1FC5E705">
              <w:rPr>
                <w:rStyle w:val="Hyperlink"/>
                <w:rFonts w:cs="Times New Roman"/>
                <w:i w:val="0"/>
                <w:iCs w:val="0"/>
                <w:noProof/>
                <w:sz w:val="24"/>
                <w:szCs w:val="24"/>
              </w:rPr>
              <w:t>Economic Assumptions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67</w:t>
            </w:r>
            <w:r w:rsidR="00DA44A2" w:rsidRPr="1FC5E705">
              <w:rPr>
                <w:rFonts w:ascii="Times New Roman" w:hAnsi="Times New Roman" w:cs="Times New Roman"/>
                <w:i w:val="0"/>
                <w:iCs w:val="0"/>
                <w:noProof/>
                <w:webHidden/>
                <w:sz w:val="24"/>
                <w:szCs w:val="24"/>
              </w:rPr>
              <w:fldChar w:fldCharType="end"/>
            </w:r>
          </w:hyperlink>
        </w:p>
        <w:p w14:paraId="3E25CA93" w14:textId="576C600A"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5" w:history="1">
            <w:r w:rsidRPr="1FC5E705">
              <w:rPr>
                <w:rStyle w:val="Hyperlink"/>
                <w:rFonts w:cs="Times New Roman"/>
                <w:i w:val="0"/>
                <w:iCs w:val="0"/>
                <w:noProof/>
                <w:sz w:val="24"/>
                <w:szCs w:val="24"/>
              </w:rPr>
              <w:t>1.2.2.</w:t>
            </w:r>
            <w:r w:rsidR="00DA44A2">
              <w:rPr>
                <w:noProof/>
              </w:rPr>
              <w:tab/>
            </w:r>
            <w:r w:rsidRPr="1FC5E705">
              <w:rPr>
                <w:rStyle w:val="Hyperlink"/>
                <w:rFonts w:cs="Times New Roman"/>
                <w:i w:val="0"/>
                <w:iCs w:val="0"/>
                <w:noProof/>
                <w:sz w:val="24"/>
                <w:szCs w:val="24"/>
              </w:rPr>
              <w:t>International energy prices assumptions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69</w:t>
            </w:r>
            <w:r w:rsidR="00DA44A2" w:rsidRPr="1FC5E705">
              <w:rPr>
                <w:rFonts w:ascii="Times New Roman" w:hAnsi="Times New Roman" w:cs="Times New Roman"/>
                <w:i w:val="0"/>
                <w:iCs w:val="0"/>
                <w:noProof/>
                <w:webHidden/>
                <w:sz w:val="24"/>
                <w:szCs w:val="24"/>
              </w:rPr>
              <w:fldChar w:fldCharType="end"/>
            </w:r>
          </w:hyperlink>
        </w:p>
        <w:p w14:paraId="4AD94D48" w14:textId="48C9D00D"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6" w:history="1">
            <w:r w:rsidRPr="1FC5E705">
              <w:rPr>
                <w:rStyle w:val="Hyperlink"/>
                <w:rFonts w:cs="Times New Roman"/>
                <w:i w:val="0"/>
                <w:iCs w:val="0"/>
                <w:noProof/>
                <w:sz w:val="24"/>
                <w:szCs w:val="24"/>
              </w:rPr>
              <w:t>1.2.3.</w:t>
            </w:r>
            <w:r w:rsidR="00DA44A2">
              <w:rPr>
                <w:noProof/>
              </w:rPr>
              <w:tab/>
            </w:r>
            <w:r w:rsidRPr="1FC5E705">
              <w:rPr>
                <w:rStyle w:val="Hyperlink"/>
                <w:rFonts w:cs="Times New Roman"/>
                <w:i w:val="0"/>
                <w:iCs w:val="0"/>
                <w:noProof/>
                <w:sz w:val="24"/>
                <w:szCs w:val="24"/>
              </w:rPr>
              <w:t>Technology assumptions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70</w:t>
            </w:r>
            <w:r w:rsidR="00DA44A2" w:rsidRPr="1FC5E705">
              <w:rPr>
                <w:rFonts w:ascii="Times New Roman" w:hAnsi="Times New Roman" w:cs="Times New Roman"/>
                <w:i w:val="0"/>
                <w:iCs w:val="0"/>
                <w:noProof/>
                <w:webHidden/>
                <w:sz w:val="24"/>
                <w:szCs w:val="24"/>
              </w:rPr>
              <w:fldChar w:fldCharType="end"/>
            </w:r>
          </w:hyperlink>
        </w:p>
        <w:p w14:paraId="0D76A1DE" w14:textId="008CA7D6"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7" w:history="1">
            <w:r w:rsidRPr="1FC5E705">
              <w:rPr>
                <w:rStyle w:val="Hyperlink"/>
                <w:rFonts w:cs="Times New Roman"/>
                <w:i w:val="0"/>
                <w:iCs w:val="0"/>
                <w:noProof/>
                <w:sz w:val="24"/>
                <w:szCs w:val="24"/>
              </w:rPr>
              <w:t>1.2.3.1.</w:t>
            </w:r>
            <w:r w:rsidR="00DA44A2">
              <w:rPr>
                <w:noProof/>
              </w:rPr>
              <w:tab/>
            </w:r>
            <w:r w:rsidRPr="1FC5E705">
              <w:rPr>
                <w:rStyle w:val="Hyperlink"/>
                <w:rFonts w:cs="Times New Roman"/>
                <w:i w:val="0"/>
                <w:iCs w:val="0"/>
                <w:noProof/>
                <w:sz w:val="24"/>
                <w:szCs w:val="24"/>
              </w:rPr>
              <w:t>International aviation carbon pricing</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70</w:t>
            </w:r>
            <w:r w:rsidR="00DA44A2" w:rsidRPr="1FC5E705">
              <w:rPr>
                <w:rFonts w:ascii="Times New Roman" w:hAnsi="Times New Roman" w:cs="Times New Roman"/>
                <w:i w:val="0"/>
                <w:iCs w:val="0"/>
                <w:noProof/>
                <w:webHidden/>
                <w:sz w:val="24"/>
                <w:szCs w:val="24"/>
              </w:rPr>
              <w:fldChar w:fldCharType="end"/>
            </w:r>
          </w:hyperlink>
        </w:p>
        <w:p w14:paraId="1B2C8BE8" w14:textId="58858EFB"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68"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lang w:eastAsia="en-GB"/>
              </w:rPr>
              <w:t>Scenarios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_Toc232758168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71</w:t>
            </w:r>
            <w:r w:rsidR="00DA44A2" w:rsidRPr="003B24BC">
              <w:rPr>
                <w:rFonts w:ascii="Times New Roman" w:hAnsi="Times New Roman" w:cs="Times New Roman"/>
                <w:noProof/>
                <w:webHidden/>
                <w:sz w:val="24"/>
                <w:szCs w:val="24"/>
              </w:rPr>
              <w:fldChar w:fldCharType="end"/>
            </w:r>
          </w:hyperlink>
        </w:p>
        <w:p w14:paraId="16FFF6FC" w14:textId="737024A4"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69" w:history="1">
            <w:r w:rsidRPr="1FC5E705">
              <w:rPr>
                <w:rStyle w:val="Hyperlink"/>
                <w:rFonts w:cs="Times New Roman"/>
                <w:i w:val="0"/>
                <w:iCs w:val="0"/>
                <w:noProof/>
                <w:sz w:val="24"/>
                <w:szCs w:val="24"/>
              </w:rPr>
              <w:t>2.1.</w:t>
            </w:r>
            <w:r w:rsidR="00DA44A2">
              <w:rPr>
                <w:noProof/>
              </w:rPr>
              <w:tab/>
            </w:r>
            <w:r w:rsidRPr="1FC5E705">
              <w:rPr>
                <w:rStyle w:val="Hyperlink"/>
                <w:rFonts w:cs="Times New Roman"/>
                <w:i w:val="0"/>
                <w:iCs w:val="0"/>
                <w:noProof/>
                <w:sz w:val="24"/>
                <w:szCs w:val="24"/>
              </w:rPr>
              <w:t>Baseline Scenario</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_Toc232758169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71</w:t>
            </w:r>
            <w:r w:rsidR="00DA44A2" w:rsidRPr="1FC5E705">
              <w:rPr>
                <w:rFonts w:ascii="Times New Roman" w:hAnsi="Times New Roman" w:cs="Times New Roman"/>
                <w:i w:val="0"/>
                <w:iCs w:val="0"/>
                <w:noProof/>
                <w:webHidden/>
                <w:sz w:val="24"/>
                <w:szCs w:val="24"/>
              </w:rPr>
              <w:fldChar w:fldCharType="end"/>
            </w:r>
          </w:hyperlink>
        </w:p>
        <w:p w14:paraId="74B2E1C2" w14:textId="621D37B7"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0" w:history="1">
            <w:r w:rsidRPr="1FC5E705">
              <w:rPr>
                <w:rStyle w:val="Hyperlink"/>
                <w:rFonts w:cs="Times New Roman"/>
                <w:i w:val="0"/>
                <w:iCs w:val="0"/>
                <w:noProof/>
                <w:sz w:val="24"/>
                <w:szCs w:val="24"/>
              </w:rPr>
              <w:t>2.2.</w:t>
            </w:r>
            <w:r w:rsidR="00DA44A2">
              <w:rPr>
                <w:noProof/>
              </w:rPr>
              <w:tab/>
            </w:r>
            <w:r w:rsidRPr="1FC5E705">
              <w:rPr>
                <w:rStyle w:val="Hyperlink"/>
                <w:rFonts w:cs="Times New Roman"/>
                <w:i w:val="0"/>
                <w:iCs w:val="0"/>
                <w:noProof/>
                <w:sz w:val="24"/>
                <w:szCs w:val="24"/>
              </w:rPr>
              <w:t>85% Policy Scenario</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73</w:t>
            </w:r>
            <w:r w:rsidR="00DA44A2" w:rsidRPr="1FC5E705">
              <w:rPr>
                <w:rFonts w:ascii="Times New Roman" w:hAnsi="Times New Roman" w:cs="Times New Roman"/>
                <w:i w:val="0"/>
                <w:iCs w:val="0"/>
                <w:noProof/>
                <w:webHidden/>
                <w:sz w:val="24"/>
                <w:szCs w:val="24"/>
              </w:rPr>
              <w:fldChar w:fldCharType="end"/>
            </w:r>
          </w:hyperlink>
        </w:p>
        <w:p w14:paraId="0D8BC2DF" w14:textId="675C82CF"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1" w:history="1">
            <w:r w:rsidRPr="1FC5E705">
              <w:rPr>
                <w:rStyle w:val="Hyperlink"/>
                <w:rFonts w:cs="Times New Roman"/>
                <w:i w:val="0"/>
                <w:iCs w:val="0"/>
                <w:noProof/>
                <w:sz w:val="24"/>
                <w:szCs w:val="24"/>
              </w:rPr>
              <w:t>2.3.</w:t>
            </w:r>
            <w:r w:rsidR="00DA44A2">
              <w:rPr>
                <w:noProof/>
              </w:rPr>
              <w:tab/>
            </w:r>
            <w:r w:rsidRPr="1FC5E705">
              <w:rPr>
                <w:rStyle w:val="Hyperlink"/>
                <w:rFonts w:cs="Times New Roman"/>
                <w:i w:val="0"/>
                <w:iCs w:val="0"/>
                <w:noProof/>
                <w:sz w:val="24"/>
                <w:szCs w:val="24"/>
              </w:rPr>
              <w:t>Integration of different models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75</w:t>
            </w:r>
            <w:r w:rsidR="00DA44A2" w:rsidRPr="1FC5E705">
              <w:rPr>
                <w:rFonts w:ascii="Times New Roman" w:hAnsi="Times New Roman" w:cs="Times New Roman"/>
                <w:i w:val="0"/>
                <w:iCs w:val="0"/>
                <w:noProof/>
                <w:webHidden/>
                <w:sz w:val="24"/>
                <w:szCs w:val="24"/>
              </w:rPr>
              <w:fldChar w:fldCharType="end"/>
            </w:r>
          </w:hyperlink>
        </w:p>
        <w:p w14:paraId="45BF8DFF" w14:textId="27E7DDE7"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72" w:history="1">
            <w:r w:rsidRPr="1FC5E705">
              <w:rPr>
                <w:rStyle w:val="Hyperlink"/>
                <w:rFonts w:cs="Times New Roman"/>
                <w:noProof/>
                <w:sz w:val="24"/>
                <w:szCs w:val="24"/>
              </w:rPr>
              <w:t>3.</w:t>
            </w:r>
            <w:r w:rsidR="00DA44A2">
              <w:rPr>
                <w:noProof/>
              </w:rPr>
              <w:tab/>
            </w:r>
            <w:r w:rsidRPr="1FC5E705">
              <w:rPr>
                <w:rStyle w:val="Hyperlink"/>
                <w:rFonts w:cs="Times New Roman"/>
                <w:noProof/>
                <w:sz w:val="24"/>
                <w:szCs w:val="24"/>
                <w:lang w:eastAsia="en-GB"/>
              </w:rPr>
              <w:t>Modelling</w:t>
            </w:r>
            <w:r w:rsidRPr="1FC5E705">
              <w:rPr>
                <w:rStyle w:val="Hyperlink"/>
                <w:rFonts w:cs="Times New Roman"/>
                <w:noProof/>
                <w:sz w:val="24"/>
                <w:szCs w:val="24"/>
              </w:rPr>
              <w:t xml:space="preserve"> for the Market Stability Reserve (POLES-Enerdata)</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_Toc232758172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75</w:t>
            </w:r>
            <w:r w:rsidR="00DA44A2" w:rsidRPr="003B24BC">
              <w:rPr>
                <w:rFonts w:ascii="Times New Roman" w:hAnsi="Times New Roman" w:cs="Times New Roman"/>
                <w:noProof/>
                <w:webHidden/>
                <w:sz w:val="24"/>
                <w:szCs w:val="24"/>
              </w:rPr>
              <w:fldChar w:fldCharType="end"/>
            </w:r>
          </w:hyperlink>
        </w:p>
        <w:p w14:paraId="60B75730" w14:textId="29BC3E6F"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3" w:history="1">
            <w:r w:rsidRPr="1FC5E705">
              <w:rPr>
                <w:rStyle w:val="Hyperlink"/>
                <w:rFonts w:cs="Times New Roman"/>
                <w:i w:val="0"/>
                <w:iCs w:val="0"/>
                <w:noProof/>
                <w:sz w:val="24"/>
                <w:szCs w:val="24"/>
              </w:rPr>
              <w:t>3.1.</w:t>
            </w:r>
            <w:r w:rsidR="00DA44A2">
              <w:rPr>
                <w:noProof/>
              </w:rPr>
              <w:tab/>
            </w:r>
            <w:r w:rsidRPr="1FC5E705">
              <w:rPr>
                <w:rStyle w:val="Hyperlink"/>
                <w:rFonts w:cs="Times New Roman"/>
                <w:i w:val="0"/>
                <w:iCs w:val="0"/>
                <w:noProof/>
                <w:sz w:val="24"/>
                <w:szCs w:val="24"/>
              </w:rPr>
              <w:t>Approach for MSR analysis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75</w:t>
            </w:r>
            <w:r w:rsidR="00DA44A2" w:rsidRPr="1FC5E705">
              <w:rPr>
                <w:rFonts w:ascii="Times New Roman" w:hAnsi="Times New Roman" w:cs="Times New Roman"/>
                <w:i w:val="0"/>
                <w:iCs w:val="0"/>
                <w:noProof/>
                <w:webHidden/>
                <w:sz w:val="24"/>
                <w:szCs w:val="24"/>
              </w:rPr>
              <w:fldChar w:fldCharType="end"/>
            </w:r>
          </w:hyperlink>
        </w:p>
        <w:p w14:paraId="7498A753" w14:textId="238FF526"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4" w:history="1">
            <w:r w:rsidRPr="1FC5E705">
              <w:rPr>
                <w:rStyle w:val="Hyperlink"/>
                <w:rFonts w:cs="Times New Roman"/>
                <w:i w:val="0"/>
                <w:iCs w:val="0"/>
                <w:noProof/>
                <w:sz w:val="24"/>
                <w:szCs w:val="24"/>
              </w:rPr>
              <w:t>3.2.</w:t>
            </w:r>
            <w:r w:rsidR="00DA44A2">
              <w:rPr>
                <w:noProof/>
              </w:rPr>
              <w:tab/>
            </w:r>
            <w:r w:rsidRPr="1FC5E705">
              <w:rPr>
                <w:rStyle w:val="Hyperlink"/>
                <w:rFonts w:cs="Times New Roman"/>
                <w:i w:val="0"/>
                <w:iCs w:val="0"/>
                <w:noProof/>
                <w:sz w:val="24"/>
                <w:szCs w:val="24"/>
              </w:rPr>
              <w:t>Presentation of the model</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76</w:t>
            </w:r>
            <w:r w:rsidR="00DA44A2" w:rsidRPr="1FC5E705">
              <w:rPr>
                <w:rFonts w:ascii="Times New Roman" w:hAnsi="Times New Roman" w:cs="Times New Roman"/>
                <w:i w:val="0"/>
                <w:iCs w:val="0"/>
                <w:noProof/>
                <w:webHidden/>
                <w:sz w:val="24"/>
                <w:szCs w:val="24"/>
              </w:rPr>
              <w:fldChar w:fldCharType="end"/>
            </w:r>
          </w:hyperlink>
        </w:p>
        <w:p w14:paraId="1F5801A8" w14:textId="5D7E2C8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5" w:history="1">
            <w:r w:rsidRPr="1FC5E705">
              <w:rPr>
                <w:rStyle w:val="Hyperlink"/>
                <w:rFonts w:cs="Times New Roman"/>
                <w:i w:val="0"/>
                <w:iCs w:val="0"/>
                <w:noProof/>
                <w:sz w:val="24"/>
                <w:szCs w:val="24"/>
              </w:rPr>
              <w:t>3.3.</w:t>
            </w:r>
            <w:r w:rsidR="00DA44A2">
              <w:rPr>
                <w:noProof/>
              </w:rPr>
              <w:tab/>
            </w:r>
            <w:r w:rsidRPr="1FC5E705">
              <w:rPr>
                <w:rStyle w:val="Hyperlink"/>
                <w:rFonts w:cs="Times New Roman"/>
                <w:i w:val="0"/>
                <w:iCs w:val="0"/>
                <w:noProof/>
                <w:sz w:val="24"/>
                <w:szCs w:val="24"/>
              </w:rPr>
              <w:t>Baseline scenario design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80</w:t>
            </w:r>
            <w:r w:rsidR="00DA44A2" w:rsidRPr="1FC5E705">
              <w:rPr>
                <w:rFonts w:ascii="Times New Roman" w:hAnsi="Times New Roman" w:cs="Times New Roman"/>
                <w:i w:val="0"/>
                <w:iCs w:val="0"/>
                <w:noProof/>
                <w:webHidden/>
                <w:sz w:val="24"/>
                <w:szCs w:val="24"/>
              </w:rPr>
              <w:fldChar w:fldCharType="end"/>
            </w:r>
          </w:hyperlink>
        </w:p>
        <w:p w14:paraId="0E445018" w14:textId="78B50186"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6" w:history="1">
            <w:r w:rsidRPr="1FC5E705">
              <w:rPr>
                <w:rStyle w:val="Hyperlink"/>
                <w:rFonts w:cs="Times New Roman"/>
                <w:i w:val="0"/>
                <w:iCs w:val="0"/>
                <w:noProof/>
                <w:sz w:val="24"/>
                <w:szCs w:val="24"/>
              </w:rPr>
              <w:t>3.4.</w:t>
            </w:r>
            <w:r w:rsidR="00DA44A2">
              <w:rPr>
                <w:noProof/>
              </w:rPr>
              <w:tab/>
            </w:r>
            <w:r w:rsidRPr="1FC5E705">
              <w:rPr>
                <w:rStyle w:val="Hyperlink"/>
                <w:rFonts w:cs="Times New Roman"/>
                <w:i w:val="0"/>
                <w:iCs w:val="0"/>
                <w:noProof/>
                <w:sz w:val="24"/>
                <w:szCs w:val="24"/>
              </w:rPr>
              <w:t>Adaptation of the baseline with MSR modelling</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80</w:t>
            </w:r>
            <w:r w:rsidR="00DA44A2" w:rsidRPr="1FC5E705">
              <w:rPr>
                <w:rFonts w:ascii="Times New Roman" w:hAnsi="Times New Roman" w:cs="Times New Roman"/>
                <w:i w:val="0"/>
                <w:iCs w:val="0"/>
                <w:noProof/>
                <w:webHidden/>
                <w:sz w:val="24"/>
                <w:szCs w:val="24"/>
              </w:rPr>
              <w:fldChar w:fldCharType="end"/>
            </w:r>
          </w:hyperlink>
        </w:p>
        <w:p w14:paraId="6DC155D3" w14:textId="479C942D"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7" w:history="1">
            <w:r w:rsidRPr="1FC5E705">
              <w:rPr>
                <w:rStyle w:val="Hyperlink"/>
                <w:rFonts w:cs="Times New Roman"/>
                <w:i w:val="0"/>
                <w:iCs w:val="0"/>
                <w:noProof/>
                <w:sz w:val="24"/>
                <w:szCs w:val="24"/>
              </w:rPr>
              <w:t>3.4.1.</w:t>
            </w:r>
            <w:r w:rsidR="00DA44A2">
              <w:rPr>
                <w:noProof/>
              </w:rPr>
              <w:tab/>
            </w:r>
            <w:r w:rsidRPr="1FC5E705">
              <w:rPr>
                <w:rStyle w:val="Hyperlink"/>
                <w:rFonts w:cs="Times New Roman"/>
                <w:i w:val="0"/>
                <w:iCs w:val="0"/>
                <w:noProof/>
                <w:sz w:val="24"/>
                <w:szCs w:val="24"/>
              </w:rPr>
              <w:t>MSR methodology applied to the core working scenario</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80</w:t>
            </w:r>
            <w:r w:rsidR="00DA44A2" w:rsidRPr="1FC5E705">
              <w:rPr>
                <w:rFonts w:ascii="Times New Roman" w:hAnsi="Times New Roman" w:cs="Times New Roman"/>
                <w:i w:val="0"/>
                <w:iCs w:val="0"/>
                <w:noProof/>
                <w:webHidden/>
                <w:sz w:val="24"/>
                <w:szCs w:val="24"/>
              </w:rPr>
              <w:fldChar w:fldCharType="end"/>
            </w:r>
          </w:hyperlink>
        </w:p>
        <w:p w14:paraId="2D0666D5" w14:textId="0272931B"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8" w:history="1">
            <w:r w:rsidRPr="1FC5E705">
              <w:rPr>
                <w:rStyle w:val="Hyperlink"/>
                <w:rFonts w:cs="Times New Roman"/>
                <w:i w:val="0"/>
                <w:iCs w:val="0"/>
                <w:noProof/>
                <w:sz w:val="24"/>
                <w:szCs w:val="24"/>
              </w:rPr>
              <w:t>3.4.2.</w:t>
            </w:r>
            <w:r w:rsidR="00DA44A2">
              <w:rPr>
                <w:noProof/>
              </w:rPr>
              <w:tab/>
            </w:r>
            <w:r w:rsidRPr="1FC5E705">
              <w:rPr>
                <w:rStyle w:val="Hyperlink"/>
                <w:rFonts w:cs="Times New Roman"/>
                <w:i w:val="0"/>
                <w:iCs w:val="0"/>
                <w:noProof/>
                <w:sz w:val="24"/>
                <w:szCs w:val="24"/>
              </w:rPr>
              <w:t>Modelling the removals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81</w:t>
            </w:r>
            <w:r w:rsidR="00DA44A2" w:rsidRPr="1FC5E705">
              <w:rPr>
                <w:rFonts w:ascii="Times New Roman" w:hAnsi="Times New Roman" w:cs="Times New Roman"/>
                <w:i w:val="0"/>
                <w:iCs w:val="0"/>
                <w:noProof/>
                <w:webHidden/>
                <w:sz w:val="24"/>
                <w:szCs w:val="24"/>
              </w:rPr>
              <w:fldChar w:fldCharType="end"/>
            </w:r>
          </w:hyperlink>
        </w:p>
        <w:p w14:paraId="69A3B17F" w14:textId="6D534913"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79" w:history="1">
            <w:r w:rsidRPr="1FC5E705">
              <w:rPr>
                <w:rStyle w:val="Hyperlink"/>
                <w:rFonts w:cs="Times New Roman"/>
                <w:i w:val="0"/>
                <w:iCs w:val="0"/>
                <w:noProof/>
                <w:sz w:val="24"/>
                <w:szCs w:val="24"/>
              </w:rPr>
              <w:t>3.4.3.</w:t>
            </w:r>
            <w:r w:rsidR="00DA44A2">
              <w:rPr>
                <w:noProof/>
              </w:rPr>
              <w:tab/>
            </w:r>
            <w:r w:rsidRPr="1FC5E705">
              <w:rPr>
                <w:rStyle w:val="Hyperlink"/>
                <w:rFonts w:cs="Times New Roman"/>
                <w:i w:val="0"/>
                <w:iCs w:val="0"/>
                <w:noProof/>
                <w:sz w:val="24"/>
                <w:szCs w:val="24"/>
              </w:rPr>
              <w:t>Market parameters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_Toc232758179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82</w:t>
            </w:r>
            <w:r w:rsidR="00DA44A2" w:rsidRPr="1FC5E705">
              <w:rPr>
                <w:rFonts w:ascii="Times New Roman" w:hAnsi="Times New Roman" w:cs="Times New Roman"/>
                <w:i w:val="0"/>
                <w:iCs w:val="0"/>
                <w:noProof/>
                <w:webHidden/>
                <w:sz w:val="24"/>
                <w:szCs w:val="24"/>
              </w:rPr>
              <w:fldChar w:fldCharType="end"/>
            </w:r>
          </w:hyperlink>
        </w:p>
        <w:p w14:paraId="7B78C97D" w14:textId="38CD5335"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87" w:history="1">
            <w:r w:rsidRPr="1FC5E705">
              <w:rPr>
                <w:rStyle w:val="Hyperlink"/>
                <w:rFonts w:cs="Times New Roman"/>
                <w:i w:val="0"/>
                <w:iCs w:val="0"/>
                <w:noProof/>
                <w:sz w:val="24"/>
                <w:szCs w:val="24"/>
              </w:rPr>
              <w:t>3.5.</w:t>
            </w:r>
            <w:r w:rsidR="00DA44A2">
              <w:rPr>
                <w:noProof/>
              </w:rPr>
              <w:tab/>
            </w:r>
            <w:r w:rsidRPr="1FC5E705">
              <w:rPr>
                <w:rStyle w:val="Hyperlink"/>
                <w:rFonts w:cs="Times New Roman"/>
                <w:i w:val="0"/>
                <w:iCs w:val="0"/>
                <w:noProof/>
                <w:sz w:val="24"/>
                <w:szCs w:val="24"/>
              </w:rPr>
              <w:t>Assessing the impact of the policy options on the functioning of the MSR</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_Toc232758187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84</w:t>
            </w:r>
            <w:r w:rsidR="00DA44A2" w:rsidRPr="1FC5E705">
              <w:rPr>
                <w:rFonts w:ascii="Times New Roman" w:hAnsi="Times New Roman" w:cs="Times New Roman"/>
                <w:i w:val="0"/>
                <w:iCs w:val="0"/>
                <w:noProof/>
                <w:webHidden/>
                <w:sz w:val="24"/>
                <w:szCs w:val="24"/>
              </w:rPr>
              <w:fldChar w:fldCharType="end"/>
            </w:r>
          </w:hyperlink>
        </w:p>
        <w:p w14:paraId="63D6B2F9" w14:textId="10D7974A"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188" w:history="1">
            <w:r w:rsidRPr="1FC5E705">
              <w:rPr>
                <w:rStyle w:val="Hyperlink"/>
                <w:rFonts w:eastAsia="Arial" w:cs="Times New Roman"/>
                <w:noProof/>
                <w:sz w:val="24"/>
                <w:szCs w:val="24"/>
              </w:rPr>
              <w:t xml:space="preserve">Annex 5: </w:t>
            </w:r>
            <w:r w:rsidRPr="1FC5E705">
              <w:rPr>
                <w:rStyle w:val="Hyperlink"/>
                <w:rFonts w:cs="Times New Roman"/>
                <w:noProof/>
                <w:sz w:val="24"/>
                <w:szCs w:val="24"/>
              </w:rPr>
              <w:t>Competitiveness</w:t>
            </w:r>
            <w:r w:rsidRPr="1FC5E705">
              <w:rPr>
                <w:rStyle w:val="Hyperlink"/>
                <w:rFonts w:eastAsia="Arial" w:cs="Times New Roman"/>
                <w:noProof/>
                <w:sz w:val="24"/>
                <w:szCs w:val="24"/>
              </w:rPr>
              <w:t xml:space="preserve"> check</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_Toc232758188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86</w:t>
            </w:r>
            <w:r w:rsidR="00DA44A2" w:rsidRPr="003B24BC">
              <w:rPr>
                <w:rFonts w:ascii="Times New Roman" w:hAnsi="Times New Roman" w:cs="Times New Roman"/>
                <w:noProof/>
                <w:webHidden/>
                <w:sz w:val="24"/>
                <w:szCs w:val="24"/>
              </w:rPr>
              <w:fldChar w:fldCharType="end"/>
            </w:r>
          </w:hyperlink>
        </w:p>
        <w:p w14:paraId="3E9CF052" w14:textId="7C711F51"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89"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lang w:eastAsia="en-GB"/>
              </w:rPr>
              <w:t>Overview</w:t>
            </w:r>
            <w:r w:rsidRPr="1FC5E705">
              <w:rPr>
                <w:rStyle w:val="Hyperlink"/>
                <w:rFonts w:cs="Times New Roman"/>
                <w:noProof/>
                <w:sz w:val="24"/>
                <w:szCs w:val="24"/>
              </w:rPr>
              <w:t xml:space="preserve"> of impacts on competitiveness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_Toc232758189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86</w:t>
            </w:r>
            <w:r w:rsidR="00DA44A2" w:rsidRPr="003B24BC">
              <w:rPr>
                <w:rFonts w:ascii="Times New Roman" w:hAnsi="Times New Roman" w:cs="Times New Roman"/>
                <w:noProof/>
                <w:webHidden/>
                <w:sz w:val="24"/>
                <w:szCs w:val="24"/>
              </w:rPr>
              <w:fldChar w:fldCharType="end"/>
            </w:r>
          </w:hyperlink>
        </w:p>
        <w:p w14:paraId="25BC48EA" w14:textId="274C4476"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90"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lang w:eastAsia="en-GB"/>
              </w:rPr>
              <w:t>Synthetic</w:t>
            </w:r>
            <w:r w:rsidRPr="1FC5E705">
              <w:rPr>
                <w:rStyle w:val="Hyperlink"/>
                <w:rFonts w:eastAsia="Arial" w:cs="Times New Roman"/>
                <w:noProof/>
                <w:sz w:val="24"/>
                <w:szCs w:val="24"/>
              </w:rPr>
              <w:t xml:space="preserve"> assessment</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_Toc232758190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87</w:t>
            </w:r>
            <w:r w:rsidR="00DA44A2" w:rsidRPr="003B24BC">
              <w:rPr>
                <w:rFonts w:ascii="Times New Roman" w:hAnsi="Times New Roman" w:cs="Times New Roman"/>
                <w:noProof/>
                <w:webHidden/>
                <w:sz w:val="24"/>
                <w:szCs w:val="24"/>
              </w:rPr>
              <w:fldChar w:fldCharType="end"/>
            </w:r>
          </w:hyperlink>
        </w:p>
        <w:p w14:paraId="43460BA7" w14:textId="692387C2"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1" w:history="1">
            <w:r w:rsidRPr="1FC5E705">
              <w:rPr>
                <w:rStyle w:val="Hyperlink"/>
                <w:rFonts w:cs="Times New Roman"/>
                <w:i w:val="0"/>
                <w:iCs w:val="0"/>
                <w:noProof/>
                <w:sz w:val="24"/>
                <w:szCs w:val="24"/>
              </w:rPr>
              <w:t>2.1.</w:t>
            </w:r>
            <w:r w:rsidR="00DA44A2">
              <w:rPr>
                <w:noProof/>
              </w:rPr>
              <w:tab/>
            </w:r>
            <w:r w:rsidRPr="1FC5E705">
              <w:rPr>
                <w:rStyle w:val="Hyperlink"/>
                <w:rFonts w:cs="Times New Roman"/>
                <w:i w:val="0"/>
                <w:iCs w:val="0"/>
                <w:noProof/>
                <w:sz w:val="24"/>
                <w:szCs w:val="24"/>
              </w:rPr>
              <w:t>Cost</w:t>
            </w:r>
            <w:r w:rsidRPr="1FC5E705">
              <w:rPr>
                <w:rStyle w:val="Hyperlink"/>
                <w:rFonts w:eastAsia="Arial" w:cs="Times New Roman"/>
                <w:i w:val="0"/>
                <w:iCs w:val="0"/>
                <w:noProof/>
                <w:sz w:val="24"/>
                <w:szCs w:val="24"/>
              </w:rPr>
              <w:t xml:space="preserve"> and price competitiveness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87</w:t>
            </w:r>
            <w:r w:rsidR="00DA44A2" w:rsidRPr="1FC5E705">
              <w:rPr>
                <w:rFonts w:ascii="Times New Roman" w:hAnsi="Times New Roman" w:cs="Times New Roman"/>
                <w:i w:val="0"/>
                <w:iCs w:val="0"/>
                <w:noProof/>
                <w:webHidden/>
                <w:sz w:val="24"/>
                <w:szCs w:val="24"/>
              </w:rPr>
              <w:fldChar w:fldCharType="end"/>
            </w:r>
          </w:hyperlink>
        </w:p>
        <w:p w14:paraId="7139ECEB" w14:textId="798022D6"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2" w:history="1">
            <w:r w:rsidRPr="1FC5E705">
              <w:rPr>
                <w:rStyle w:val="Hyperlink"/>
                <w:rFonts w:cs="Times New Roman"/>
                <w:i w:val="0"/>
                <w:iCs w:val="0"/>
                <w:noProof/>
                <w:sz w:val="24"/>
                <w:szCs w:val="24"/>
              </w:rPr>
              <w:t>2.2.</w:t>
            </w:r>
            <w:r w:rsidR="00DA44A2">
              <w:rPr>
                <w:noProof/>
              </w:rPr>
              <w:tab/>
            </w:r>
            <w:r w:rsidRPr="1FC5E705">
              <w:rPr>
                <w:rStyle w:val="Hyperlink"/>
                <w:rFonts w:cs="Times New Roman"/>
                <w:i w:val="0"/>
                <w:iCs w:val="0"/>
                <w:noProof/>
                <w:sz w:val="24"/>
                <w:szCs w:val="24"/>
              </w:rPr>
              <w:t>International</w:t>
            </w:r>
            <w:r w:rsidRPr="1FC5E705">
              <w:rPr>
                <w:rStyle w:val="Hyperlink"/>
                <w:rFonts w:eastAsia="Arial" w:cs="Times New Roman"/>
                <w:i w:val="0"/>
                <w:iCs w:val="0"/>
                <w:noProof/>
                <w:sz w:val="24"/>
                <w:szCs w:val="24"/>
              </w:rPr>
              <w:t xml:space="preserve"> competitiveness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88</w:t>
            </w:r>
            <w:r w:rsidR="00DA44A2" w:rsidRPr="1FC5E705">
              <w:rPr>
                <w:rFonts w:ascii="Times New Roman" w:hAnsi="Times New Roman" w:cs="Times New Roman"/>
                <w:i w:val="0"/>
                <w:iCs w:val="0"/>
                <w:noProof/>
                <w:webHidden/>
                <w:sz w:val="24"/>
                <w:szCs w:val="24"/>
              </w:rPr>
              <w:fldChar w:fldCharType="end"/>
            </w:r>
          </w:hyperlink>
        </w:p>
        <w:p w14:paraId="5642D8BF" w14:textId="56892D7E"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3" w:history="1">
            <w:r w:rsidRPr="1FC5E705">
              <w:rPr>
                <w:rStyle w:val="Hyperlink"/>
                <w:rFonts w:cs="Times New Roman"/>
                <w:i w:val="0"/>
                <w:iCs w:val="0"/>
                <w:noProof/>
                <w:sz w:val="24"/>
                <w:szCs w:val="24"/>
              </w:rPr>
              <w:t>2.3.</w:t>
            </w:r>
            <w:r w:rsidR="00DA44A2">
              <w:rPr>
                <w:noProof/>
              </w:rPr>
              <w:tab/>
            </w:r>
            <w:r w:rsidRPr="1FC5E705">
              <w:rPr>
                <w:rStyle w:val="Hyperlink"/>
                <w:rFonts w:cs="Times New Roman"/>
                <w:i w:val="0"/>
                <w:iCs w:val="0"/>
                <w:noProof/>
                <w:sz w:val="24"/>
                <w:szCs w:val="24"/>
              </w:rPr>
              <w:t>Capacity</w:t>
            </w:r>
            <w:r w:rsidRPr="1FC5E705">
              <w:rPr>
                <w:rStyle w:val="Hyperlink"/>
                <w:rFonts w:eastAsia="Arial" w:cs="Times New Roman"/>
                <w:i w:val="0"/>
                <w:iCs w:val="0"/>
                <w:noProof/>
                <w:sz w:val="24"/>
                <w:szCs w:val="24"/>
              </w:rPr>
              <w:t xml:space="preserve"> to innovate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88</w:t>
            </w:r>
            <w:r w:rsidR="00DA44A2" w:rsidRPr="1FC5E705">
              <w:rPr>
                <w:rFonts w:ascii="Times New Roman" w:hAnsi="Times New Roman" w:cs="Times New Roman"/>
                <w:i w:val="0"/>
                <w:iCs w:val="0"/>
                <w:noProof/>
                <w:webHidden/>
                <w:sz w:val="24"/>
                <w:szCs w:val="24"/>
              </w:rPr>
              <w:fldChar w:fldCharType="end"/>
            </w:r>
          </w:hyperlink>
        </w:p>
        <w:p w14:paraId="5D820E72" w14:textId="1D12DA1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4" w:history="1">
            <w:r w:rsidRPr="1FC5E705">
              <w:rPr>
                <w:rStyle w:val="Hyperlink"/>
                <w:rFonts w:eastAsia="Arial" w:cs="Times New Roman"/>
                <w:i w:val="0"/>
                <w:iCs w:val="0"/>
                <w:noProof/>
                <w:sz w:val="24"/>
                <w:szCs w:val="24"/>
              </w:rPr>
              <w:t>2.4.</w:t>
            </w:r>
            <w:r w:rsidR="00DA44A2">
              <w:rPr>
                <w:noProof/>
              </w:rPr>
              <w:tab/>
            </w:r>
            <w:r w:rsidRPr="1FC5E705">
              <w:rPr>
                <w:rStyle w:val="Hyperlink"/>
                <w:rFonts w:cs="Times New Roman"/>
                <w:i w:val="0"/>
                <w:iCs w:val="0"/>
                <w:noProof/>
                <w:sz w:val="24"/>
                <w:szCs w:val="24"/>
              </w:rPr>
              <w:t>SME</w:t>
            </w:r>
            <w:r w:rsidRPr="1FC5E705">
              <w:rPr>
                <w:rStyle w:val="Hyperlink"/>
                <w:rFonts w:eastAsia="Arial" w:cs="Times New Roman"/>
                <w:i w:val="0"/>
                <w:iCs w:val="0"/>
                <w:noProof/>
                <w:sz w:val="24"/>
                <w:szCs w:val="24"/>
              </w:rPr>
              <w:t xml:space="preserve"> competitiveness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89</w:t>
            </w:r>
            <w:r w:rsidR="00DA44A2" w:rsidRPr="1FC5E705">
              <w:rPr>
                <w:rFonts w:ascii="Times New Roman" w:hAnsi="Times New Roman" w:cs="Times New Roman"/>
                <w:i w:val="0"/>
                <w:iCs w:val="0"/>
                <w:noProof/>
                <w:webHidden/>
                <w:sz w:val="24"/>
                <w:szCs w:val="24"/>
              </w:rPr>
              <w:fldChar w:fldCharType="end"/>
            </w:r>
          </w:hyperlink>
        </w:p>
        <w:p w14:paraId="61711D4E" w14:textId="13ADE43D"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195" w:history="1">
            <w:r w:rsidRPr="1FC5E705">
              <w:rPr>
                <w:rStyle w:val="Hyperlink"/>
                <w:rFonts w:cs="Times New Roman"/>
                <w:noProof/>
                <w:sz w:val="24"/>
                <w:szCs w:val="24"/>
              </w:rPr>
              <w:t>3.</w:t>
            </w:r>
            <w:r w:rsidR="00DA44A2">
              <w:rPr>
                <w:noProof/>
              </w:rPr>
              <w:tab/>
            </w:r>
            <w:r w:rsidRPr="1FC5E705">
              <w:rPr>
                <w:rStyle w:val="Hyperlink"/>
                <w:rFonts w:cs="Times New Roman"/>
                <w:noProof/>
                <w:sz w:val="24"/>
                <w:szCs w:val="24"/>
                <w:lang w:eastAsia="en-GB"/>
              </w:rPr>
              <w:t>Competitive</w:t>
            </w:r>
            <w:r w:rsidRPr="1FC5E705">
              <w:rPr>
                <w:rStyle w:val="Hyperlink"/>
                <w:rFonts w:cs="Times New Roman"/>
                <w:noProof/>
                <w:sz w:val="24"/>
                <w:szCs w:val="24"/>
              </w:rPr>
              <w:t xml:space="preserve"> position of the most affected sectors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_Toc232758195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89</w:t>
            </w:r>
            <w:r w:rsidR="00DA44A2" w:rsidRPr="003B24BC">
              <w:rPr>
                <w:rFonts w:ascii="Times New Roman" w:hAnsi="Times New Roman" w:cs="Times New Roman"/>
                <w:noProof/>
                <w:webHidden/>
                <w:sz w:val="24"/>
                <w:szCs w:val="24"/>
              </w:rPr>
              <w:fldChar w:fldCharType="end"/>
            </w:r>
          </w:hyperlink>
        </w:p>
        <w:p w14:paraId="4B7E16C5" w14:textId="4901E420"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6" w:history="1">
            <w:r w:rsidRPr="1FC5E705">
              <w:rPr>
                <w:rStyle w:val="Hyperlink"/>
                <w:rFonts w:cs="Times New Roman"/>
                <w:i w:val="0"/>
                <w:iCs w:val="0"/>
                <w:noProof/>
                <w:sz w:val="24"/>
                <w:szCs w:val="24"/>
              </w:rPr>
              <w:t>3.1.</w:t>
            </w:r>
            <w:r w:rsidR="00DA44A2">
              <w:rPr>
                <w:noProof/>
              </w:rPr>
              <w:tab/>
            </w:r>
            <w:r w:rsidRPr="1FC5E705">
              <w:rPr>
                <w:rStyle w:val="Hyperlink"/>
                <w:rFonts w:cs="Times New Roman"/>
                <w:i w:val="0"/>
                <w:iCs w:val="0"/>
                <w:noProof/>
                <w:sz w:val="24"/>
                <w:szCs w:val="24"/>
              </w:rPr>
              <w:t>Industry (stationary installations)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89</w:t>
            </w:r>
            <w:r w:rsidR="00DA44A2" w:rsidRPr="1FC5E705">
              <w:rPr>
                <w:rFonts w:ascii="Times New Roman" w:hAnsi="Times New Roman" w:cs="Times New Roman"/>
                <w:i w:val="0"/>
                <w:iCs w:val="0"/>
                <w:noProof/>
                <w:webHidden/>
                <w:sz w:val="24"/>
                <w:szCs w:val="24"/>
              </w:rPr>
              <w:fldChar w:fldCharType="end"/>
            </w:r>
          </w:hyperlink>
        </w:p>
        <w:p w14:paraId="3F3C70D0" w14:textId="2DEB962C"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7" w:history="1">
            <w:r w:rsidRPr="1FC5E705">
              <w:rPr>
                <w:rStyle w:val="Hyperlink"/>
                <w:rFonts w:cs="Times New Roman"/>
                <w:i w:val="0"/>
                <w:iCs w:val="0"/>
                <w:noProof/>
                <w:sz w:val="24"/>
                <w:szCs w:val="24"/>
              </w:rPr>
              <w:t>3.2.</w:t>
            </w:r>
            <w:r w:rsidR="00DA44A2">
              <w:rPr>
                <w:noProof/>
              </w:rPr>
              <w:tab/>
            </w:r>
            <w:r w:rsidRPr="1FC5E705">
              <w:rPr>
                <w:rStyle w:val="Hyperlink"/>
                <w:rFonts w:cs="Times New Roman"/>
                <w:i w:val="0"/>
                <w:iCs w:val="0"/>
                <w:noProof/>
                <w:sz w:val="24"/>
                <w:szCs w:val="24"/>
              </w:rPr>
              <w:t>Waste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90</w:t>
            </w:r>
            <w:r w:rsidR="00DA44A2" w:rsidRPr="1FC5E705">
              <w:rPr>
                <w:rFonts w:ascii="Times New Roman" w:hAnsi="Times New Roman" w:cs="Times New Roman"/>
                <w:i w:val="0"/>
                <w:iCs w:val="0"/>
                <w:noProof/>
                <w:webHidden/>
                <w:sz w:val="24"/>
                <w:szCs w:val="24"/>
              </w:rPr>
              <w:fldChar w:fldCharType="end"/>
            </w:r>
          </w:hyperlink>
        </w:p>
        <w:p w14:paraId="0CC0AEF6" w14:textId="467DABF0"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8" w:history="1">
            <w:r w:rsidRPr="1FC5E705">
              <w:rPr>
                <w:rStyle w:val="Hyperlink"/>
                <w:rFonts w:cs="Times New Roman"/>
                <w:i w:val="0"/>
                <w:iCs w:val="0"/>
                <w:noProof/>
                <w:sz w:val="24"/>
                <w:szCs w:val="24"/>
              </w:rPr>
              <w:t>3.3.</w:t>
            </w:r>
            <w:r w:rsidR="00DA44A2">
              <w:rPr>
                <w:noProof/>
              </w:rPr>
              <w:tab/>
            </w:r>
            <w:r w:rsidRPr="1FC5E705">
              <w:rPr>
                <w:rStyle w:val="Hyperlink"/>
                <w:rFonts w:cs="Times New Roman"/>
                <w:i w:val="0"/>
                <w:iCs w:val="0"/>
                <w:noProof/>
                <w:sz w:val="24"/>
                <w:szCs w:val="24"/>
              </w:rPr>
              <w:t>Aviation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90</w:t>
            </w:r>
            <w:r w:rsidR="00DA44A2" w:rsidRPr="1FC5E705">
              <w:rPr>
                <w:rFonts w:ascii="Times New Roman" w:hAnsi="Times New Roman" w:cs="Times New Roman"/>
                <w:i w:val="0"/>
                <w:iCs w:val="0"/>
                <w:noProof/>
                <w:webHidden/>
                <w:sz w:val="24"/>
                <w:szCs w:val="24"/>
              </w:rPr>
              <w:fldChar w:fldCharType="end"/>
            </w:r>
          </w:hyperlink>
        </w:p>
        <w:p w14:paraId="5704CD36" w14:textId="16ACDBB4"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199" w:history="1">
            <w:r w:rsidRPr="1FC5E705">
              <w:rPr>
                <w:rStyle w:val="Hyperlink"/>
                <w:rFonts w:cs="Times New Roman"/>
                <w:i w:val="0"/>
                <w:iCs w:val="0"/>
                <w:noProof/>
                <w:sz w:val="24"/>
                <w:szCs w:val="24"/>
              </w:rPr>
              <w:t>3.4.</w:t>
            </w:r>
            <w:r w:rsidR="00DA44A2">
              <w:rPr>
                <w:noProof/>
              </w:rPr>
              <w:tab/>
            </w:r>
            <w:r w:rsidRPr="1FC5E705">
              <w:rPr>
                <w:rStyle w:val="Hyperlink"/>
                <w:rFonts w:cs="Times New Roman"/>
                <w:i w:val="0"/>
                <w:iCs w:val="0"/>
                <w:noProof/>
                <w:sz w:val="24"/>
                <w:szCs w:val="24"/>
              </w:rPr>
              <w:t>Maritime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_Toc232758199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91</w:t>
            </w:r>
            <w:r w:rsidR="00DA44A2" w:rsidRPr="1FC5E705">
              <w:rPr>
                <w:rFonts w:ascii="Times New Roman" w:hAnsi="Times New Roman" w:cs="Times New Roman"/>
                <w:i w:val="0"/>
                <w:iCs w:val="0"/>
                <w:noProof/>
                <w:webHidden/>
                <w:sz w:val="24"/>
                <w:szCs w:val="24"/>
              </w:rPr>
              <w:fldChar w:fldCharType="end"/>
            </w:r>
          </w:hyperlink>
        </w:p>
        <w:p w14:paraId="6E417325" w14:textId="6470E4ED"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00" w:history="1">
            <w:r w:rsidRPr="1FC5E705">
              <w:rPr>
                <w:rStyle w:val="Hyperlink"/>
                <w:rFonts w:cs="Times New Roman"/>
                <w:noProof/>
                <w:sz w:val="24"/>
                <w:szCs w:val="24"/>
              </w:rPr>
              <w:t>4.</w:t>
            </w:r>
            <w:r w:rsidR="00DA44A2">
              <w:rPr>
                <w:noProof/>
              </w:rPr>
              <w:tab/>
            </w:r>
            <w:r w:rsidRPr="1FC5E705">
              <w:rPr>
                <w:rStyle w:val="Hyperlink"/>
                <w:rFonts w:cs="Times New Roman"/>
                <w:noProof/>
                <w:sz w:val="24"/>
                <w:szCs w:val="24"/>
                <w:lang w:eastAsia="en-GB"/>
              </w:rPr>
              <w:t>Overall</w:t>
            </w:r>
            <w:r w:rsidRPr="1FC5E705">
              <w:rPr>
                <w:rStyle w:val="Hyperlink"/>
                <w:rFonts w:eastAsia="Arial" w:cs="Times New Roman"/>
                <w:noProof/>
                <w:sz w:val="24"/>
                <w:szCs w:val="24"/>
              </w:rPr>
              <w:t xml:space="preserve"> conclusion</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_Toc232758200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91</w:t>
            </w:r>
            <w:r w:rsidR="00DA44A2" w:rsidRPr="003B24BC">
              <w:rPr>
                <w:rFonts w:ascii="Times New Roman" w:hAnsi="Times New Roman" w:cs="Times New Roman"/>
                <w:noProof/>
                <w:webHidden/>
                <w:sz w:val="24"/>
                <w:szCs w:val="24"/>
              </w:rPr>
              <w:fldChar w:fldCharType="end"/>
            </w:r>
          </w:hyperlink>
        </w:p>
        <w:p w14:paraId="5FEB4D2C" w14:textId="1105B540"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201" w:history="1">
            <w:r w:rsidRPr="1FC5E705">
              <w:rPr>
                <w:rStyle w:val="Hyperlink"/>
                <w:rFonts w:eastAsia="Arial" w:cs="Times New Roman"/>
                <w:noProof/>
                <w:sz w:val="24"/>
                <w:szCs w:val="24"/>
              </w:rPr>
              <w:t>Annex 6: The SME Test</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_Toc232758201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92</w:t>
            </w:r>
            <w:r w:rsidR="00DA44A2" w:rsidRPr="003B24BC">
              <w:rPr>
                <w:rFonts w:ascii="Times New Roman" w:hAnsi="Times New Roman" w:cs="Times New Roman"/>
                <w:noProof/>
                <w:webHidden/>
                <w:sz w:val="24"/>
                <w:szCs w:val="24"/>
              </w:rPr>
              <w:fldChar w:fldCharType="end"/>
            </w:r>
          </w:hyperlink>
        </w:p>
        <w:p w14:paraId="60FC7F34" w14:textId="609844AF"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02" w:history="1">
            <w:r w:rsidRPr="1FC5E705">
              <w:rPr>
                <w:rStyle w:val="Hyperlink"/>
                <w:rFonts w:cs="Times New Roman"/>
                <w:noProof/>
                <w:sz w:val="24"/>
                <w:szCs w:val="24"/>
              </w:rPr>
              <w:t>1.</w:t>
            </w:r>
            <w:r w:rsidR="00DA44A2">
              <w:rPr>
                <w:noProof/>
              </w:rPr>
              <w:tab/>
            </w:r>
            <w:r w:rsidRPr="1FC5E705">
              <w:rPr>
                <w:rStyle w:val="Hyperlink"/>
                <w:rFonts w:cs="Times New Roman"/>
                <w:noProof/>
                <w:sz w:val="24"/>
                <w:szCs w:val="24"/>
                <w:lang w:eastAsia="en-GB"/>
              </w:rPr>
              <w:t>Overview</w:t>
            </w:r>
            <w:r w:rsidRPr="1FC5E705">
              <w:rPr>
                <w:rStyle w:val="Hyperlink"/>
                <w:rFonts w:eastAsia="Verdana" w:cs="Times New Roman"/>
                <w:noProof/>
                <w:sz w:val="24"/>
                <w:szCs w:val="24"/>
              </w:rPr>
              <w:t xml:space="preserve"> of impacts on SMEs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_Toc232758202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92</w:t>
            </w:r>
            <w:r w:rsidR="00DA44A2" w:rsidRPr="003B24BC">
              <w:rPr>
                <w:rFonts w:ascii="Times New Roman" w:hAnsi="Times New Roman" w:cs="Times New Roman"/>
                <w:noProof/>
                <w:webHidden/>
                <w:sz w:val="24"/>
                <w:szCs w:val="24"/>
              </w:rPr>
              <w:fldChar w:fldCharType="end"/>
            </w:r>
          </w:hyperlink>
        </w:p>
        <w:p w14:paraId="51A8CF26" w14:textId="5BFE95FA" w:rsidR="00DA44A2" w:rsidRPr="003B24BC" w:rsidRDefault="3CF3DC5D" w:rsidP="00975687">
          <w:pPr>
            <w:pStyle w:val="TOC1"/>
            <w:tabs>
              <w:tab w:val="right" w:leader="dot" w:pos="8468"/>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8203" w:history="1">
            <w:r w:rsidRPr="1FC5E705">
              <w:rPr>
                <w:rStyle w:val="Hyperlink"/>
                <w:rFonts w:cs="Times New Roman"/>
                <w:noProof/>
                <w:sz w:val="24"/>
                <w:szCs w:val="24"/>
              </w:rPr>
              <w:t>Annex 7: Problem definition, detailed baseline and policy  measures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_Toc232758203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97</w:t>
            </w:r>
            <w:r w:rsidR="00DA44A2" w:rsidRPr="003B24BC">
              <w:rPr>
                <w:rFonts w:ascii="Times New Roman" w:hAnsi="Times New Roman" w:cs="Times New Roman"/>
                <w:noProof/>
                <w:webHidden/>
                <w:sz w:val="24"/>
                <w:szCs w:val="24"/>
              </w:rPr>
              <w:fldChar w:fldCharType="end"/>
            </w:r>
          </w:hyperlink>
        </w:p>
        <w:p w14:paraId="541FB5CD" w14:textId="228988F4" w:rsidR="00DA44A2" w:rsidRPr="003B24BC" w:rsidRDefault="3CF3DC5D" w:rsidP="00975687">
          <w:pPr>
            <w:pStyle w:val="TOC2"/>
            <w:tabs>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04" w:history="1">
            <w:r w:rsidRPr="1FC5E705">
              <w:rPr>
                <w:rStyle w:val="Hyperlink"/>
                <w:rFonts w:cs="Times New Roman"/>
                <w:noProof/>
                <w:sz w:val="24"/>
                <w:szCs w:val="24"/>
              </w:rPr>
              <w:t xml:space="preserve">List of </w:t>
            </w:r>
            <w:r w:rsidRPr="1FC5E705">
              <w:rPr>
                <w:rStyle w:val="Hyperlink"/>
                <w:rFonts w:cs="Times New Roman"/>
                <w:noProof/>
                <w:sz w:val="24"/>
                <w:szCs w:val="24"/>
                <w:lang w:eastAsia="en-GB"/>
              </w:rPr>
              <w:t>Tables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_Toc232758204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97</w:t>
            </w:r>
            <w:r w:rsidR="00DA44A2" w:rsidRPr="003B24BC">
              <w:rPr>
                <w:rFonts w:ascii="Times New Roman" w:hAnsi="Times New Roman" w:cs="Times New Roman"/>
                <w:noProof/>
                <w:webHidden/>
                <w:sz w:val="24"/>
                <w:szCs w:val="24"/>
              </w:rPr>
              <w:fldChar w:fldCharType="end"/>
            </w:r>
          </w:hyperlink>
        </w:p>
        <w:p w14:paraId="5F8E60DF" w14:textId="01C5D462" w:rsidR="00DA44A2" w:rsidRPr="003B24BC" w:rsidRDefault="3CF3DC5D" w:rsidP="00975687">
          <w:pPr>
            <w:pStyle w:val="TOC2"/>
            <w:tabs>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05" w:history="1">
            <w:r w:rsidRPr="1FC5E705">
              <w:rPr>
                <w:rStyle w:val="Hyperlink"/>
                <w:rFonts w:cs="Times New Roman"/>
                <w:noProof/>
                <w:sz w:val="24"/>
                <w:szCs w:val="24"/>
              </w:rPr>
              <w:t>List of Figures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_Toc232758205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97</w:t>
            </w:r>
            <w:r w:rsidR="00DA44A2" w:rsidRPr="003B24BC">
              <w:rPr>
                <w:rFonts w:ascii="Times New Roman" w:hAnsi="Times New Roman" w:cs="Times New Roman"/>
                <w:noProof/>
                <w:webHidden/>
                <w:sz w:val="24"/>
                <w:szCs w:val="24"/>
              </w:rPr>
              <w:fldChar w:fldCharType="end"/>
            </w:r>
          </w:hyperlink>
        </w:p>
        <w:p w14:paraId="74273E53" w14:textId="2316E366"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06" w:history="1">
            <w:r w:rsidRPr="1FC5E705">
              <w:rPr>
                <w:rStyle w:val="Hyperlink"/>
                <w:rFonts w:cs="Times New Roman"/>
                <w:noProof/>
                <w:sz w:val="24"/>
                <w:szCs w:val="24"/>
                <w:lang w:eastAsia="en-GB"/>
              </w:rPr>
              <w:t>1.</w:t>
            </w:r>
            <w:r w:rsidR="00DA44A2">
              <w:rPr>
                <w:noProof/>
              </w:rPr>
              <w:tab/>
            </w:r>
            <w:r w:rsidRPr="1FC5E705">
              <w:rPr>
                <w:rStyle w:val="Hyperlink"/>
                <w:rFonts w:cs="Times New Roman"/>
                <w:noProof/>
                <w:sz w:val="24"/>
                <w:szCs w:val="24"/>
              </w:rPr>
              <w:t>Problem</w:t>
            </w:r>
            <w:r w:rsidRPr="1FC5E705">
              <w:rPr>
                <w:rStyle w:val="Hyperlink"/>
                <w:rFonts w:cs="Times New Roman"/>
                <w:noProof/>
                <w:sz w:val="24"/>
                <w:szCs w:val="24"/>
                <w:lang w:eastAsia="en-GB"/>
              </w:rPr>
              <w:t xml:space="preserve"> definition</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_Toc232758206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98</w:t>
            </w:r>
            <w:r w:rsidR="00DA44A2" w:rsidRPr="003B24BC">
              <w:rPr>
                <w:rFonts w:ascii="Times New Roman" w:hAnsi="Times New Roman" w:cs="Times New Roman"/>
                <w:noProof/>
                <w:webHidden/>
                <w:sz w:val="24"/>
                <w:szCs w:val="24"/>
              </w:rPr>
              <w:fldChar w:fldCharType="end"/>
            </w:r>
          </w:hyperlink>
        </w:p>
        <w:p w14:paraId="208EE4E6" w14:textId="6DD87B02"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07" w:history="1">
            <w:r w:rsidRPr="1FC5E705">
              <w:rPr>
                <w:rStyle w:val="Hyperlink"/>
                <w:rFonts w:cs="Times New Roman"/>
                <w:i w:val="0"/>
                <w:iCs w:val="0"/>
                <w:noProof/>
                <w:sz w:val="24"/>
                <w:szCs w:val="24"/>
                <w:lang w:eastAsia="en-GB"/>
              </w:rPr>
              <w:t>1.1.</w:t>
            </w:r>
            <w:r w:rsidR="00DA44A2">
              <w:rPr>
                <w:noProof/>
              </w:rPr>
              <w:tab/>
            </w:r>
            <w:r w:rsidRPr="1FC5E705">
              <w:rPr>
                <w:rStyle w:val="Hyperlink"/>
                <w:rFonts w:cs="Times New Roman"/>
                <w:i w:val="0"/>
                <w:iCs w:val="0"/>
                <w:noProof/>
                <w:sz w:val="24"/>
                <w:szCs w:val="24"/>
              </w:rPr>
              <w:t>Problem</w:t>
            </w:r>
            <w:r w:rsidRPr="1FC5E705">
              <w:rPr>
                <w:rStyle w:val="Hyperlink"/>
                <w:rFonts w:cs="Times New Roman"/>
                <w:i w:val="0"/>
                <w:iCs w:val="0"/>
                <w:noProof/>
                <w:sz w:val="24"/>
                <w:szCs w:val="24"/>
                <w:lang w:eastAsia="en-GB"/>
              </w:rPr>
              <w:t xml:space="preserve"> drivers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_Toc232758207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98</w:t>
            </w:r>
            <w:r w:rsidR="00DA44A2" w:rsidRPr="1FC5E705">
              <w:rPr>
                <w:rFonts w:ascii="Times New Roman" w:hAnsi="Times New Roman" w:cs="Times New Roman"/>
                <w:i w:val="0"/>
                <w:iCs w:val="0"/>
                <w:noProof/>
                <w:webHidden/>
                <w:sz w:val="24"/>
                <w:szCs w:val="24"/>
              </w:rPr>
              <w:fldChar w:fldCharType="end"/>
            </w:r>
          </w:hyperlink>
        </w:p>
        <w:p w14:paraId="24F01104" w14:textId="678E5D2F"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08" w:history="1">
            <w:r w:rsidRPr="1FC5E705">
              <w:rPr>
                <w:rStyle w:val="Hyperlink"/>
                <w:rFonts w:cs="Times New Roman"/>
                <w:i w:val="0"/>
                <w:iCs w:val="0"/>
                <w:noProof/>
                <w:sz w:val="24"/>
                <w:szCs w:val="24"/>
              </w:rPr>
              <w:t>1.2.</w:t>
            </w:r>
            <w:r w:rsidR="00DA44A2">
              <w:rPr>
                <w:noProof/>
              </w:rPr>
              <w:tab/>
            </w:r>
            <w:r w:rsidRPr="1FC5E705">
              <w:rPr>
                <w:rStyle w:val="Hyperlink"/>
                <w:rFonts w:cs="Times New Roman"/>
                <w:i w:val="0"/>
                <w:iCs w:val="0"/>
                <w:noProof/>
                <w:sz w:val="24"/>
                <w:szCs w:val="24"/>
              </w:rPr>
              <w:t>Specific objectives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_Toc232758208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102</w:t>
            </w:r>
            <w:r w:rsidR="00DA44A2" w:rsidRPr="1FC5E705">
              <w:rPr>
                <w:rFonts w:ascii="Times New Roman" w:hAnsi="Times New Roman" w:cs="Times New Roman"/>
                <w:i w:val="0"/>
                <w:iCs w:val="0"/>
                <w:noProof/>
                <w:webHidden/>
                <w:sz w:val="24"/>
                <w:szCs w:val="24"/>
              </w:rPr>
              <w:fldChar w:fldCharType="end"/>
            </w:r>
          </w:hyperlink>
        </w:p>
        <w:p w14:paraId="28C9888B" w14:textId="4A2EC4B1"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09" w:history="1">
            <w:r w:rsidRPr="1FC5E705">
              <w:rPr>
                <w:rStyle w:val="Hyperlink"/>
                <w:rFonts w:cs="Times New Roman"/>
                <w:i w:val="0"/>
                <w:iCs w:val="0"/>
                <w:noProof/>
                <w:sz w:val="24"/>
                <w:szCs w:val="24"/>
              </w:rPr>
              <w:t>1.3.</w:t>
            </w:r>
            <w:r w:rsidR="00DA44A2">
              <w:rPr>
                <w:noProof/>
              </w:rPr>
              <w:tab/>
            </w:r>
            <w:r w:rsidRPr="1FC5E705">
              <w:rPr>
                <w:rStyle w:val="Hyperlink"/>
                <w:rFonts w:cs="Times New Roman"/>
                <w:i w:val="0"/>
                <w:iCs w:val="0"/>
                <w:noProof/>
                <w:sz w:val="24"/>
                <w:szCs w:val="24"/>
              </w:rPr>
              <w:t>Baseline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_Toc232758209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105</w:t>
            </w:r>
            <w:r w:rsidR="00DA44A2" w:rsidRPr="1FC5E705">
              <w:rPr>
                <w:rFonts w:ascii="Times New Roman" w:hAnsi="Times New Roman" w:cs="Times New Roman"/>
                <w:i w:val="0"/>
                <w:iCs w:val="0"/>
                <w:noProof/>
                <w:webHidden/>
                <w:sz w:val="24"/>
                <w:szCs w:val="24"/>
              </w:rPr>
              <w:fldChar w:fldCharType="end"/>
            </w:r>
          </w:hyperlink>
        </w:p>
        <w:p w14:paraId="5687F7EA" w14:textId="5FE6E732" w:rsidR="00DA44A2" w:rsidRPr="003B24BC" w:rsidRDefault="3CF3DC5D" w:rsidP="00975687">
          <w:pPr>
            <w:pStyle w:val="TOC2"/>
            <w:tabs>
              <w:tab w:val="left" w:pos="720"/>
              <w:tab w:val="right" w:leader="dot" w:pos="8468"/>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8210" w:history="1">
            <w:r w:rsidRPr="1FC5E705">
              <w:rPr>
                <w:rStyle w:val="Hyperlink"/>
                <w:rFonts w:cs="Times New Roman"/>
                <w:noProof/>
                <w:sz w:val="24"/>
                <w:szCs w:val="24"/>
              </w:rPr>
              <w:t>2.</w:t>
            </w:r>
            <w:r w:rsidR="00DA44A2">
              <w:rPr>
                <w:noProof/>
              </w:rPr>
              <w:tab/>
            </w:r>
            <w:r w:rsidRPr="1FC5E705">
              <w:rPr>
                <w:rStyle w:val="Hyperlink"/>
                <w:rFonts w:cs="Times New Roman"/>
                <w:noProof/>
                <w:sz w:val="24"/>
                <w:szCs w:val="24"/>
              </w:rPr>
              <w:t>Overview of policy measures</w:t>
            </w:r>
            <w:r w:rsidR="00DA44A2">
              <w:rPr>
                <w:noProof/>
              </w:rPr>
              <w:tab/>
            </w:r>
            <w:r w:rsidR="00DA44A2" w:rsidRPr="003B24BC">
              <w:rPr>
                <w:rFonts w:ascii="Times New Roman" w:hAnsi="Times New Roman" w:cs="Times New Roman"/>
                <w:noProof/>
                <w:webHidden/>
                <w:sz w:val="24"/>
                <w:szCs w:val="24"/>
              </w:rPr>
              <w:fldChar w:fldCharType="begin"/>
            </w:r>
            <w:r w:rsidR="00DA44A2" w:rsidRPr="003B24BC">
              <w:rPr>
                <w:rFonts w:ascii="Times New Roman" w:hAnsi="Times New Roman" w:cs="Times New Roman"/>
                <w:noProof/>
                <w:webHidden/>
                <w:sz w:val="24"/>
                <w:szCs w:val="24"/>
              </w:rPr>
              <w:instrText xml:space="preserve"> PAGEREF _Toc232758210 \h </w:instrText>
            </w:r>
            <w:r w:rsidR="00DA44A2" w:rsidRPr="003B24BC">
              <w:rPr>
                <w:rFonts w:ascii="Times New Roman" w:hAnsi="Times New Roman" w:cs="Times New Roman"/>
                <w:noProof/>
                <w:webHidden/>
                <w:sz w:val="24"/>
                <w:szCs w:val="24"/>
              </w:rPr>
            </w:r>
            <w:r w:rsidR="00DA44A2" w:rsidRPr="003B24BC">
              <w:rPr>
                <w:rFonts w:ascii="Times New Roman" w:hAnsi="Times New Roman" w:cs="Times New Roman"/>
                <w:noProof/>
                <w:webHidden/>
                <w:sz w:val="24"/>
                <w:szCs w:val="24"/>
              </w:rPr>
              <w:fldChar w:fldCharType="separate"/>
            </w:r>
            <w:r w:rsidR="00D749DC">
              <w:rPr>
                <w:rFonts w:ascii="Times New Roman" w:hAnsi="Times New Roman" w:cs="Times New Roman"/>
                <w:noProof/>
                <w:webHidden/>
                <w:sz w:val="24"/>
                <w:szCs w:val="24"/>
              </w:rPr>
              <w:t>109</w:t>
            </w:r>
            <w:r w:rsidR="00DA44A2" w:rsidRPr="003B24BC">
              <w:rPr>
                <w:rFonts w:ascii="Times New Roman" w:hAnsi="Times New Roman" w:cs="Times New Roman"/>
                <w:noProof/>
                <w:webHidden/>
                <w:sz w:val="24"/>
                <w:szCs w:val="24"/>
              </w:rPr>
              <w:fldChar w:fldCharType="end"/>
            </w:r>
          </w:hyperlink>
        </w:p>
        <w:p w14:paraId="393EA76C" w14:textId="49B467BF"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1" w:history="1">
            <w:r w:rsidRPr="1FC5E705">
              <w:rPr>
                <w:rStyle w:val="Hyperlink"/>
                <w:rFonts w:cs="Times New Roman"/>
                <w:i w:val="0"/>
                <w:iCs w:val="0"/>
                <w:noProof/>
                <w:sz w:val="24"/>
                <w:szCs w:val="24"/>
              </w:rPr>
              <w:t>2.1.</w:t>
            </w:r>
            <w:r w:rsidR="00DA44A2">
              <w:rPr>
                <w:noProof/>
              </w:rPr>
              <w:tab/>
            </w:r>
            <w:r w:rsidRPr="1FC5E705">
              <w:rPr>
                <w:rStyle w:val="Hyperlink"/>
                <w:rFonts w:cs="Times New Roman"/>
                <w:i w:val="0"/>
                <w:iCs w:val="0"/>
                <w:noProof/>
                <w:sz w:val="24"/>
                <w:szCs w:val="24"/>
              </w:rPr>
              <w:t>Ambition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109</w:t>
            </w:r>
            <w:r w:rsidR="00DA44A2" w:rsidRPr="1FC5E705">
              <w:rPr>
                <w:rFonts w:ascii="Times New Roman" w:hAnsi="Times New Roman" w:cs="Times New Roman"/>
                <w:i w:val="0"/>
                <w:iCs w:val="0"/>
                <w:noProof/>
                <w:webHidden/>
                <w:sz w:val="24"/>
                <w:szCs w:val="24"/>
              </w:rPr>
              <w:fldChar w:fldCharType="end"/>
            </w:r>
          </w:hyperlink>
        </w:p>
        <w:p w14:paraId="33A9A4CA" w14:textId="476DF557"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2" w:history="1">
            <w:r w:rsidRPr="1FC5E705">
              <w:rPr>
                <w:rStyle w:val="Hyperlink"/>
                <w:rFonts w:cs="Times New Roman"/>
                <w:i w:val="0"/>
                <w:iCs w:val="0"/>
                <w:noProof/>
                <w:sz w:val="24"/>
                <w:szCs w:val="24"/>
              </w:rPr>
              <w:t>1.1.1</w:t>
            </w:r>
            <w:r w:rsidR="00DA44A2">
              <w:rPr>
                <w:noProof/>
              </w:rPr>
              <w:tab/>
            </w:r>
            <w:r w:rsidRPr="1FC5E705">
              <w:rPr>
                <w:rStyle w:val="Hyperlink"/>
                <w:rFonts w:cs="Times New Roman"/>
                <w:i w:val="0"/>
                <w:iCs w:val="0"/>
                <w:noProof/>
                <w:sz w:val="24"/>
                <w:szCs w:val="24"/>
              </w:rPr>
              <w:t>Cap</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109</w:t>
            </w:r>
            <w:r w:rsidR="00DA44A2" w:rsidRPr="1FC5E705">
              <w:rPr>
                <w:rFonts w:ascii="Times New Roman" w:hAnsi="Times New Roman" w:cs="Times New Roman"/>
                <w:i w:val="0"/>
                <w:iCs w:val="0"/>
                <w:noProof/>
                <w:webHidden/>
                <w:sz w:val="24"/>
                <w:szCs w:val="24"/>
              </w:rPr>
              <w:fldChar w:fldCharType="end"/>
            </w:r>
          </w:hyperlink>
        </w:p>
        <w:p w14:paraId="0E23A8F6" w14:textId="6F9ADF06"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3" w:history="1">
            <w:r w:rsidRPr="1FC5E705">
              <w:rPr>
                <w:rStyle w:val="Hyperlink"/>
                <w:rFonts w:cs="Times New Roman"/>
                <w:i w:val="0"/>
                <w:iCs w:val="0"/>
                <w:noProof/>
                <w:sz w:val="24"/>
                <w:szCs w:val="24"/>
              </w:rPr>
              <w:t>2.1.1.</w:t>
            </w:r>
            <w:r w:rsidR="00DA44A2">
              <w:rPr>
                <w:noProof/>
              </w:rPr>
              <w:tab/>
            </w:r>
            <w:r w:rsidRPr="1FC5E705">
              <w:rPr>
                <w:rStyle w:val="Hyperlink"/>
                <w:rFonts w:cs="Times New Roman"/>
                <w:i w:val="0"/>
                <w:iCs w:val="0"/>
                <w:noProof/>
                <w:sz w:val="24"/>
                <w:szCs w:val="24"/>
              </w:rPr>
              <w:t>Carbon removals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110</w:t>
            </w:r>
            <w:r w:rsidR="00DA44A2" w:rsidRPr="1FC5E705">
              <w:rPr>
                <w:rFonts w:ascii="Times New Roman" w:hAnsi="Times New Roman" w:cs="Times New Roman"/>
                <w:i w:val="0"/>
                <w:iCs w:val="0"/>
                <w:noProof/>
                <w:webHidden/>
                <w:sz w:val="24"/>
                <w:szCs w:val="24"/>
              </w:rPr>
              <w:fldChar w:fldCharType="end"/>
            </w:r>
          </w:hyperlink>
        </w:p>
        <w:p w14:paraId="0915951A" w14:textId="1236C794"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4" w:history="1">
            <w:r w:rsidRPr="1FC5E705">
              <w:rPr>
                <w:rStyle w:val="Hyperlink"/>
                <w:rFonts w:cs="Times New Roman"/>
                <w:i w:val="0"/>
                <w:iCs w:val="0"/>
                <w:noProof/>
                <w:sz w:val="24"/>
                <w:szCs w:val="24"/>
              </w:rPr>
              <w:t>2.1.2.</w:t>
            </w:r>
            <w:r w:rsidR="00DA44A2">
              <w:rPr>
                <w:noProof/>
              </w:rPr>
              <w:tab/>
            </w:r>
            <w:r w:rsidRPr="1FC5E705">
              <w:rPr>
                <w:rStyle w:val="Hyperlink"/>
                <w:rFonts w:cs="Times New Roman"/>
                <w:i w:val="0"/>
                <w:iCs w:val="0"/>
                <w:noProof/>
                <w:sz w:val="24"/>
                <w:szCs w:val="24"/>
              </w:rPr>
              <w:t>Market Stability Reserve (MSR)</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112</w:t>
            </w:r>
            <w:r w:rsidR="00DA44A2" w:rsidRPr="1FC5E705">
              <w:rPr>
                <w:rFonts w:ascii="Times New Roman" w:hAnsi="Times New Roman" w:cs="Times New Roman"/>
                <w:i w:val="0"/>
                <w:iCs w:val="0"/>
                <w:noProof/>
                <w:webHidden/>
                <w:sz w:val="24"/>
                <w:szCs w:val="24"/>
              </w:rPr>
              <w:fldChar w:fldCharType="end"/>
            </w:r>
          </w:hyperlink>
        </w:p>
        <w:p w14:paraId="1C05AE9C" w14:textId="2770ABAC"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5" w:history="1">
            <w:r w:rsidRPr="1FC5E705">
              <w:rPr>
                <w:rStyle w:val="Hyperlink"/>
                <w:rFonts w:cs="Times New Roman"/>
                <w:i w:val="0"/>
                <w:iCs w:val="0"/>
                <w:noProof/>
                <w:sz w:val="24"/>
                <w:szCs w:val="24"/>
                <w:lang w:eastAsia="en-GB"/>
              </w:rPr>
              <w:t>2.2.</w:t>
            </w:r>
            <w:r w:rsidR="00DA44A2">
              <w:rPr>
                <w:noProof/>
              </w:rPr>
              <w:tab/>
            </w:r>
            <w:r w:rsidRPr="1FC5E705">
              <w:rPr>
                <w:rStyle w:val="Hyperlink"/>
                <w:rFonts w:cs="Times New Roman"/>
                <w:i w:val="0"/>
                <w:iCs w:val="0"/>
                <w:noProof/>
                <w:sz w:val="24"/>
                <w:szCs w:val="24"/>
              </w:rPr>
              <w:t>Instruments to support investments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113</w:t>
            </w:r>
            <w:r w:rsidR="00DA44A2" w:rsidRPr="1FC5E705">
              <w:rPr>
                <w:rFonts w:ascii="Times New Roman" w:hAnsi="Times New Roman" w:cs="Times New Roman"/>
                <w:i w:val="0"/>
                <w:iCs w:val="0"/>
                <w:noProof/>
                <w:webHidden/>
                <w:sz w:val="24"/>
                <w:szCs w:val="24"/>
              </w:rPr>
              <w:fldChar w:fldCharType="end"/>
            </w:r>
          </w:hyperlink>
        </w:p>
        <w:p w14:paraId="210857F0" w14:textId="045BC258"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6" w:history="1">
            <w:r w:rsidRPr="1FC5E705">
              <w:rPr>
                <w:rStyle w:val="Hyperlink"/>
                <w:rFonts w:cs="Times New Roman"/>
                <w:i w:val="0"/>
                <w:iCs w:val="0"/>
                <w:noProof/>
                <w:sz w:val="24"/>
                <w:szCs w:val="24"/>
              </w:rPr>
              <w:t>2.2.1.</w:t>
            </w:r>
            <w:r w:rsidR="00DA44A2">
              <w:rPr>
                <w:noProof/>
              </w:rPr>
              <w:tab/>
            </w:r>
            <w:r w:rsidRPr="1FC5E705">
              <w:rPr>
                <w:rStyle w:val="Hyperlink"/>
                <w:rFonts w:cs="Times New Roman"/>
                <w:i w:val="0"/>
                <w:iCs w:val="0"/>
                <w:noProof/>
                <w:sz w:val="24"/>
                <w:szCs w:val="24"/>
              </w:rPr>
              <w:t>Industrial Decarbonisation Bank</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_Toc232758216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113</w:t>
            </w:r>
            <w:r w:rsidR="00DA44A2" w:rsidRPr="1FC5E705">
              <w:rPr>
                <w:rFonts w:ascii="Times New Roman" w:hAnsi="Times New Roman" w:cs="Times New Roman"/>
                <w:i w:val="0"/>
                <w:iCs w:val="0"/>
                <w:noProof/>
                <w:webHidden/>
                <w:sz w:val="24"/>
                <w:szCs w:val="24"/>
              </w:rPr>
              <w:fldChar w:fldCharType="end"/>
            </w:r>
          </w:hyperlink>
        </w:p>
        <w:p w14:paraId="58224DAE" w14:textId="03DEBCD2"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7" w:history="1">
            <w:r w:rsidRPr="1FC5E705">
              <w:rPr>
                <w:rStyle w:val="Hyperlink"/>
                <w:rFonts w:cs="Times New Roman"/>
                <w:i w:val="0"/>
                <w:iCs w:val="0"/>
                <w:noProof/>
                <w:sz w:val="24"/>
                <w:szCs w:val="24"/>
              </w:rPr>
              <w:t>2.2.2.</w:t>
            </w:r>
            <w:r w:rsidR="00DA44A2">
              <w:rPr>
                <w:noProof/>
              </w:rPr>
              <w:tab/>
            </w:r>
            <w:r w:rsidRPr="1FC5E705">
              <w:rPr>
                <w:rStyle w:val="Hyperlink"/>
                <w:rFonts w:cs="Times New Roman"/>
                <w:i w:val="0"/>
                <w:iCs w:val="0"/>
                <w:noProof/>
                <w:sz w:val="24"/>
                <w:szCs w:val="24"/>
              </w:rPr>
              <w:t>Modernisation Fund</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_Toc232758217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115</w:t>
            </w:r>
            <w:r w:rsidR="00DA44A2" w:rsidRPr="1FC5E705">
              <w:rPr>
                <w:rFonts w:ascii="Times New Roman" w:hAnsi="Times New Roman" w:cs="Times New Roman"/>
                <w:i w:val="0"/>
                <w:iCs w:val="0"/>
                <w:noProof/>
                <w:webHidden/>
                <w:sz w:val="24"/>
                <w:szCs w:val="24"/>
              </w:rPr>
              <w:fldChar w:fldCharType="end"/>
            </w:r>
          </w:hyperlink>
        </w:p>
        <w:p w14:paraId="370AEE98" w14:textId="61DEA173"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8" w:history="1">
            <w:r w:rsidRPr="1FC5E705">
              <w:rPr>
                <w:rStyle w:val="Hyperlink"/>
                <w:rFonts w:cs="Times New Roman"/>
                <w:i w:val="0"/>
                <w:iCs w:val="0"/>
                <w:noProof/>
                <w:sz w:val="24"/>
                <w:szCs w:val="24"/>
              </w:rPr>
              <w:t>2.3.</w:t>
            </w:r>
            <w:r w:rsidR="00DA44A2">
              <w:rPr>
                <w:noProof/>
              </w:rPr>
              <w:tab/>
            </w:r>
            <w:r w:rsidRPr="1FC5E705">
              <w:rPr>
                <w:rStyle w:val="Hyperlink"/>
                <w:rFonts w:cs="Times New Roman"/>
                <w:i w:val="0"/>
                <w:iCs w:val="0"/>
                <w:noProof/>
                <w:sz w:val="24"/>
                <w:szCs w:val="24"/>
              </w:rPr>
              <w:t>Aviation</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_Toc232758218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117</w:t>
            </w:r>
            <w:r w:rsidR="00DA44A2" w:rsidRPr="1FC5E705">
              <w:rPr>
                <w:rFonts w:ascii="Times New Roman" w:hAnsi="Times New Roman" w:cs="Times New Roman"/>
                <w:i w:val="0"/>
                <w:iCs w:val="0"/>
                <w:noProof/>
                <w:webHidden/>
                <w:sz w:val="24"/>
                <w:szCs w:val="24"/>
              </w:rPr>
              <w:fldChar w:fldCharType="end"/>
            </w:r>
          </w:hyperlink>
        </w:p>
        <w:p w14:paraId="397003A7" w14:textId="1223D5B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19" w:history="1">
            <w:r w:rsidRPr="1FC5E705">
              <w:rPr>
                <w:rStyle w:val="Hyperlink"/>
                <w:rFonts w:cs="Times New Roman"/>
                <w:i w:val="0"/>
                <w:iCs w:val="0"/>
                <w:noProof/>
                <w:sz w:val="24"/>
                <w:szCs w:val="24"/>
              </w:rPr>
              <w:t>2.4.</w:t>
            </w:r>
            <w:r w:rsidR="00DA44A2">
              <w:rPr>
                <w:noProof/>
              </w:rPr>
              <w:tab/>
            </w:r>
            <w:r w:rsidRPr="1FC5E705">
              <w:rPr>
                <w:rStyle w:val="Hyperlink"/>
                <w:rFonts w:cs="Times New Roman"/>
                <w:i w:val="0"/>
                <w:iCs w:val="0"/>
                <w:noProof/>
                <w:sz w:val="24"/>
                <w:szCs w:val="24"/>
              </w:rPr>
              <w:t>Maritime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_Toc232758219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119</w:t>
            </w:r>
            <w:r w:rsidR="00DA44A2" w:rsidRPr="1FC5E705">
              <w:rPr>
                <w:rFonts w:ascii="Times New Roman" w:hAnsi="Times New Roman" w:cs="Times New Roman"/>
                <w:i w:val="0"/>
                <w:iCs w:val="0"/>
                <w:noProof/>
                <w:webHidden/>
                <w:sz w:val="24"/>
                <w:szCs w:val="24"/>
              </w:rPr>
              <w:fldChar w:fldCharType="end"/>
            </w:r>
          </w:hyperlink>
        </w:p>
        <w:p w14:paraId="1948ED9F" w14:textId="185D4839"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20" w:history="1">
            <w:r w:rsidRPr="1FC5E705">
              <w:rPr>
                <w:rStyle w:val="Hyperlink"/>
                <w:rFonts w:cs="Times New Roman"/>
                <w:i w:val="0"/>
                <w:iCs w:val="0"/>
                <w:noProof/>
                <w:sz w:val="24"/>
                <w:szCs w:val="24"/>
              </w:rPr>
              <w:t>2.5.</w:t>
            </w:r>
            <w:r w:rsidR="00DA44A2">
              <w:rPr>
                <w:noProof/>
              </w:rPr>
              <w:tab/>
            </w:r>
            <w:r w:rsidRPr="1FC5E705">
              <w:rPr>
                <w:rStyle w:val="Hyperlink"/>
                <w:rFonts w:cs="Times New Roman"/>
                <w:i w:val="0"/>
                <w:iCs w:val="0"/>
                <w:noProof/>
                <w:sz w:val="24"/>
                <w:szCs w:val="24"/>
              </w:rPr>
              <w:t>Stationary installations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_Toc232758220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121</w:t>
            </w:r>
            <w:r w:rsidR="00DA44A2" w:rsidRPr="1FC5E705">
              <w:rPr>
                <w:rFonts w:ascii="Times New Roman" w:hAnsi="Times New Roman" w:cs="Times New Roman"/>
                <w:i w:val="0"/>
                <w:iCs w:val="0"/>
                <w:noProof/>
                <w:webHidden/>
                <w:sz w:val="24"/>
                <w:szCs w:val="24"/>
              </w:rPr>
              <w:fldChar w:fldCharType="end"/>
            </w:r>
          </w:hyperlink>
        </w:p>
        <w:p w14:paraId="1DD098F9" w14:textId="689BBAAF"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21" w:history="1">
            <w:r w:rsidRPr="1FC5E705">
              <w:rPr>
                <w:rStyle w:val="Hyperlink"/>
                <w:rFonts w:cs="Times New Roman"/>
                <w:i w:val="0"/>
                <w:iCs w:val="0"/>
                <w:noProof/>
                <w:sz w:val="24"/>
                <w:szCs w:val="24"/>
              </w:rPr>
              <w:t>2.5.1.</w:t>
            </w:r>
            <w:r w:rsidR="00DA44A2">
              <w:rPr>
                <w:noProof/>
              </w:rPr>
              <w:tab/>
            </w:r>
            <w:r w:rsidRPr="1FC5E705">
              <w:rPr>
                <w:rStyle w:val="Hyperlink"/>
                <w:rFonts w:cs="Times New Roman"/>
                <w:i w:val="0"/>
                <w:iCs w:val="0"/>
                <w:noProof/>
                <w:sz w:val="24"/>
                <w:szCs w:val="24"/>
              </w:rPr>
              <w:t>Carbon leakage prevention measures for direct emissions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_Toc232758221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121</w:t>
            </w:r>
            <w:r w:rsidR="00DA44A2" w:rsidRPr="1FC5E705">
              <w:rPr>
                <w:rFonts w:ascii="Times New Roman" w:hAnsi="Times New Roman" w:cs="Times New Roman"/>
                <w:i w:val="0"/>
                <w:iCs w:val="0"/>
                <w:noProof/>
                <w:webHidden/>
                <w:sz w:val="24"/>
                <w:szCs w:val="24"/>
              </w:rPr>
              <w:fldChar w:fldCharType="end"/>
            </w:r>
          </w:hyperlink>
        </w:p>
        <w:p w14:paraId="66894260" w14:textId="06BF2BF7"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22" w:history="1">
            <w:r w:rsidRPr="1FC5E705">
              <w:rPr>
                <w:rStyle w:val="Hyperlink"/>
                <w:rFonts w:cs="Times New Roman"/>
                <w:i w:val="0"/>
                <w:iCs w:val="0"/>
                <w:noProof/>
                <w:sz w:val="24"/>
                <w:szCs w:val="24"/>
              </w:rPr>
              <w:t>2.5.2.</w:t>
            </w:r>
            <w:r w:rsidR="00DA44A2">
              <w:rPr>
                <w:noProof/>
              </w:rPr>
              <w:tab/>
            </w:r>
            <w:r w:rsidRPr="1FC5E705">
              <w:rPr>
                <w:rStyle w:val="Hyperlink"/>
                <w:rFonts w:cs="Times New Roman"/>
                <w:i w:val="0"/>
                <w:iCs w:val="0"/>
                <w:noProof/>
                <w:sz w:val="24"/>
                <w:szCs w:val="24"/>
              </w:rPr>
              <w:t>Carbon leakage prevention measures for indirect emissions</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_Toc232758222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122</w:t>
            </w:r>
            <w:r w:rsidR="00DA44A2" w:rsidRPr="1FC5E705">
              <w:rPr>
                <w:rFonts w:ascii="Times New Roman" w:hAnsi="Times New Roman" w:cs="Times New Roman"/>
                <w:i w:val="0"/>
                <w:iCs w:val="0"/>
                <w:noProof/>
                <w:webHidden/>
                <w:sz w:val="24"/>
                <w:szCs w:val="24"/>
              </w:rPr>
              <w:fldChar w:fldCharType="end"/>
            </w:r>
          </w:hyperlink>
        </w:p>
        <w:p w14:paraId="3AC44660" w14:textId="747341E5" w:rsidR="00DA44A2" w:rsidRPr="003B24BC" w:rsidRDefault="3CF3DC5D" w:rsidP="00975687">
          <w:pPr>
            <w:pStyle w:val="TOC3"/>
            <w:tabs>
              <w:tab w:val="left" w:pos="144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23" w:history="1">
            <w:r w:rsidRPr="1FC5E705">
              <w:rPr>
                <w:rStyle w:val="Hyperlink"/>
                <w:rFonts w:cs="Times New Roman"/>
                <w:i w:val="0"/>
                <w:iCs w:val="0"/>
                <w:noProof/>
                <w:sz w:val="24"/>
                <w:szCs w:val="24"/>
              </w:rPr>
              <w:t>2.5.3.</w:t>
            </w:r>
            <w:r w:rsidR="00DA44A2">
              <w:rPr>
                <w:noProof/>
              </w:rPr>
              <w:tab/>
            </w:r>
            <w:r w:rsidRPr="1FC5E705">
              <w:rPr>
                <w:rStyle w:val="Hyperlink"/>
                <w:rFonts w:cs="Times New Roman"/>
                <w:i w:val="0"/>
                <w:iCs w:val="0"/>
                <w:noProof/>
                <w:sz w:val="24"/>
                <w:szCs w:val="24"/>
              </w:rPr>
              <w:t>20MW threshold</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_Toc232758223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123</w:t>
            </w:r>
            <w:r w:rsidR="00DA44A2" w:rsidRPr="1FC5E705">
              <w:rPr>
                <w:rFonts w:ascii="Times New Roman" w:hAnsi="Times New Roman" w:cs="Times New Roman"/>
                <w:i w:val="0"/>
                <w:iCs w:val="0"/>
                <w:noProof/>
                <w:webHidden/>
                <w:sz w:val="24"/>
                <w:szCs w:val="24"/>
              </w:rPr>
              <w:fldChar w:fldCharType="end"/>
            </w:r>
          </w:hyperlink>
        </w:p>
        <w:p w14:paraId="16CCA120" w14:textId="570D40C8" w:rsidR="00DA44A2" w:rsidRPr="003B24BC" w:rsidRDefault="3CF3DC5D" w:rsidP="00975687">
          <w:pPr>
            <w:pStyle w:val="TOC3"/>
            <w:tabs>
              <w:tab w:val="left" w:pos="1200"/>
              <w:tab w:val="right" w:leader="dot" w:pos="8468"/>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8224" w:history="1">
            <w:r w:rsidRPr="1FC5E705">
              <w:rPr>
                <w:rStyle w:val="Hyperlink"/>
                <w:rFonts w:cs="Times New Roman"/>
                <w:i w:val="0"/>
                <w:iCs w:val="0"/>
                <w:noProof/>
                <w:sz w:val="24"/>
                <w:szCs w:val="24"/>
              </w:rPr>
              <w:t>2.6.</w:t>
            </w:r>
            <w:r w:rsidR="00DA44A2">
              <w:rPr>
                <w:noProof/>
              </w:rPr>
              <w:tab/>
            </w:r>
            <w:r w:rsidRPr="1FC5E705">
              <w:rPr>
                <w:rStyle w:val="Hyperlink"/>
                <w:rFonts w:cs="Times New Roman"/>
                <w:i w:val="0"/>
                <w:iCs w:val="0"/>
                <w:noProof/>
                <w:sz w:val="24"/>
                <w:szCs w:val="24"/>
              </w:rPr>
              <w:t>Waste</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_Toc232758224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124</w:t>
            </w:r>
            <w:r w:rsidR="00DA44A2" w:rsidRPr="1FC5E705">
              <w:rPr>
                <w:rFonts w:ascii="Times New Roman" w:hAnsi="Times New Roman" w:cs="Times New Roman"/>
                <w:i w:val="0"/>
                <w:iCs w:val="0"/>
                <w:noProof/>
                <w:webHidden/>
                <w:sz w:val="24"/>
                <w:szCs w:val="24"/>
              </w:rPr>
              <w:fldChar w:fldCharType="end"/>
            </w:r>
          </w:hyperlink>
        </w:p>
        <w:p w14:paraId="24814817" w14:textId="3599C0B1" w:rsidR="00A71942" w:rsidRPr="00DA44A2" w:rsidRDefault="3CF3DC5D" w:rsidP="00975687">
          <w:pPr>
            <w:pStyle w:val="TOC3"/>
            <w:tabs>
              <w:tab w:val="left" w:pos="1200"/>
              <w:tab w:val="right" w:leader="dot" w:pos="8468"/>
            </w:tabs>
            <w:spacing w:before="120" w:after="120"/>
            <w:rPr>
              <w:rFonts w:eastAsiaTheme="minorEastAsia" w:cstheme="minorBidi"/>
              <w:i w:val="0"/>
              <w:iCs w:val="0"/>
              <w:noProof/>
              <w:color w:val="auto"/>
              <w:kern w:val="2"/>
              <w:sz w:val="24"/>
              <w:szCs w:val="24"/>
              <w:lang w:val="en-IE" w:eastAsia="en-IE"/>
              <w14:ligatures w14:val="standardContextual"/>
            </w:rPr>
          </w:pPr>
          <w:hyperlink w:anchor="_Toc232758225" w:history="1">
            <w:r w:rsidRPr="1FC5E705">
              <w:rPr>
                <w:rStyle w:val="Hyperlink"/>
                <w:rFonts w:cs="Times New Roman"/>
                <w:i w:val="0"/>
                <w:iCs w:val="0"/>
                <w:noProof/>
                <w:sz w:val="24"/>
                <w:szCs w:val="24"/>
              </w:rPr>
              <w:t>2.7.</w:t>
            </w:r>
            <w:r w:rsidR="00DA44A2">
              <w:rPr>
                <w:noProof/>
              </w:rPr>
              <w:tab/>
            </w:r>
            <w:r w:rsidRPr="1FC5E705">
              <w:rPr>
                <w:rStyle w:val="Hyperlink"/>
                <w:rFonts w:cs="Times New Roman"/>
                <w:i w:val="0"/>
                <w:iCs w:val="0"/>
                <w:noProof/>
                <w:sz w:val="24"/>
                <w:szCs w:val="24"/>
              </w:rPr>
              <w:t>CCU</w:t>
            </w:r>
            <w:r w:rsidR="00DA44A2">
              <w:rPr>
                <w:noProof/>
              </w:rPr>
              <w:tab/>
            </w:r>
            <w:r w:rsidR="00DA44A2" w:rsidRPr="1FC5E705">
              <w:rPr>
                <w:rFonts w:ascii="Times New Roman" w:hAnsi="Times New Roman" w:cs="Times New Roman"/>
                <w:i w:val="0"/>
                <w:iCs w:val="0"/>
                <w:noProof/>
                <w:webHidden/>
                <w:sz w:val="24"/>
                <w:szCs w:val="24"/>
              </w:rPr>
              <w:fldChar w:fldCharType="begin"/>
            </w:r>
            <w:r w:rsidR="00DA44A2" w:rsidRPr="1FC5E705">
              <w:rPr>
                <w:rFonts w:ascii="Times New Roman" w:hAnsi="Times New Roman" w:cs="Times New Roman"/>
                <w:i w:val="0"/>
                <w:iCs w:val="0"/>
                <w:noProof/>
                <w:webHidden/>
                <w:sz w:val="24"/>
                <w:szCs w:val="24"/>
              </w:rPr>
              <w:instrText xml:space="preserve"> PAGEREF _Toc232758225 \h </w:instrText>
            </w:r>
            <w:r w:rsidR="00DA44A2" w:rsidRPr="1FC5E705">
              <w:rPr>
                <w:rFonts w:ascii="Times New Roman" w:hAnsi="Times New Roman" w:cs="Times New Roman"/>
                <w:i w:val="0"/>
                <w:iCs w:val="0"/>
                <w:noProof/>
                <w:webHidden/>
                <w:sz w:val="24"/>
                <w:szCs w:val="24"/>
              </w:rPr>
            </w:r>
            <w:r w:rsidR="00DA44A2" w:rsidRPr="1FC5E705">
              <w:rPr>
                <w:rFonts w:ascii="Times New Roman" w:hAnsi="Times New Roman" w:cs="Times New Roman"/>
                <w:i w:val="0"/>
                <w:iCs w:val="0"/>
                <w:noProof/>
                <w:webHidden/>
                <w:sz w:val="24"/>
                <w:szCs w:val="24"/>
              </w:rPr>
              <w:fldChar w:fldCharType="separate"/>
            </w:r>
            <w:r w:rsidR="00D749DC">
              <w:rPr>
                <w:rFonts w:ascii="Times New Roman" w:hAnsi="Times New Roman" w:cs="Times New Roman"/>
                <w:i w:val="0"/>
                <w:iCs w:val="0"/>
                <w:noProof/>
                <w:webHidden/>
                <w:sz w:val="24"/>
                <w:szCs w:val="24"/>
              </w:rPr>
              <w:t>126</w:t>
            </w:r>
            <w:r w:rsidR="00DA44A2" w:rsidRPr="1FC5E705">
              <w:rPr>
                <w:rFonts w:ascii="Times New Roman" w:hAnsi="Times New Roman" w:cs="Times New Roman"/>
                <w:i w:val="0"/>
                <w:iCs w:val="0"/>
                <w:noProof/>
                <w:webHidden/>
                <w:sz w:val="24"/>
                <w:szCs w:val="24"/>
              </w:rPr>
              <w:fldChar w:fldCharType="end"/>
            </w:r>
          </w:hyperlink>
          <w:r w:rsidR="00DA44A2" w:rsidRPr="1FC5E705">
            <w:rPr>
              <w:rFonts w:eastAsia="Times New Roman"/>
              <w:smallCaps/>
              <w:noProof/>
              <w:sz w:val="28"/>
              <w:szCs w:val="28"/>
            </w:rPr>
            <w:fldChar w:fldCharType="end"/>
          </w:r>
        </w:p>
      </w:sdtContent>
    </w:sdt>
    <w:bookmarkEnd w:id="4" w:displacedByCustomXml="prev"/>
    <w:p w14:paraId="0EB76F41" w14:textId="77777777" w:rsidR="00A71942" w:rsidRPr="002B0D84" w:rsidRDefault="00A71942" w:rsidP="00E276C8">
      <w:pPr>
        <w:spacing w:line="240" w:lineRule="auto"/>
        <w:jc w:val="left"/>
        <w:rPr>
          <w:rFonts w:eastAsia="Times New Roman"/>
          <w:b/>
          <w:bCs/>
          <w:smallCaps/>
          <w:noProof/>
        </w:rPr>
      </w:pPr>
      <w:r>
        <w:rPr>
          <w:noProof/>
        </w:rPr>
        <w:br w:type="page"/>
      </w:r>
    </w:p>
    <w:p w14:paraId="2E33BC5F" w14:textId="4191BEEF" w:rsidR="00A71942" w:rsidRPr="003D3800" w:rsidRDefault="3BB2CB0B" w:rsidP="00E276C8">
      <w:pPr>
        <w:pStyle w:val="AnnexTitle"/>
        <w:spacing w:before="120" w:after="120" w:line="240" w:lineRule="auto"/>
        <w:rPr>
          <w:noProof/>
        </w:rPr>
      </w:pPr>
      <w:bookmarkStart w:id="5" w:name="_Toc202448681"/>
      <w:bookmarkStart w:id="6" w:name="_Toc211458505"/>
      <w:bookmarkStart w:id="7" w:name="_Toc232758089"/>
      <w:r>
        <w:rPr>
          <w:noProof/>
        </w:rPr>
        <w:lastRenderedPageBreak/>
        <w:t>Annex 1: Procedural Information</w:t>
      </w:r>
      <w:bookmarkEnd w:id="5"/>
      <w:bookmarkEnd w:id="6"/>
      <w:bookmarkEnd w:id="7"/>
    </w:p>
    <w:p w14:paraId="11CE655A" w14:textId="77777777" w:rsidR="00A71942" w:rsidRPr="00AA5D61" w:rsidRDefault="00A71942" w:rsidP="00E276C8">
      <w:pPr>
        <w:pStyle w:val="Heading1COM"/>
        <w:spacing w:before="120" w:after="120" w:line="240" w:lineRule="auto"/>
        <w:outlineLvl w:val="1"/>
        <w:rPr>
          <w:noProof/>
        </w:rPr>
      </w:pPr>
      <w:bookmarkStart w:id="8" w:name="_Toc471997754"/>
      <w:bookmarkStart w:id="9" w:name="_Toc202448682"/>
      <w:bookmarkStart w:id="10" w:name="_Toc211458506"/>
      <w:bookmarkStart w:id="11" w:name="_Toc232611410"/>
      <w:bookmarkStart w:id="12" w:name="_Toc232758090"/>
      <w:r>
        <w:rPr>
          <w:noProof/>
        </w:rPr>
        <w:t>Lead DG, Decide Planning/CWP references</w:t>
      </w:r>
      <w:bookmarkEnd w:id="8"/>
      <w:bookmarkEnd w:id="9"/>
      <w:bookmarkEnd w:id="10"/>
      <w:bookmarkEnd w:id="11"/>
      <w:bookmarkEnd w:id="12"/>
    </w:p>
    <w:p w14:paraId="3612E332" w14:textId="77777777" w:rsidR="00A71942" w:rsidRPr="00AA5D61" w:rsidRDefault="00A71942" w:rsidP="00E276C8">
      <w:pPr>
        <w:tabs>
          <w:tab w:val="left" w:pos="567"/>
        </w:tabs>
        <w:spacing w:line="240" w:lineRule="auto"/>
        <w:ind w:right="113"/>
        <w:rPr>
          <w:rFonts w:eastAsia="Times New Roman"/>
          <w:noProof/>
        </w:rPr>
      </w:pPr>
      <w:r w:rsidRPr="2F7BE247">
        <w:rPr>
          <w:rFonts w:eastAsia="Times New Roman"/>
          <w:noProof/>
        </w:rPr>
        <w:t>The Directorate-General (DG) for Climate Action has led the preparation of this initiative and the work on the Impact Assessment in the European Commission. The planning entry was approved in Decide Planning under the reference PLAN/2024/2770. It is included in the 2026 Commission Work Programme</w:t>
      </w:r>
      <w:r w:rsidRPr="1FC5E705">
        <w:rPr>
          <w:rFonts w:eastAsia="Times New Roman"/>
          <w:noProof/>
        </w:rPr>
        <w:footnoteReference w:id="2"/>
      </w:r>
      <w:r w:rsidRPr="2F7BE247">
        <w:rPr>
          <w:rFonts w:eastAsia="Times New Roman"/>
          <w:noProof/>
        </w:rPr>
        <w:t xml:space="preserve"> under the headline ambition A new plan for Europe’s sustainable prosperity and competitiveness and the policy objective Climate.</w:t>
      </w:r>
    </w:p>
    <w:p w14:paraId="0DA2C32B" w14:textId="77777777" w:rsidR="00A71942" w:rsidRPr="00AA5D61" w:rsidRDefault="00A71942" w:rsidP="00E276C8">
      <w:pPr>
        <w:pStyle w:val="Heading1COM"/>
        <w:spacing w:before="120" w:after="120" w:line="240" w:lineRule="auto"/>
        <w:outlineLvl w:val="1"/>
        <w:rPr>
          <w:noProof/>
        </w:rPr>
      </w:pPr>
      <w:bookmarkStart w:id="13" w:name="_Toc471997755"/>
      <w:bookmarkStart w:id="14" w:name="_Toc202448683"/>
      <w:bookmarkStart w:id="15" w:name="_Toc211458507"/>
      <w:bookmarkStart w:id="16" w:name="_Toc232611411"/>
      <w:bookmarkStart w:id="17" w:name="_Toc232758091"/>
      <w:r>
        <w:rPr>
          <w:noProof/>
        </w:rPr>
        <w:t>Organisation and timing</w:t>
      </w:r>
      <w:bookmarkEnd w:id="13"/>
      <w:bookmarkEnd w:id="14"/>
      <w:bookmarkEnd w:id="15"/>
      <w:bookmarkEnd w:id="16"/>
      <w:bookmarkEnd w:id="17"/>
    </w:p>
    <w:p w14:paraId="3825FF78" w14:textId="77777777" w:rsidR="00A71942" w:rsidRPr="00AA5D61" w:rsidRDefault="00A71942" w:rsidP="00E276C8">
      <w:pPr>
        <w:tabs>
          <w:tab w:val="left" w:pos="567"/>
        </w:tabs>
        <w:spacing w:line="240" w:lineRule="auto"/>
        <w:ind w:right="113"/>
        <w:rPr>
          <w:noProof/>
        </w:rPr>
      </w:pPr>
      <w:r>
        <w:rPr>
          <w:noProof/>
        </w:rPr>
        <w:t xml:space="preserve">The planned adoption date (Q3 2026) was included in the Commission Work Programme. The Open Public Consultation was online between 14 April 2025 and 08 July 2025. </w:t>
      </w:r>
    </w:p>
    <w:p w14:paraId="24C676F0" w14:textId="77777777" w:rsidR="00A71942" w:rsidRPr="00AA5D61" w:rsidRDefault="00A71942" w:rsidP="00E276C8">
      <w:pPr>
        <w:tabs>
          <w:tab w:val="left" w:pos="567"/>
        </w:tabs>
        <w:spacing w:line="240" w:lineRule="auto"/>
        <w:ind w:right="113"/>
        <w:rPr>
          <w:noProof/>
        </w:rPr>
      </w:pPr>
      <w:r>
        <w:rPr>
          <w:noProof/>
        </w:rPr>
        <w:t>An inter-service steering group (ISSG) was established in October 2024 to prepare this initiative. Its members were: SG, LS, AGRI, BUDG, COMM, COMP, CNECT, DEFIS, DGT, DIGIT, EAC, ECFIN, ECHO, EEAS, EMPL, ENER, ENV, ESTAT, FISMA, FPI, GROW, HOME, HR, IDEA, INTPA, JRC, JUST, MARE, MENA, MOVE, NEAR, OLAF, REFORM, REGIO, RTD, SANTE, TAXUD and TRADE. The ISSG met five times in the period from November 2024 until adoption. On 20 November 2024 it discussed the draft Call for Evidence, Stakeholder consultation strategy and questionnaires for the Open Public Consultations, on 10 March 2025 the aviation study inception report, on 3 July 2025 the measures assessed in the Impact Assessment draft, and on 28 January 2026 the policy options. The Interservice Consultation was launched on 19 June 2026 and closed on 1 July 2026.</w:t>
      </w:r>
    </w:p>
    <w:p w14:paraId="6CCD8E95" w14:textId="77777777" w:rsidR="00A71942" w:rsidRPr="00AA5D61" w:rsidRDefault="00A71942" w:rsidP="00E276C8">
      <w:pPr>
        <w:pStyle w:val="Heading1COM"/>
        <w:spacing w:before="120" w:after="120" w:line="240" w:lineRule="auto"/>
        <w:outlineLvl w:val="1"/>
        <w:rPr>
          <w:noProof/>
        </w:rPr>
      </w:pPr>
      <w:bookmarkStart w:id="18" w:name="_Toc471997757"/>
      <w:bookmarkStart w:id="19" w:name="_Toc202448684"/>
      <w:bookmarkStart w:id="20" w:name="_Toc211458508"/>
      <w:bookmarkStart w:id="21" w:name="_Toc232611412"/>
      <w:bookmarkStart w:id="22" w:name="_Toc232758092"/>
      <w:r>
        <w:rPr>
          <w:noProof/>
        </w:rPr>
        <w:t>Consultation of the RSB</w:t>
      </w:r>
      <w:bookmarkEnd w:id="18"/>
      <w:bookmarkEnd w:id="19"/>
      <w:bookmarkEnd w:id="20"/>
      <w:bookmarkEnd w:id="21"/>
      <w:bookmarkEnd w:id="22"/>
    </w:p>
    <w:p w14:paraId="24E3C937" w14:textId="77777777" w:rsidR="00A71942" w:rsidRPr="00AA5D61" w:rsidRDefault="00A71942" w:rsidP="00E276C8">
      <w:pPr>
        <w:tabs>
          <w:tab w:val="left" w:pos="567"/>
        </w:tabs>
        <w:spacing w:line="240" w:lineRule="auto"/>
        <w:ind w:right="113"/>
        <w:rPr>
          <w:noProof/>
        </w:rPr>
      </w:pPr>
      <w:r>
        <w:rPr>
          <w:noProof/>
        </w:rPr>
        <w:t xml:space="preserve">An upstream orientation meeting on the review of the EU ETS for maritime, aviation and stationary installations, and of the Market Stability Reserve was held in October 2025. A draft Evaluation and Impact Assessment were submitted to the Regulatory Scrutiny Board (RSB) on 23 March 2026. Following the RSB meeting on 15 April 2026, a positive opinion with comments was issued on 17 April 2026. </w:t>
      </w:r>
    </w:p>
    <w:p w14:paraId="51AB09C9" w14:textId="77777777" w:rsidR="00A71942" w:rsidRPr="00AA5D61" w:rsidRDefault="00A71942" w:rsidP="00E276C8">
      <w:pPr>
        <w:tabs>
          <w:tab w:val="left" w:pos="567"/>
        </w:tabs>
        <w:spacing w:line="240" w:lineRule="auto"/>
        <w:ind w:right="113"/>
        <w:rPr>
          <w:noProof/>
        </w:rPr>
      </w:pPr>
      <w:r>
        <w:rPr>
          <w:noProof/>
        </w:rPr>
        <w:t>The RSB’s recommendations for improvement have been addressed as presented below.</w:t>
      </w:r>
    </w:p>
    <w:p w14:paraId="29A356D0" w14:textId="77777777" w:rsidR="00A71942" w:rsidRPr="00DC7FDA" w:rsidRDefault="00A71942" w:rsidP="00E276C8">
      <w:pPr>
        <w:spacing w:line="240" w:lineRule="auto"/>
        <w:rPr>
          <w:noProof/>
          <w:u w:val="single"/>
        </w:rPr>
      </w:pPr>
      <w:r w:rsidRPr="1FC5E705">
        <w:rPr>
          <w:noProof/>
          <w:u w:val="single"/>
        </w:rPr>
        <w:t>Evaluation:</w:t>
      </w:r>
    </w:p>
    <w:p w14:paraId="7A462786" w14:textId="77777777" w:rsidR="00A71942" w:rsidRPr="0005308E" w:rsidRDefault="00A71942" w:rsidP="00E276C8">
      <w:pPr>
        <w:spacing w:line="240" w:lineRule="auto"/>
        <w:rPr>
          <w:i/>
          <w:iCs/>
          <w:noProof/>
        </w:rPr>
      </w:pPr>
      <w:r w:rsidRPr="1FC5E705">
        <w:rPr>
          <w:i/>
          <w:iCs/>
          <w:noProof/>
        </w:rPr>
        <w:t xml:space="preserve">1) What benefits and costs can be attributed to the EU ETS over the evaluation period? What is the cost pass-through and distribution of costs and benefits? With regards to energy intensive industries, how could the analysis, conclusions and lessons learned be strengthened regarding the carbon price signal to provide incentive(s) to decarbonise? What were marginal abatement costs and what carbon price levels were needed to incentivise decarbonisation in different sectors? How could the results of the evaluation be better used in the impact assessment, in particular for the design of the policy options?  </w:t>
      </w:r>
    </w:p>
    <w:p w14:paraId="70674832" w14:textId="77777777" w:rsidR="00A71942" w:rsidRPr="00717D62" w:rsidRDefault="00A71942" w:rsidP="00E276C8">
      <w:pPr>
        <w:pStyle w:val="ListParagraph"/>
        <w:numPr>
          <w:ilvl w:val="0"/>
          <w:numId w:val="32"/>
        </w:numPr>
        <w:spacing w:after="120" w:line="240" w:lineRule="auto"/>
        <w:ind w:left="709"/>
        <w:contextualSpacing/>
        <w:rPr>
          <w:i/>
          <w:iCs/>
          <w:noProof/>
        </w:rPr>
      </w:pPr>
      <w:r>
        <w:rPr>
          <w:noProof/>
        </w:rPr>
        <w:t>We have presented the findings on benefits and costs in more detail throughout the evaluation report, including insights for sectors in Appendix III, section 8.3.4.2., and downstream implications in terms of competitiveness and investment decisions in Appendix III, section 8.3.4.5.</w:t>
      </w:r>
    </w:p>
    <w:p w14:paraId="4549A491" w14:textId="77777777" w:rsidR="00A71942" w:rsidRPr="00717D62" w:rsidRDefault="00A71942" w:rsidP="00E276C8">
      <w:pPr>
        <w:pStyle w:val="ListParagraph"/>
        <w:numPr>
          <w:ilvl w:val="0"/>
          <w:numId w:val="32"/>
        </w:numPr>
        <w:spacing w:after="120" w:line="240" w:lineRule="auto"/>
        <w:ind w:left="709"/>
        <w:contextualSpacing/>
        <w:rPr>
          <w:i/>
          <w:iCs/>
          <w:noProof/>
        </w:rPr>
      </w:pPr>
      <w:r>
        <w:rPr>
          <w:noProof/>
        </w:rPr>
        <w:t>We have included an overview table of costs and benefits in Appendix IV.</w:t>
      </w:r>
    </w:p>
    <w:p w14:paraId="353B3900" w14:textId="77777777" w:rsidR="00A71942" w:rsidRPr="00717D62" w:rsidRDefault="00A71942" w:rsidP="00E276C8">
      <w:pPr>
        <w:pStyle w:val="ListParagraph"/>
        <w:numPr>
          <w:ilvl w:val="0"/>
          <w:numId w:val="32"/>
        </w:numPr>
        <w:spacing w:after="120" w:line="240" w:lineRule="auto"/>
        <w:ind w:left="709"/>
        <w:contextualSpacing/>
        <w:rPr>
          <w:i/>
          <w:iCs/>
          <w:noProof/>
        </w:rPr>
      </w:pPr>
      <w:r>
        <w:rPr>
          <w:noProof/>
        </w:rPr>
        <w:t>The presentation of findings and conclusions in the Evaluation Report has been improved to enhance clarity.</w:t>
      </w:r>
    </w:p>
    <w:p w14:paraId="3C06852D" w14:textId="77777777" w:rsidR="00A71942" w:rsidRPr="00717D62" w:rsidRDefault="00A71942" w:rsidP="00E276C8">
      <w:pPr>
        <w:pStyle w:val="ListParagraph"/>
        <w:numPr>
          <w:ilvl w:val="0"/>
          <w:numId w:val="32"/>
        </w:numPr>
        <w:spacing w:after="120" w:line="240" w:lineRule="auto"/>
        <w:ind w:left="709"/>
        <w:contextualSpacing/>
        <w:rPr>
          <w:i/>
          <w:iCs/>
          <w:noProof/>
        </w:rPr>
      </w:pPr>
      <w:r>
        <w:rPr>
          <w:noProof/>
        </w:rPr>
        <w:t>Section 4.1.1.1.2. has been improved with more detail on abatement costs of the main sectors, complementary support measures in place, and effects of exposure to the carbon price signal.</w:t>
      </w:r>
    </w:p>
    <w:p w14:paraId="612FD075" w14:textId="77777777" w:rsidR="00A71942" w:rsidRPr="00717D62" w:rsidRDefault="00A71942" w:rsidP="00E276C8">
      <w:pPr>
        <w:pStyle w:val="ListParagraph"/>
        <w:numPr>
          <w:ilvl w:val="0"/>
          <w:numId w:val="32"/>
        </w:numPr>
        <w:spacing w:after="120" w:line="240" w:lineRule="auto"/>
        <w:ind w:left="709"/>
        <w:contextualSpacing/>
        <w:rPr>
          <w:i/>
          <w:iCs/>
          <w:noProof/>
        </w:rPr>
      </w:pPr>
      <w:r>
        <w:rPr>
          <w:noProof/>
        </w:rPr>
        <w:t>The presentation and conclusions have been improved to strengthen clarity on the evaluation of carbon leakage prevention in Appendix III, section 8.3., and the analysis on suitability of coverage of sectors.</w:t>
      </w:r>
    </w:p>
    <w:p w14:paraId="025D12CA" w14:textId="77777777" w:rsidR="00A71942" w:rsidRDefault="00A71942" w:rsidP="00E276C8">
      <w:pPr>
        <w:pStyle w:val="ListParagraph"/>
        <w:numPr>
          <w:ilvl w:val="0"/>
          <w:numId w:val="32"/>
        </w:numPr>
        <w:spacing w:after="120" w:line="240" w:lineRule="auto"/>
        <w:ind w:left="709"/>
        <w:contextualSpacing/>
        <w:rPr>
          <w:i/>
          <w:iCs/>
          <w:noProof/>
        </w:rPr>
      </w:pPr>
      <w:r>
        <w:rPr>
          <w:noProof/>
        </w:rPr>
        <w:t xml:space="preserve">The findings of the evaluation have been integrated in the problem definition (e.g. P1 and D2), measures and policy options in the impact assessment (e.g. on free allocation, Modernisation and Innovation Fund). </w:t>
      </w:r>
    </w:p>
    <w:p w14:paraId="47A693A4" w14:textId="77777777" w:rsidR="00A71942" w:rsidRPr="00DC7FDA" w:rsidRDefault="00A71942" w:rsidP="00E276C8">
      <w:pPr>
        <w:spacing w:line="240" w:lineRule="auto"/>
        <w:rPr>
          <w:noProof/>
          <w:u w:val="single"/>
        </w:rPr>
      </w:pPr>
      <w:r w:rsidRPr="1FC5E705">
        <w:rPr>
          <w:noProof/>
          <w:u w:val="single"/>
        </w:rPr>
        <w:t>Impact assessment:</w:t>
      </w:r>
    </w:p>
    <w:p w14:paraId="5C7AE6A0" w14:textId="77777777" w:rsidR="00A71942" w:rsidRPr="0005308E" w:rsidRDefault="00A71942" w:rsidP="00E276C8">
      <w:pPr>
        <w:spacing w:line="240" w:lineRule="auto"/>
        <w:rPr>
          <w:i/>
          <w:iCs/>
          <w:noProof/>
        </w:rPr>
      </w:pPr>
      <w:r w:rsidRPr="1FC5E705">
        <w:rPr>
          <w:i/>
          <w:iCs/>
          <w:noProof/>
        </w:rPr>
        <w:t>2) How could the definition of the problem[s] be strengthened and made clearer as regards the constraints stemming from the 2040 EU climate target? How can the specific objectives be formulated in SMART terms, better reflecting available evidence? How is cost-effectiveness defined and to which timeframe does it apply? How can the intervention logic and the causal link between the problems and policy options be improved? What is the most appropriate baseline scenario to assess the policy measures and options?</w:t>
      </w:r>
    </w:p>
    <w:p w14:paraId="71EE761E" w14:textId="77777777" w:rsidR="00A71942" w:rsidRDefault="00A71942" w:rsidP="00E276C8">
      <w:pPr>
        <w:pStyle w:val="ListParagraph"/>
        <w:numPr>
          <w:ilvl w:val="0"/>
          <w:numId w:val="34"/>
        </w:numPr>
        <w:spacing w:after="120" w:line="240" w:lineRule="auto"/>
        <w:ind w:left="709"/>
        <w:contextualSpacing/>
        <w:rPr>
          <w:noProof/>
        </w:rPr>
      </w:pPr>
      <w:r>
        <w:rPr>
          <w:noProof/>
        </w:rPr>
        <w:t>We have strengthened the analysis on the marginal abatement costs for ETS1 sectors compared to the carbon price as a basis to quantify driver D1.</w:t>
      </w:r>
    </w:p>
    <w:p w14:paraId="64364F9D" w14:textId="77777777" w:rsidR="00A71942" w:rsidRDefault="00A71942" w:rsidP="00E276C8">
      <w:pPr>
        <w:pStyle w:val="ListParagraph"/>
        <w:numPr>
          <w:ilvl w:val="0"/>
          <w:numId w:val="34"/>
        </w:numPr>
        <w:spacing w:after="120" w:line="240" w:lineRule="auto"/>
        <w:ind w:left="709"/>
        <w:contextualSpacing/>
        <w:rPr>
          <w:noProof/>
        </w:rPr>
      </w:pPr>
      <w:r>
        <w:rPr>
          <w:noProof/>
        </w:rPr>
        <w:t>We have included a general explanation of the Technological Readiness Levels of technologies assumed in the models, in addition to more information regarding the economic viability of needed technologies at current and expected price levels.</w:t>
      </w:r>
    </w:p>
    <w:p w14:paraId="12991779" w14:textId="77777777" w:rsidR="00A71942" w:rsidRDefault="00A71942" w:rsidP="00E276C8">
      <w:pPr>
        <w:pStyle w:val="ListParagraph"/>
        <w:numPr>
          <w:ilvl w:val="0"/>
          <w:numId w:val="34"/>
        </w:numPr>
        <w:spacing w:after="120" w:line="240" w:lineRule="auto"/>
        <w:ind w:left="709"/>
        <w:contextualSpacing/>
        <w:rPr>
          <w:noProof/>
        </w:rPr>
      </w:pPr>
      <w:r>
        <w:rPr>
          <w:noProof/>
        </w:rPr>
        <w:t>The quantification of driver D1.2, D2 and D3 has been strengthened regarding the size of the financing gap, free allocation, the 20MW threshold, maritime and aviation.</w:t>
      </w:r>
    </w:p>
    <w:p w14:paraId="162643D8" w14:textId="77777777" w:rsidR="00A71942" w:rsidRDefault="00A71942" w:rsidP="00E276C8">
      <w:pPr>
        <w:pStyle w:val="ListParagraph"/>
        <w:numPr>
          <w:ilvl w:val="0"/>
          <w:numId w:val="34"/>
        </w:numPr>
        <w:spacing w:after="120" w:line="240" w:lineRule="auto"/>
        <w:ind w:left="709"/>
        <w:contextualSpacing/>
        <w:rPr>
          <w:noProof/>
        </w:rPr>
      </w:pPr>
      <w:r>
        <w:rPr>
          <w:noProof/>
        </w:rPr>
        <w:t>We have clarified that the impact assessment examines various trajectories reflecting a commensurate and cost-effective ETS-contribution to the overall 2040 target in the Climate Law, always starting from alignment between the EU ETS and the 2040 target.</w:t>
      </w:r>
    </w:p>
    <w:p w14:paraId="55056280" w14:textId="1BA4CE0B" w:rsidR="00A71942" w:rsidRDefault="00A71942" w:rsidP="00E276C8">
      <w:pPr>
        <w:pStyle w:val="ListParagraph"/>
        <w:numPr>
          <w:ilvl w:val="0"/>
          <w:numId w:val="34"/>
        </w:numPr>
        <w:spacing w:after="120" w:line="240" w:lineRule="auto"/>
        <w:ind w:left="709"/>
        <w:contextualSpacing/>
        <w:rPr>
          <w:noProof/>
        </w:rPr>
      </w:pPr>
      <w:r>
        <w:rPr>
          <w:noProof/>
        </w:rPr>
        <w:t xml:space="preserve">Annex 7 has been further developed to better reflect the assessment criteria in the definition of the objectives, with the objectives formulated as measurable to assess cost-effectiveness in the relevant </w:t>
      </w:r>
      <w:r w:rsidR="00176D7D">
        <w:rPr>
          <w:noProof/>
        </w:rPr>
        <w:t>period</w:t>
      </w:r>
      <w:r>
        <w:rPr>
          <w:noProof/>
        </w:rPr>
        <w:t>.</w:t>
      </w:r>
    </w:p>
    <w:p w14:paraId="4AA0A8B5" w14:textId="08A1AA2D" w:rsidR="00A71942" w:rsidRDefault="34794D05" w:rsidP="00E276C8">
      <w:pPr>
        <w:pStyle w:val="ListParagraph"/>
        <w:numPr>
          <w:ilvl w:val="0"/>
          <w:numId w:val="34"/>
        </w:numPr>
        <w:spacing w:after="120" w:line="240" w:lineRule="auto"/>
        <w:ind w:left="709"/>
        <w:contextualSpacing/>
        <w:rPr>
          <w:noProof/>
        </w:rPr>
      </w:pPr>
      <w:r>
        <w:rPr>
          <w:noProof/>
        </w:rPr>
        <w:t xml:space="preserve">We have clarified </w:t>
      </w:r>
      <w:r w:rsidR="4B7D7EE2">
        <w:rPr>
          <w:noProof/>
        </w:rPr>
        <w:t>the causal</w:t>
      </w:r>
      <w:r>
        <w:rPr>
          <w:noProof/>
        </w:rPr>
        <w:t xml:space="preserve"> link between the problems and policy options in the intervention logic and analysis throughout the report. </w:t>
      </w:r>
    </w:p>
    <w:p w14:paraId="10750A4A" w14:textId="77777777" w:rsidR="00A71942" w:rsidRDefault="00A71942" w:rsidP="00E276C8">
      <w:pPr>
        <w:pStyle w:val="ListParagraph"/>
        <w:numPr>
          <w:ilvl w:val="0"/>
          <w:numId w:val="34"/>
        </w:numPr>
        <w:spacing w:after="120" w:line="240" w:lineRule="auto"/>
        <w:ind w:left="709"/>
        <w:contextualSpacing/>
        <w:rPr>
          <w:noProof/>
        </w:rPr>
      </w:pPr>
      <w:r>
        <w:rPr>
          <w:noProof/>
        </w:rPr>
        <w:t>We have clarified the explanations on the use of the baseline and the 85% scenario in the main report, as well as in Annex 4, section 2.2.</w:t>
      </w:r>
    </w:p>
    <w:p w14:paraId="751866E3" w14:textId="20808A66" w:rsidR="00A71942" w:rsidRDefault="00A71942" w:rsidP="00E276C8">
      <w:pPr>
        <w:pStyle w:val="ListParagraph"/>
        <w:numPr>
          <w:ilvl w:val="0"/>
          <w:numId w:val="34"/>
        </w:numPr>
        <w:spacing w:after="120" w:line="240" w:lineRule="auto"/>
        <w:ind w:left="709"/>
        <w:contextualSpacing/>
        <w:rPr>
          <w:noProof/>
        </w:rPr>
      </w:pPr>
      <w:r>
        <w:rPr>
          <w:noProof/>
        </w:rPr>
        <w:t>We have clarified the choices made in deciding the appropriate baseline in section 5.1, including the justification for the exceptions to the legal default for free allocation provisions and IDB, as well as the MSR0 scenario in addition to the baseline for the MSR.</w:t>
      </w:r>
    </w:p>
    <w:p w14:paraId="44300089" w14:textId="77777777" w:rsidR="00A71942" w:rsidRDefault="00A71942" w:rsidP="00E276C8">
      <w:pPr>
        <w:spacing w:line="240" w:lineRule="auto"/>
        <w:rPr>
          <w:i/>
          <w:iCs/>
          <w:noProof/>
        </w:rPr>
      </w:pPr>
      <w:r w:rsidRPr="1FC5E705">
        <w:rPr>
          <w:i/>
          <w:iCs/>
          <w:noProof/>
        </w:rPr>
        <w:t>3) How can the report better present the rationale for packaging the measures into the policy options? How are the policy measures expected to interact with each other? How could the impacts of the policy options be modelled?</w:t>
      </w:r>
    </w:p>
    <w:p w14:paraId="00915B2B" w14:textId="77777777" w:rsidR="00A71942" w:rsidRPr="00165F75" w:rsidRDefault="00A71942" w:rsidP="00E276C8">
      <w:pPr>
        <w:pStyle w:val="ListParagraph"/>
        <w:numPr>
          <w:ilvl w:val="0"/>
          <w:numId w:val="35"/>
        </w:numPr>
        <w:spacing w:after="120" w:line="240" w:lineRule="auto"/>
        <w:contextualSpacing/>
        <w:rPr>
          <w:i/>
          <w:iCs/>
          <w:noProof/>
        </w:rPr>
      </w:pPr>
      <w:r>
        <w:rPr>
          <w:noProof/>
        </w:rPr>
        <w:t>We have clarified the approach to model the impacts of each policy measures and the effects of their interaction. A more detailed overview has been included in Section 7 of the main report to enhance the overview of the combined impact of the policy options.</w:t>
      </w:r>
    </w:p>
    <w:p w14:paraId="63633A77" w14:textId="77777777" w:rsidR="00A71942" w:rsidRDefault="00A71942" w:rsidP="00E276C8">
      <w:pPr>
        <w:pStyle w:val="ListParagraph"/>
        <w:numPr>
          <w:ilvl w:val="0"/>
          <w:numId w:val="35"/>
        </w:numPr>
        <w:spacing w:after="120" w:line="240" w:lineRule="auto"/>
        <w:contextualSpacing/>
        <w:rPr>
          <w:noProof/>
        </w:rPr>
      </w:pPr>
      <w:r>
        <w:rPr>
          <w:noProof/>
        </w:rPr>
        <w:t>We have reinforced the qualitative and quantitative assessment of synergies and interactions between the IDB, free (conditional) allowances and indirect cost compensation.</w:t>
      </w:r>
    </w:p>
    <w:p w14:paraId="70C6C9C2" w14:textId="77777777" w:rsidR="00A71942" w:rsidRDefault="00A71942" w:rsidP="00E276C8">
      <w:pPr>
        <w:pStyle w:val="ListParagraph"/>
        <w:numPr>
          <w:ilvl w:val="0"/>
          <w:numId w:val="35"/>
        </w:numPr>
        <w:spacing w:after="120" w:line="240" w:lineRule="auto"/>
        <w:contextualSpacing/>
        <w:rPr>
          <w:noProof/>
        </w:rPr>
      </w:pPr>
      <w:r>
        <w:rPr>
          <w:noProof/>
        </w:rPr>
        <w:t>We have expanded on the interaction between the development of marginal abatement costs and complementary enabling conditions to clarify the development of overall investment needs, in addition to clarifying uncertainties in the Potencia model.</w:t>
      </w:r>
    </w:p>
    <w:p w14:paraId="15371DAD" w14:textId="77777777" w:rsidR="00A71942" w:rsidRDefault="00A71942" w:rsidP="00E276C8">
      <w:pPr>
        <w:spacing w:line="240" w:lineRule="auto"/>
        <w:rPr>
          <w:i/>
          <w:iCs/>
          <w:noProof/>
        </w:rPr>
      </w:pPr>
      <w:r w:rsidRPr="1FC5E705">
        <w:rPr>
          <w:i/>
          <w:iCs/>
          <w:noProof/>
        </w:rPr>
        <w:t>4)  How to properly account for the costs and the benefits of the preferred option vis-à-vis the baseline? What are the administrative and the adjustment costs of the preferred option? What is the distribution of costs and benefits? How could the analyses of both competitiveness and affordability be improved?</w:t>
      </w:r>
      <w:r>
        <w:rPr>
          <w:noProof/>
        </w:rPr>
        <w:t xml:space="preserve"> </w:t>
      </w:r>
      <w:r w:rsidRPr="1FC5E705">
        <w:rPr>
          <w:i/>
          <w:iCs/>
          <w:noProof/>
        </w:rPr>
        <w:t>How could the report be clearer regarding the key assumptions, in particular related to technologies and investment behaviour? How do the analyses deal with the uncertainty of key assumptions?</w:t>
      </w:r>
    </w:p>
    <w:p w14:paraId="7E7A359C" w14:textId="77777777" w:rsidR="00A71942" w:rsidRDefault="00A71942" w:rsidP="00E276C8">
      <w:pPr>
        <w:pStyle w:val="ListParagraph"/>
        <w:numPr>
          <w:ilvl w:val="0"/>
          <w:numId w:val="36"/>
        </w:numPr>
        <w:spacing w:after="120" w:line="240" w:lineRule="auto"/>
        <w:contextualSpacing/>
        <w:rPr>
          <w:noProof/>
        </w:rPr>
      </w:pPr>
      <w:r>
        <w:rPr>
          <w:noProof/>
        </w:rPr>
        <w:t>We have more clearly distinguished the costs and benefits stemming from the baseline from those incurred due to the policy options, for those topics where the baseline includes a continuation of the policy.</w:t>
      </w:r>
    </w:p>
    <w:p w14:paraId="3167919E" w14:textId="77777777" w:rsidR="00A71942" w:rsidRDefault="00A71942" w:rsidP="00E276C8">
      <w:pPr>
        <w:pStyle w:val="ListParagraph"/>
        <w:numPr>
          <w:ilvl w:val="0"/>
          <w:numId w:val="36"/>
        </w:numPr>
        <w:spacing w:after="120" w:line="240" w:lineRule="auto"/>
        <w:contextualSpacing/>
        <w:rPr>
          <w:noProof/>
        </w:rPr>
      </w:pPr>
      <w:r>
        <w:rPr>
          <w:noProof/>
        </w:rPr>
        <w:t>Costs and benefits of the preferred option have been quantified in Annex 3 on an issue-by-issue basis to provide greater transparency in view of the preferred option being a collection of different components.</w:t>
      </w:r>
    </w:p>
    <w:p w14:paraId="6D4A1C42" w14:textId="77777777" w:rsidR="00A71942" w:rsidRDefault="00A71942" w:rsidP="00E276C8">
      <w:pPr>
        <w:pStyle w:val="ListParagraph"/>
        <w:numPr>
          <w:ilvl w:val="0"/>
          <w:numId w:val="36"/>
        </w:numPr>
        <w:spacing w:after="120" w:line="240" w:lineRule="auto"/>
        <w:contextualSpacing/>
        <w:rPr>
          <w:noProof/>
        </w:rPr>
      </w:pPr>
      <w:r>
        <w:rPr>
          <w:noProof/>
        </w:rPr>
        <w:t>Due to the heterogeneous nature and differences in the focus and level of detail of the quantitative analysis across different topics, as well as the dependence on future implementing measures (notably the design of future MRV requirements) in certain cases, it has not been possible to monetise the aggregated costs and benefits of the preferred option.</w:t>
      </w:r>
    </w:p>
    <w:p w14:paraId="4F2B0337" w14:textId="77777777" w:rsidR="00A71942" w:rsidRDefault="00A71942" w:rsidP="00E276C8">
      <w:pPr>
        <w:pStyle w:val="ListParagraph"/>
        <w:numPr>
          <w:ilvl w:val="0"/>
          <w:numId w:val="36"/>
        </w:numPr>
        <w:spacing w:after="120" w:line="240" w:lineRule="auto"/>
        <w:contextualSpacing/>
        <w:rPr>
          <w:noProof/>
        </w:rPr>
      </w:pPr>
      <w:r>
        <w:rPr>
          <w:noProof/>
        </w:rPr>
        <w:t>For the analysis on competitiveness and affordability, we have included concrete references to the analysis of the 2040 climate target impact assessment and further developed the impact assessment of the IDB in these terms. In addition, the report further clarifies the complementary role of other policies which go beyond the remit of the EU ETS and will be assessed in more detail in those respective areas.</w:t>
      </w:r>
    </w:p>
    <w:p w14:paraId="40273CE8" w14:textId="77777777" w:rsidR="00A71942" w:rsidRPr="003064D0" w:rsidRDefault="00A71942" w:rsidP="00E276C8">
      <w:pPr>
        <w:pStyle w:val="ListParagraph"/>
        <w:numPr>
          <w:ilvl w:val="0"/>
          <w:numId w:val="36"/>
        </w:numPr>
        <w:spacing w:after="120" w:line="240" w:lineRule="auto"/>
        <w:contextualSpacing/>
        <w:rPr>
          <w:noProof/>
        </w:rPr>
      </w:pPr>
      <w:r>
        <w:rPr>
          <w:noProof/>
        </w:rPr>
        <w:t>Annex 4 has been updated with more information on key assumptions and preconditions (infrastructure, technology development) for the target to be reached.</w:t>
      </w:r>
    </w:p>
    <w:p w14:paraId="3C5867A6" w14:textId="77777777" w:rsidR="00A71942" w:rsidRPr="00AF4AAA" w:rsidRDefault="00A71942" w:rsidP="00E276C8">
      <w:pPr>
        <w:spacing w:line="240" w:lineRule="auto"/>
        <w:rPr>
          <w:noProof/>
        </w:rPr>
      </w:pPr>
      <w:r w:rsidRPr="1FC5E705">
        <w:rPr>
          <w:i/>
          <w:iCs/>
          <w:noProof/>
        </w:rPr>
        <w:t>5) How can the report become clearer and more accessible, considering that the main impact assessment report builds on the several sub-impact assessments provided in annexes? In this respect, ow can the report improve the logic of building the different policy options for the ETS review?</w:t>
      </w:r>
    </w:p>
    <w:p w14:paraId="268D1D34" w14:textId="77777777" w:rsidR="00A71942" w:rsidRDefault="00A71942" w:rsidP="00E276C8">
      <w:pPr>
        <w:pStyle w:val="ListParagraph"/>
        <w:numPr>
          <w:ilvl w:val="0"/>
          <w:numId w:val="33"/>
        </w:numPr>
        <w:spacing w:after="120" w:line="240" w:lineRule="auto"/>
        <w:ind w:left="709"/>
        <w:contextualSpacing/>
        <w:rPr>
          <w:noProof/>
        </w:rPr>
      </w:pPr>
      <w:r>
        <w:rPr>
          <w:noProof/>
        </w:rPr>
        <w:t>We have reviewed and improved the clarify of the overall narrative in the main report, in addition to including bracketed references to more detailed information in the annexes where relevant.</w:t>
      </w:r>
    </w:p>
    <w:p w14:paraId="0EA61BD3" w14:textId="77777777" w:rsidR="00A71942" w:rsidRDefault="00A71942" w:rsidP="00E276C8">
      <w:pPr>
        <w:pStyle w:val="ListParagraph"/>
        <w:numPr>
          <w:ilvl w:val="0"/>
          <w:numId w:val="33"/>
        </w:numPr>
        <w:spacing w:after="120" w:line="240" w:lineRule="auto"/>
        <w:ind w:left="709"/>
        <w:contextualSpacing/>
        <w:rPr>
          <w:noProof/>
        </w:rPr>
      </w:pPr>
      <w:r>
        <w:rPr>
          <w:noProof/>
        </w:rPr>
        <w:t>We have included a visual representation of the functioning of the EU ETS and its role within the relevant climate and energy policy framework.</w:t>
      </w:r>
    </w:p>
    <w:p w14:paraId="15862F84" w14:textId="77777777" w:rsidR="00A71942" w:rsidRPr="00717D62" w:rsidRDefault="00A71942" w:rsidP="00E276C8">
      <w:pPr>
        <w:pStyle w:val="ListParagraph"/>
        <w:numPr>
          <w:ilvl w:val="0"/>
          <w:numId w:val="33"/>
        </w:numPr>
        <w:spacing w:after="120" w:line="240" w:lineRule="auto"/>
        <w:ind w:left="709"/>
        <w:contextualSpacing/>
        <w:rPr>
          <w:noProof/>
        </w:rPr>
      </w:pPr>
      <w:r>
        <w:rPr>
          <w:noProof/>
        </w:rPr>
        <w:t>A description of the logic behind the combination of measures into three policy options, the key trade-offs between the options and the measures that drive their overall impact has been included in section 5.2. of the main report.</w:t>
      </w:r>
    </w:p>
    <w:p w14:paraId="57D9A7D4" w14:textId="77777777" w:rsidR="00A71942" w:rsidRPr="00AA5D61" w:rsidRDefault="00A71942" w:rsidP="00E276C8">
      <w:pPr>
        <w:pStyle w:val="Heading1COM"/>
        <w:spacing w:before="120" w:after="120" w:line="240" w:lineRule="auto"/>
        <w:outlineLvl w:val="1"/>
        <w:rPr>
          <w:noProof/>
        </w:rPr>
      </w:pPr>
      <w:bookmarkStart w:id="23" w:name="_Toc471997758"/>
      <w:bookmarkStart w:id="24" w:name="_Toc202448685"/>
      <w:bookmarkStart w:id="25" w:name="_Toc211458509"/>
      <w:bookmarkStart w:id="26" w:name="_Toc232611413"/>
      <w:bookmarkStart w:id="27" w:name="_Toc232758093"/>
      <w:r>
        <w:rPr>
          <w:noProof/>
        </w:rPr>
        <w:t>Evidence, sources and quality</w:t>
      </w:r>
      <w:bookmarkEnd w:id="23"/>
      <w:bookmarkEnd w:id="24"/>
      <w:bookmarkEnd w:id="25"/>
      <w:bookmarkEnd w:id="26"/>
      <w:bookmarkEnd w:id="27"/>
    </w:p>
    <w:p w14:paraId="540857CA" w14:textId="77777777" w:rsidR="00A71942" w:rsidRDefault="00A71942" w:rsidP="00E276C8">
      <w:pPr>
        <w:tabs>
          <w:tab w:val="left" w:pos="567"/>
        </w:tabs>
        <w:spacing w:line="240" w:lineRule="auto"/>
        <w:ind w:right="113"/>
        <w:rPr>
          <w:noProof/>
        </w:rPr>
        <w:sectPr w:rsidR="00A71942" w:rsidSect="00667FB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601" w:footer="1077" w:gutter="0"/>
          <w:cols w:space="720"/>
          <w:docGrid w:linePitch="326"/>
        </w:sectPr>
      </w:pPr>
      <w:r w:rsidRPr="00AA5D61">
        <w:rPr>
          <w:noProof/>
        </w:rPr>
        <w:t xml:space="preserve">This </w:t>
      </w:r>
      <w:r>
        <w:rPr>
          <w:noProof/>
        </w:rPr>
        <w:t>initiative</w:t>
      </w:r>
      <w:r w:rsidRPr="00AA5D61">
        <w:rPr>
          <w:noProof/>
        </w:rPr>
        <w:t xml:space="preserve"> builds upon evidence gathered in the Impact Assessment for the previous ETS revision</w:t>
      </w:r>
      <w:r w:rsidRPr="1FC5E705">
        <w:rPr>
          <w:noProof/>
          <w:vertAlign w:val="superscript"/>
        </w:rPr>
        <w:footnoteReference w:id="3"/>
      </w:r>
      <w:r w:rsidRPr="003A2A56">
        <w:rPr>
          <w:noProof/>
          <w:vertAlign w:val="superscript"/>
        </w:rPr>
        <w:t xml:space="preserve"> </w:t>
      </w:r>
      <w:r w:rsidRPr="00AA5D61">
        <w:rPr>
          <w:noProof/>
        </w:rPr>
        <w:t>concluded in 2023, the Impact Assessment accompanying the 2040 Climate Target Communication and Proposal</w:t>
      </w:r>
      <w:r w:rsidRPr="1FC5E705">
        <w:rPr>
          <w:noProof/>
          <w:vertAlign w:val="superscript"/>
        </w:rPr>
        <w:footnoteReference w:id="4"/>
      </w:r>
      <w:r w:rsidRPr="00AA5D61">
        <w:rPr>
          <w:noProof/>
        </w:rPr>
        <w:t xml:space="preserve"> and any relevant evidence compiled in other concurrent initiatives. It builds on emissions data and experiences from the implementation of the EU monitoring, reporting and verification systems. </w:t>
      </w:r>
      <w:r w:rsidRPr="003A2A56">
        <w:rPr>
          <w:noProof/>
        </w:rPr>
        <w:t>It makes use of modelling scenarios using PRIMES, GEM-E3 and POLES models, as described in Annex 4</w:t>
      </w:r>
      <w:r>
        <w:rPr>
          <w:noProof/>
        </w:rPr>
        <w:t xml:space="preserve"> on</w:t>
      </w:r>
      <w:r w:rsidRPr="003A2A56">
        <w:rPr>
          <w:noProof/>
        </w:rPr>
        <w:t xml:space="preserve"> Modelling and analytical methods</w:t>
      </w:r>
      <w:r>
        <w:rPr>
          <w:noProof/>
        </w:rPr>
        <w:t xml:space="preserve">. In </w:t>
      </w:r>
      <w:r w:rsidRPr="00AA5D61">
        <w:rPr>
          <w:noProof/>
        </w:rPr>
        <w:t>addition</w:t>
      </w:r>
      <w:r>
        <w:rPr>
          <w:noProof/>
        </w:rPr>
        <w:t>,</w:t>
      </w:r>
      <w:r w:rsidRPr="00AA5D61">
        <w:rPr>
          <w:noProof/>
        </w:rPr>
        <w:t xml:space="preserve"> it makes uses of several support contracts.</w:t>
      </w:r>
      <w:r>
        <w:rPr>
          <w:noProof/>
        </w:rPr>
        <w:t xml:space="preserve"> Concerning </w:t>
      </w:r>
      <w:r w:rsidRPr="00AA5D61">
        <w:rPr>
          <w:noProof/>
        </w:rPr>
        <w:t>the</w:t>
      </w:r>
      <w:r>
        <w:rPr>
          <w:noProof/>
        </w:rPr>
        <w:t xml:space="preserve"> maritime and aviation sectors,</w:t>
      </w:r>
      <w:r w:rsidRPr="00AA5D61">
        <w:rPr>
          <w:noProof/>
        </w:rPr>
        <w:t xml:space="preserve"> sector-specific </w:t>
      </w:r>
      <w:r>
        <w:rPr>
          <w:noProof/>
        </w:rPr>
        <w:t>studies were carried out by Ricardo</w:t>
      </w:r>
      <w:r w:rsidRPr="1FC5E705">
        <w:rPr>
          <w:noProof/>
          <w:vertAlign w:val="superscript"/>
        </w:rPr>
        <w:footnoteReference w:id="5"/>
      </w:r>
      <w:r>
        <w:rPr>
          <w:noProof/>
        </w:rPr>
        <w:t xml:space="preserve">. </w:t>
      </w:r>
      <w:r w:rsidRPr="50EAC126">
        <w:rPr>
          <w:noProof/>
        </w:rPr>
        <w:t>Further information on evidence, scenarios and sources is provided in Annexes 2 and 4.</w:t>
      </w:r>
    </w:p>
    <w:p w14:paraId="5F1CD02D" w14:textId="77777777" w:rsidR="00A71942" w:rsidRPr="00F92EAE" w:rsidRDefault="00A71942" w:rsidP="00E276C8">
      <w:pPr>
        <w:pStyle w:val="AnnexTitle"/>
        <w:spacing w:before="120" w:after="120" w:line="240" w:lineRule="auto"/>
        <w:rPr>
          <w:noProof/>
        </w:rPr>
      </w:pPr>
      <w:bookmarkStart w:id="28" w:name="_Toc211847792"/>
      <w:bookmarkStart w:id="29" w:name="_Toc223011922"/>
      <w:bookmarkStart w:id="30" w:name="_Toc224903460"/>
      <w:bookmarkStart w:id="31" w:name="_Toc231304619"/>
      <w:bookmarkStart w:id="32" w:name="_Toc232758094"/>
      <w:r>
        <w:rPr>
          <w:noProof/>
        </w:rPr>
        <w:t>Annex 2: Stakeholder consultation (Synopsis report)</w:t>
      </w:r>
      <w:bookmarkEnd w:id="28"/>
      <w:bookmarkEnd w:id="29"/>
      <w:bookmarkEnd w:id="30"/>
      <w:bookmarkEnd w:id="31"/>
      <w:bookmarkEnd w:id="32"/>
    </w:p>
    <w:p w14:paraId="6F6B287C" w14:textId="77777777" w:rsidR="00A71942" w:rsidRPr="00AA5D61" w:rsidRDefault="00A71942" w:rsidP="00E276C8">
      <w:pPr>
        <w:pStyle w:val="Heading1COM"/>
        <w:numPr>
          <w:ilvl w:val="0"/>
          <w:numId w:val="78"/>
        </w:numPr>
        <w:spacing w:before="120" w:after="120" w:line="240" w:lineRule="auto"/>
        <w:outlineLvl w:val="1"/>
        <w:rPr>
          <w:noProof/>
        </w:rPr>
      </w:pPr>
      <w:bookmarkStart w:id="33" w:name="_Toc231304621"/>
      <w:bookmarkStart w:id="34" w:name="_Toc232611415"/>
      <w:bookmarkStart w:id="35" w:name="_Toc232758095"/>
      <w:r>
        <w:rPr>
          <w:noProof/>
        </w:rPr>
        <w:t>Introduction</w:t>
      </w:r>
      <w:bookmarkEnd w:id="33"/>
      <w:bookmarkEnd w:id="34"/>
      <w:bookmarkEnd w:id="35"/>
    </w:p>
    <w:p w14:paraId="7CFD0A97"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As part of the back-to-back evaluation and impact assessment to support the revision of the EU ETS Directive and the Market Stability Reserve (MSR) Decision, the Commission carried out a series of consultation activities</w:t>
      </w:r>
      <w:r w:rsidRPr="1FC5E705">
        <w:rPr>
          <w:rFonts w:eastAsia="Times New Roman"/>
          <w:noProof/>
          <w:vertAlign w:val="superscript"/>
        </w:rPr>
        <w:footnoteReference w:id="6"/>
      </w:r>
      <w:r w:rsidRPr="4CC0E199">
        <w:rPr>
          <w:rFonts w:eastAsia="Times New Roman"/>
          <w:noProof/>
          <w:color w:val="242828"/>
        </w:rPr>
        <w:t xml:space="preserve">. The scope of the consultation consisted of an evaluation of the current framework and an impact assessment on a wide range of options for provisions subject to review. In particular, the main objective of the consultation was to gather stakeholder views on the aviation and maritime sectors, carbon leakage, carbon removals, municipal waste incineration (MWI), non-permanent carbon capture and use (CCU), thermal input thresholds, linking with other carbon markets, and the Market Stability Reserve. The consultation further examined the use of revenues and low-carbon support mechanisms. The Commission also looked for inputs on possible simplification measures. </w:t>
      </w:r>
    </w:p>
    <w:p w14:paraId="128C3247" w14:textId="77777777" w:rsidR="00A71942" w:rsidRPr="00AA5D61" w:rsidRDefault="00A71942" w:rsidP="00E276C8">
      <w:pPr>
        <w:spacing w:line="240" w:lineRule="auto"/>
        <w:rPr>
          <w:rFonts w:eastAsia="Times New Roman"/>
          <w:noProof/>
          <w:color w:val="242828"/>
        </w:rPr>
      </w:pPr>
      <w:r w:rsidRPr="1FC5E705">
        <w:rPr>
          <w:rFonts w:eastAsia="Times New Roman"/>
          <w:noProof/>
        </w:rPr>
        <w:t>The Commission organised an open public consultation (OPC) via an online survey. The OPC was open for 12 weeks, in line with the Better Regulation Guidelines, from 15 April to 8 July 2025. The questionnaire contained 61 questions, mainly multiple-choice questions but with the possibility to elaborate on the given response.</w:t>
      </w:r>
    </w:p>
    <w:p w14:paraId="2771852B"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During the open public consultation period, position papers and feedback to the Call for evidence could also be submitted. In addition, targeted interviews were conducted to gather more detailed information from specific stakeholder groups. </w:t>
      </w:r>
    </w:p>
    <w:p w14:paraId="490E7F03"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The Commission engaged a contractor</w:t>
      </w:r>
      <w:r w:rsidRPr="1FC5E705">
        <w:rPr>
          <w:rFonts w:eastAsia="Times New Roman"/>
          <w:noProof/>
          <w:vertAlign w:val="superscript"/>
        </w:rPr>
        <w:footnoteReference w:id="7"/>
      </w:r>
      <w:r w:rsidRPr="000008A2">
        <w:rPr>
          <w:rFonts w:eastAsia="Times New Roman"/>
          <w:noProof/>
          <w:color w:val="242828"/>
          <w:vertAlign w:val="superscript"/>
        </w:rPr>
        <w:t xml:space="preserve"> </w:t>
      </w:r>
      <w:r w:rsidRPr="4CC0E199">
        <w:rPr>
          <w:rFonts w:eastAsia="Times New Roman"/>
          <w:noProof/>
          <w:color w:val="242828"/>
        </w:rPr>
        <w:t xml:space="preserve">to analyse the results of the online survey, feedback on the call for evidence and stakeholder interviews. The results are summarised below based on the report provided by the contractor. </w:t>
      </w:r>
    </w:p>
    <w:p w14:paraId="4C2B7F5D" w14:textId="77777777" w:rsidR="00A71942" w:rsidRPr="00AA5D61" w:rsidRDefault="00A71942" w:rsidP="00E276C8">
      <w:pPr>
        <w:spacing w:line="240" w:lineRule="auto"/>
        <w:rPr>
          <w:rFonts w:eastAsia="Times New Roman"/>
          <w:noProof/>
        </w:rPr>
      </w:pPr>
      <w:r w:rsidRPr="4CC0E199">
        <w:rPr>
          <w:rFonts w:eastAsia="Times New Roman"/>
          <w:noProof/>
          <w:color w:val="242828"/>
        </w:rPr>
        <w:t>The Commission also instructed contractors</w:t>
      </w:r>
      <w:r w:rsidRPr="1FC5E705">
        <w:rPr>
          <w:rFonts w:eastAsia="Times New Roman"/>
          <w:noProof/>
          <w:vertAlign w:val="superscript"/>
        </w:rPr>
        <w:footnoteReference w:id="8"/>
      </w:r>
      <w:r w:rsidRPr="4CC0E199">
        <w:rPr>
          <w:rFonts w:eastAsia="Times New Roman"/>
          <w:noProof/>
          <w:color w:val="242828"/>
        </w:rPr>
        <w:t xml:space="preserve"> to collect views and inputs on the implementation of MRVA rules for stationary installations and maritime operators through detailed questionnaires. The outcome of the </w:t>
      </w:r>
      <w:r w:rsidRPr="4CC0E199">
        <w:rPr>
          <w:rFonts w:eastAsia="Times New Roman"/>
          <w:noProof/>
        </w:rPr>
        <w:t xml:space="preserve">study will be reflected in the MRVA related sections of evaluation report. </w:t>
      </w:r>
    </w:p>
    <w:p w14:paraId="3BC1F47E" w14:textId="77777777" w:rsidR="00A71942" w:rsidRDefault="00A71942" w:rsidP="00E276C8">
      <w:pPr>
        <w:spacing w:line="240" w:lineRule="auto"/>
        <w:rPr>
          <w:rFonts w:eastAsia="Times New Roman"/>
          <w:noProof/>
          <w:color w:val="242828"/>
        </w:rPr>
      </w:pPr>
      <w:r w:rsidRPr="1FC5E705">
        <w:rPr>
          <w:rFonts w:eastAsia="Times New Roman"/>
          <w:noProof/>
        </w:rPr>
        <w:t>In addition, the Commission participated in multiple (virtual) bilateral and multilateral stakeholder meetings to discuss the revision of the ETS, including with companies and business associations across different sectors, trade unions, non-governmental organisations (NGOs) and public authorities of Member States. The Commission also participated in several virtual conferences in order to present the upcoming revision of the ETS and to invite stakeholders to participate in the public consultation. Finally, a joint meeting of the European Sustainable Shipping Forum sub-group on the implementation of MRV and ETS maritime (ESSF) and Climate Change Expert Group (CCEG Maritime) was held to collect insights and input on maritime-related topics from Member States and stakeholders.</w:t>
      </w:r>
    </w:p>
    <w:p w14:paraId="1ACD5A38" w14:textId="77777777" w:rsidR="00A71942" w:rsidRDefault="00A71942" w:rsidP="00E276C8">
      <w:pPr>
        <w:spacing w:line="240" w:lineRule="auto"/>
        <w:rPr>
          <w:rFonts w:eastAsia="Times New Roman"/>
          <w:noProof/>
          <w:color w:val="242828"/>
        </w:rPr>
      </w:pPr>
      <w:r w:rsidRPr="1FC5E705">
        <w:rPr>
          <w:rFonts w:eastAsia="Times New Roman"/>
          <w:noProof/>
        </w:rPr>
        <w:t xml:space="preserve">In parallel, as part of the reality check exercise, the Commission also organised a targeted workshop on the EU ETS with over 50 representatives from stationary installations across the EU on 29 January 2026, which focused on experiences with practical implementation and identification of areas for simplification and streamlining of compliance processes and requirements. </w:t>
      </w:r>
    </w:p>
    <w:p w14:paraId="530AE505" w14:textId="6236B40E" w:rsidR="00A71942" w:rsidRDefault="00A71942" w:rsidP="00E276C8">
      <w:pPr>
        <w:spacing w:line="240" w:lineRule="auto"/>
        <w:rPr>
          <w:rFonts w:eastAsia="Times New Roman"/>
          <w:noProof/>
          <w:color w:val="242828"/>
        </w:rPr>
      </w:pPr>
      <w:r w:rsidRPr="1FC5E705">
        <w:rPr>
          <w:rFonts w:eastAsia="Times New Roman"/>
          <w:noProof/>
        </w:rPr>
        <w:t xml:space="preserve">Finally, the Commission organised a high-level stakeholder roundtable on the review of the EU ETS on 12 May 2026, bringing together close to 60 EU association and company representatives from more than 20 sectors covered under the EU ETS, civil society organisations and other relevant stakeholders such as auction platforms and market analysts, from different geographical areas across the EU. The Roundtable complemented the public consultation on the evaluation and the review of the EU Emissions Trading System and the Market Stability Reserve conducted in 2025, in view of the interim developments on the evaluation and review process, geopolitical events and guidance from the March 2026 European Council and the 2040 target amendment to the European Climate Law. The Roundtable gathered additional input on the policy priorities to guide the upcoming review of the EU ETS and the Market Stability Reserve (MSR) for the 2031-2040 period and the complementary instruments needed to make decarbonisation a driver of EU competitiveness and resilience. The Roundtable was also publicly </w:t>
      </w:r>
      <w:r w:rsidRPr="77718E45">
        <w:rPr>
          <w:rFonts w:eastAsia="Times New Roman"/>
          <w:noProof/>
        </w:rPr>
        <w:t>web</w:t>
      </w:r>
      <w:r w:rsidR="2858AEED" w:rsidRPr="77718E45">
        <w:rPr>
          <w:rFonts w:eastAsia="Times New Roman"/>
          <w:noProof/>
        </w:rPr>
        <w:t>-</w:t>
      </w:r>
      <w:r w:rsidRPr="77718E45">
        <w:rPr>
          <w:rFonts w:eastAsia="Times New Roman"/>
          <w:noProof/>
        </w:rPr>
        <w:t>streamed</w:t>
      </w:r>
      <w:r w:rsidRPr="1FC5E705">
        <w:rPr>
          <w:rFonts w:eastAsia="Times New Roman"/>
          <w:noProof/>
        </w:rPr>
        <w:t>, with online observers invited to share positions in writing after the event.</w:t>
      </w:r>
    </w:p>
    <w:p w14:paraId="6400C004" w14:textId="77777777" w:rsidR="00A71942" w:rsidRPr="00AA5D61" w:rsidRDefault="00A71942" w:rsidP="00E276C8">
      <w:pPr>
        <w:pStyle w:val="Heading1COM"/>
        <w:spacing w:before="120" w:after="120" w:line="240" w:lineRule="auto"/>
        <w:outlineLvl w:val="1"/>
        <w:rPr>
          <w:noProof/>
        </w:rPr>
      </w:pPr>
      <w:bookmarkStart w:id="36" w:name="_Toc211458511"/>
      <w:bookmarkStart w:id="37" w:name="_Toc231304622"/>
      <w:bookmarkStart w:id="38" w:name="_Toc232611416"/>
      <w:bookmarkStart w:id="39" w:name="_Toc232758096"/>
      <w:r>
        <w:rPr>
          <w:noProof/>
        </w:rPr>
        <w:t>Methodology for data processing</w:t>
      </w:r>
      <w:bookmarkEnd w:id="36"/>
      <w:bookmarkEnd w:id="37"/>
      <w:bookmarkEnd w:id="38"/>
      <w:bookmarkEnd w:id="39"/>
    </w:p>
    <w:p w14:paraId="0BD33312"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The questionnaire mainly consisted of closed questions presented as multiple-choice or multiple-answer questions</w:t>
      </w:r>
      <w:r w:rsidRPr="1FC5E705">
        <w:rPr>
          <w:rFonts w:eastAsia="Times New Roman"/>
          <w:noProof/>
          <w:vertAlign w:val="superscript"/>
        </w:rPr>
        <w:footnoteReference w:id="9"/>
      </w:r>
      <w:r w:rsidRPr="4CC0E199">
        <w:rPr>
          <w:rFonts w:eastAsia="Times New Roman"/>
          <w:noProof/>
          <w:color w:val="242828"/>
        </w:rPr>
        <w:t>. The questionnaire also included several open-ended questions, mostly to elaborate on responses to closed questions, as well as some stand-alone open-ended questions. The results of all questions have been analysed quantitatively. For open-ended questions, key views raised by respondents were identified and grouped by theme, allowing the frequency of each issue to be assessed quantitatively.</w:t>
      </w:r>
    </w:p>
    <w:p w14:paraId="405AF64E"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In accordance with the Better Regulation Guidelines and Toolbox, sets of coordinated responses have been identified and analysed separately as campaigns. Campaigns were identified horizontally where respondents with key shared characteristics</w:t>
      </w:r>
      <w:r w:rsidRPr="1FC5E705">
        <w:rPr>
          <w:rFonts w:eastAsia="Times New Roman"/>
          <w:noProof/>
          <w:vertAlign w:val="superscript"/>
        </w:rPr>
        <w:footnoteReference w:id="10"/>
      </w:r>
      <w:r w:rsidRPr="4CC0E199">
        <w:rPr>
          <w:rFonts w:eastAsia="Times New Roman"/>
          <w:noProof/>
          <w:color w:val="242828"/>
        </w:rPr>
        <w:t xml:space="preserve"> submitted similar or identical answers across multiple questions in the questionnaire. A scoring method (R x Q = S) was applied that considered the combination of the number of respondents (R)</w:t>
      </w:r>
      <w:r w:rsidRPr="1FC5E705">
        <w:rPr>
          <w:rFonts w:eastAsia="Times New Roman"/>
          <w:noProof/>
          <w:vertAlign w:val="superscript"/>
        </w:rPr>
        <w:footnoteReference w:id="11"/>
      </w:r>
      <w:r w:rsidRPr="4CC0E199">
        <w:rPr>
          <w:rFonts w:eastAsia="Times New Roman"/>
          <w:noProof/>
          <w:color w:val="242828"/>
        </w:rPr>
        <w:t xml:space="preserve"> and the number of questions where similar or identical responses (Q) were submitted</w:t>
      </w:r>
      <w:r w:rsidRPr="1FC5E705">
        <w:rPr>
          <w:rFonts w:eastAsia="Times New Roman"/>
          <w:noProof/>
          <w:vertAlign w:val="superscript"/>
        </w:rPr>
        <w:footnoteReference w:id="12"/>
      </w:r>
      <w:r w:rsidRPr="4CC0E199">
        <w:rPr>
          <w:rFonts w:eastAsia="Times New Roman"/>
          <w:noProof/>
          <w:color w:val="242828"/>
        </w:rPr>
        <w:t xml:space="preserve"> with the threshold (S) defined as 50 or higher to ensure that strongly coordinated sets of responses throughout the questionnaire were transparently identified</w:t>
      </w:r>
      <w:r w:rsidRPr="1FC5E705">
        <w:rPr>
          <w:rFonts w:eastAsia="Times New Roman"/>
          <w:noProof/>
          <w:vertAlign w:val="superscript"/>
        </w:rPr>
        <w:footnoteReference w:id="13"/>
      </w:r>
      <w:r w:rsidRPr="4CC0E199">
        <w:rPr>
          <w:rFonts w:eastAsia="Times New Roman"/>
          <w:noProof/>
          <w:color w:val="242828"/>
        </w:rPr>
        <w:t>.</w:t>
      </w:r>
    </w:p>
    <w:p w14:paraId="7CA7F416" w14:textId="77777777" w:rsidR="00A71942" w:rsidRPr="00AA5D61" w:rsidRDefault="00A71942" w:rsidP="00E276C8">
      <w:pPr>
        <w:spacing w:line="240" w:lineRule="auto"/>
        <w:rPr>
          <w:rFonts w:eastAsia="Times New Roman"/>
          <w:noProof/>
          <w:color w:val="242828"/>
        </w:rPr>
      </w:pPr>
      <w:r w:rsidRPr="1FC5E705">
        <w:rPr>
          <w:rFonts w:eastAsia="Times New Roman"/>
          <w:noProof/>
        </w:rPr>
        <w:t>The analysis of the closed and open-ended responses identified 13 campaigns, mainly affecting the stationary installation section of the Impact Assessment. While these had a visible impact on the responses submitted to open-ended questions, they did not significantly affect the results of closed questions. In particular, the relative ranking of options was not altered.</w:t>
      </w:r>
    </w:p>
    <w:p w14:paraId="524BE375" w14:textId="7CBD47A1" w:rsidR="00A71942" w:rsidRDefault="00A71942" w:rsidP="00E276C8">
      <w:pPr>
        <w:spacing w:line="240" w:lineRule="auto"/>
        <w:rPr>
          <w:rFonts w:eastAsia="Times New Roman"/>
          <w:noProof/>
          <w:color w:val="242828"/>
        </w:rPr>
      </w:pPr>
      <w:r w:rsidRPr="1FC5E705">
        <w:rPr>
          <w:rFonts w:eastAsia="Times New Roman"/>
          <w:noProof/>
        </w:rPr>
        <w:t>Additional position papers or feedback on the Call for evidence could be submitted to the OPC. In total, 404 unique contributions were received</w:t>
      </w:r>
      <w:r w:rsidR="1D66AEBB" w:rsidRPr="1FC5E705">
        <w:rPr>
          <w:rFonts w:eastAsia="Times New Roman"/>
          <w:noProof/>
        </w:rPr>
        <w:t xml:space="preserve"> (of which 377 </w:t>
      </w:r>
      <w:r w:rsidR="7E314FFE" w:rsidRPr="1FC5E705">
        <w:rPr>
          <w:rFonts w:eastAsia="Times New Roman"/>
          <w:noProof/>
        </w:rPr>
        <w:t>as feedback to</w:t>
      </w:r>
      <w:r w:rsidR="1D66AEBB" w:rsidRPr="1FC5E705">
        <w:rPr>
          <w:rFonts w:eastAsia="Times New Roman"/>
          <w:noProof/>
        </w:rPr>
        <w:t xml:space="preserve"> the Call for evidence and 27 directly submitted</w:t>
      </w:r>
      <w:r w:rsidR="7E314FFE" w:rsidRPr="1FC5E705">
        <w:rPr>
          <w:rFonts w:eastAsia="Times New Roman"/>
          <w:noProof/>
        </w:rPr>
        <w:t>)</w:t>
      </w:r>
      <w:r w:rsidRPr="1FC5E705">
        <w:rPr>
          <w:rFonts w:eastAsia="Times New Roman"/>
          <w:noProof/>
        </w:rPr>
        <w:t xml:space="preserve">: each could include feedback, a position paper, or both. Altogether, these comprised 377 feedback responses and 323 papers. Based on a preliminary review and a selection, 372 papers and feedback were thoroughly analysed. These were processed via cataloguing, meaning data from each contribution was logged in a database to provide key themes, issues raised and author.    </w:t>
      </w:r>
    </w:p>
    <w:p w14:paraId="4461D5E5" w14:textId="77777777" w:rsidR="00A71942" w:rsidRPr="00AA5D61" w:rsidRDefault="00A71942" w:rsidP="00E276C8">
      <w:pPr>
        <w:pStyle w:val="Heading1COM"/>
        <w:spacing w:before="120" w:after="120" w:line="240" w:lineRule="auto"/>
        <w:outlineLvl w:val="1"/>
        <w:rPr>
          <w:noProof/>
        </w:rPr>
      </w:pPr>
      <w:bookmarkStart w:id="40" w:name="_Toc211458512"/>
      <w:bookmarkStart w:id="41" w:name="_Toc231304623"/>
      <w:bookmarkStart w:id="42" w:name="_Toc232611417"/>
      <w:bookmarkStart w:id="43" w:name="_Toc232758097"/>
      <w:r>
        <w:rPr>
          <w:noProof/>
        </w:rPr>
        <w:t>Results of the open public consultation</w:t>
      </w:r>
      <w:bookmarkEnd w:id="40"/>
      <w:bookmarkEnd w:id="41"/>
      <w:bookmarkEnd w:id="42"/>
      <w:bookmarkEnd w:id="43"/>
    </w:p>
    <w:p w14:paraId="78579C96" w14:textId="77777777" w:rsidR="00A71942" w:rsidRPr="005916BE" w:rsidRDefault="00A71942" w:rsidP="00E276C8">
      <w:pPr>
        <w:pStyle w:val="Heading2COM"/>
        <w:spacing w:before="120" w:after="120" w:line="240" w:lineRule="auto"/>
        <w:outlineLvl w:val="2"/>
        <w15:collapsed w:val="0"/>
        <w:rPr>
          <w:noProof/>
        </w:rPr>
      </w:pPr>
      <w:bookmarkStart w:id="44" w:name="_Toc231304624"/>
      <w:bookmarkStart w:id="45" w:name="_Toc232611418"/>
      <w:bookmarkStart w:id="46" w:name="_Toc232758098"/>
      <w:r>
        <w:rPr>
          <w:noProof/>
        </w:rPr>
        <w:t>Overview of participants</w:t>
      </w:r>
      <w:bookmarkEnd w:id="44"/>
      <w:bookmarkEnd w:id="45"/>
      <w:bookmarkEnd w:id="46"/>
    </w:p>
    <w:p w14:paraId="541F23FF" w14:textId="11703BB1" w:rsidR="00A71942" w:rsidRPr="00AA5D61" w:rsidRDefault="00A71942" w:rsidP="00E276C8">
      <w:pPr>
        <w:spacing w:line="240" w:lineRule="auto"/>
        <w:rPr>
          <w:rFonts w:eastAsia="Times New Roman"/>
          <w:noProof/>
          <w:color w:val="242828"/>
        </w:rPr>
      </w:pPr>
      <w:r w:rsidRPr="4CC0E199">
        <w:rPr>
          <w:rFonts w:eastAsia="Times New Roman"/>
          <w:noProof/>
          <w:color w:val="242828"/>
        </w:rPr>
        <w:t xml:space="preserve">The </w:t>
      </w:r>
      <w:r w:rsidR="1FF55A16" w:rsidRPr="1FC5E705">
        <w:rPr>
          <w:rFonts w:eastAsia="Times New Roman"/>
          <w:noProof/>
        </w:rPr>
        <w:t xml:space="preserve">online survey </w:t>
      </w:r>
      <w:r w:rsidRPr="4CC0E199">
        <w:rPr>
          <w:rFonts w:eastAsia="Times New Roman"/>
          <w:noProof/>
          <w:color w:val="242828"/>
        </w:rPr>
        <w:t>received a total of 540 responses. Respondents represented a wide geographic distribution: 4</w:t>
      </w:r>
      <w:r>
        <w:rPr>
          <w:rFonts w:eastAsia="Times New Roman"/>
          <w:noProof/>
          <w:color w:val="242828"/>
        </w:rPr>
        <w:t>78</w:t>
      </w:r>
      <w:r w:rsidRPr="4CC0E199">
        <w:rPr>
          <w:rFonts w:eastAsia="Times New Roman"/>
          <w:noProof/>
          <w:color w:val="242828"/>
        </w:rPr>
        <w:t xml:space="preserve"> responses originated from 23 Member States. The largest shares came from Belgium (113; 21%)</w:t>
      </w:r>
      <w:r w:rsidRPr="1FC5E705">
        <w:rPr>
          <w:rFonts w:eastAsia="Times New Roman"/>
          <w:noProof/>
          <w:vertAlign w:val="superscript"/>
        </w:rPr>
        <w:footnoteReference w:id="14"/>
      </w:r>
      <w:r w:rsidRPr="4CC0E199">
        <w:rPr>
          <w:rFonts w:eastAsia="Times New Roman"/>
          <w:noProof/>
          <w:color w:val="242828"/>
        </w:rPr>
        <w:t xml:space="preserve">, Germany (93; 17%), and France (77; 14%). </w:t>
      </w:r>
      <w:r>
        <w:rPr>
          <w:rFonts w:eastAsia="Times New Roman"/>
          <w:noProof/>
          <w:color w:val="242828"/>
        </w:rPr>
        <w:t>59</w:t>
      </w:r>
      <w:r w:rsidRPr="4CC0E199">
        <w:rPr>
          <w:rFonts w:eastAsia="Times New Roman"/>
          <w:noProof/>
          <w:color w:val="242828"/>
        </w:rPr>
        <w:t xml:space="preserve"> responses were submitted from outside the EU</w:t>
      </w:r>
      <w:r w:rsidRPr="1FC5E705">
        <w:rPr>
          <w:rFonts w:eastAsia="Times New Roman"/>
          <w:noProof/>
          <w:vertAlign w:val="superscript"/>
        </w:rPr>
        <w:footnoteReference w:id="15"/>
      </w:r>
      <w:r w:rsidRPr="4CC0E199">
        <w:rPr>
          <w:rFonts w:eastAsia="Times New Roman"/>
          <w:noProof/>
          <w:color w:val="242828"/>
        </w:rPr>
        <w:t xml:space="preserve">. </w:t>
      </w:r>
    </w:p>
    <w:p w14:paraId="49B4D111"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The majority of responses (411, 76%) were submitted by private sector stakeholders, including companies and businesses (233, 43%) and business associations (178; 33%), followed by NGOs (44; 8%), public authorities  (37; 7%), EU citizens (10; 2%), environmental organisations (8; 1%), academic or research institutions (4; 1%) and trade unions (3; 1%)</w:t>
      </w:r>
      <w:r w:rsidRPr="1FC5E705">
        <w:rPr>
          <w:rFonts w:eastAsia="Times New Roman"/>
          <w:noProof/>
          <w:vertAlign w:val="superscript"/>
        </w:rPr>
        <w:footnoteReference w:id="16"/>
      </w:r>
      <w:r w:rsidRPr="4CC0E199">
        <w:rPr>
          <w:rFonts w:eastAsia="Times New Roman"/>
          <w:noProof/>
          <w:color w:val="242828"/>
        </w:rPr>
        <w:t>. Within the company/business category, 84 out of 233 respondents (36%) were classified as SMEs.</w:t>
      </w:r>
    </w:p>
    <w:p w14:paraId="4A428AF0" w14:textId="1A4093B5" w:rsidR="00A71942" w:rsidRPr="003D5F6A" w:rsidRDefault="00A71942" w:rsidP="00E276C8">
      <w:pPr>
        <w:spacing w:line="240" w:lineRule="auto"/>
        <w:rPr>
          <w:rFonts w:eastAsia="Times New Roman"/>
          <w:noProof/>
          <w:color w:val="242828"/>
        </w:rPr>
      </w:pPr>
      <w:r w:rsidRPr="4CC0E199">
        <w:rPr>
          <w:rFonts w:eastAsia="Times New Roman"/>
          <w:noProof/>
          <w:color w:val="242828"/>
        </w:rPr>
        <w:t>In terms of the sectors represented, respondents most frequently identified with the waste management sector (133, 26%), followed by the energy sector (107; 21%) and other sectors not explicitly listed (103; 20%). Manufacturing industry sectors</w:t>
      </w:r>
      <w:r w:rsidRPr="1FC5E705">
        <w:rPr>
          <w:rFonts w:eastAsia="Times New Roman"/>
          <w:noProof/>
          <w:vertAlign w:val="superscript"/>
        </w:rPr>
        <w:footnoteReference w:id="17"/>
      </w:r>
      <w:r w:rsidRPr="4CC0E199">
        <w:rPr>
          <w:rFonts w:eastAsia="Times New Roman"/>
          <w:noProof/>
          <w:color w:val="242828"/>
        </w:rPr>
        <w:t xml:space="preserve"> combined represented 104 (20%) of respondents, maritime 29 (5.7%), and aviation 15 (2.9%).</w:t>
      </w:r>
    </w:p>
    <w:p w14:paraId="75D8EE87" w14:textId="77777777" w:rsidR="00A71942" w:rsidRPr="00AA5D61" w:rsidRDefault="00A71942" w:rsidP="00E276C8">
      <w:pPr>
        <w:pStyle w:val="Heading2COM"/>
        <w:spacing w:before="120" w:after="120" w:line="240" w:lineRule="auto"/>
        <w:outlineLvl w:val="2"/>
        <w15:collapsed w:val="0"/>
        <w:rPr>
          <w:smallCaps/>
          <w:noProof/>
        </w:rPr>
      </w:pPr>
      <w:bookmarkStart w:id="47" w:name="_Toc211458514"/>
      <w:bookmarkStart w:id="48" w:name="_Toc231304625"/>
      <w:bookmarkStart w:id="49" w:name="_Toc232611419"/>
      <w:bookmarkStart w:id="50" w:name="_Toc232758099"/>
      <w:r>
        <w:rPr>
          <w:noProof/>
        </w:rPr>
        <w:t>Evaluation</w:t>
      </w:r>
      <w:bookmarkEnd w:id="47"/>
      <w:bookmarkEnd w:id="48"/>
      <w:bookmarkEnd w:id="49"/>
      <w:bookmarkEnd w:id="50"/>
    </w:p>
    <w:p w14:paraId="1E43ACFA" w14:textId="77777777" w:rsidR="00A71942" w:rsidRPr="009B478F" w:rsidRDefault="00A71942" w:rsidP="00E276C8">
      <w:pPr>
        <w:pStyle w:val="Heading3COM"/>
        <w:spacing w:before="120" w:after="120" w:line="240" w:lineRule="auto"/>
        <w:outlineLvl w:val="3"/>
        <w:rPr>
          <w:rStyle w:val="Heading3TimesChar"/>
          <w:rFonts w:eastAsia="Aptos"/>
          <w:b/>
          <w:bCs w:val="0"/>
          <w:i/>
          <w:iCs/>
          <w:noProof/>
        </w:rPr>
      </w:pPr>
      <w:bookmarkStart w:id="51" w:name="_Toc231304626"/>
      <w:bookmarkStart w:id="52" w:name="_Toc232611420"/>
      <w:bookmarkStart w:id="53" w:name="_Toc232758100"/>
      <w:r>
        <w:rPr>
          <w:noProof/>
        </w:rPr>
        <w:t>Effectiveness</w:t>
      </w:r>
      <w:bookmarkEnd w:id="51"/>
      <w:bookmarkEnd w:id="52"/>
      <w:bookmarkEnd w:id="53"/>
    </w:p>
    <w:p w14:paraId="254FB715"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69% of respondents (216 out of 314) from a wide range of stakeholder groups (including the majority of companies/businesses, business associations and NGOs) considered the ETS Directive moderately (157; 50%) to very (59, 19%) effective in reducing GHG emissions. A further 23% (72) considered it slightly effective. Only 2% (7) believed it had not been effective at all, and 6% (19) indicated they did not know. </w:t>
      </w:r>
    </w:p>
    <w:p w14:paraId="7E2F664F"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Current carbon leakage protection measures in non-CBAM sectors were considered moderately (138; 46%) to very (18; 6%) effective by more than half of respondents (154 out of 300), mainly from companies/businesses and business associations. Conversely, most NGO respondents as well as companies/businesses from non-eligible sectors considered current carbon leakage measures only slightly (60; 20%) or not (27; 9%) effective. </w:t>
      </w:r>
    </w:p>
    <w:p w14:paraId="7B74E20D"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A broad majority from across stakeholder groups agreed that the MSR has so far been very (100 out of 282; 35%) to moderately (82; 29%) effective in addressing the surplus on the market, while only 10% (28) considered it slightly effective and 2% (5) not effective. However, looking at the future, mainly NGOs supported maintaining this role as a key feature to stabilise the carbon price signal. Companies/businesses and business associations on the other hand frequently questioned the future role of MSR intakes and the invalidation mechanism in view of expected future scarcity on the market and predominantly considered limiting excessive price volatility and ensuring liquidity on the market as the most important role for the MSR. Views were divided on the MSR’s effectiveness so far in this regard. While 39% of respondents (110 out of 283), including most NGOs, considered the MSR moderately (88; 31%) to very (22; 8%) effective in improving the system’s resilience to major shocks, 34% of respondents, mainly companies/businesses and business associations, considered it only slightly (55; 19%) or not (43; 15%) effective at all. Overall, the questions related to the MSR gathered high degrees of uncertainty (ranging from 24% to 32%), suggesting stakeholders were less familiar with the functioning of the MSR compared to the ETS. </w:t>
      </w:r>
    </w:p>
    <w:p w14:paraId="4E110894" w14:textId="77777777" w:rsidR="00A71942" w:rsidRPr="00AA5D61" w:rsidRDefault="00A71942" w:rsidP="00E276C8">
      <w:pPr>
        <w:pStyle w:val="Heading3COM"/>
        <w:spacing w:before="120" w:after="120" w:line="240" w:lineRule="auto"/>
        <w:outlineLvl w:val="3"/>
        <w:rPr>
          <w:noProof/>
        </w:rPr>
      </w:pPr>
      <w:bookmarkStart w:id="54" w:name="_Toc211458516"/>
      <w:bookmarkStart w:id="55" w:name="_Toc231304627"/>
      <w:bookmarkStart w:id="56" w:name="_Toc232611421"/>
      <w:bookmarkStart w:id="57" w:name="_Toc232758101"/>
      <w:r>
        <w:rPr>
          <w:noProof/>
        </w:rPr>
        <w:t>Cost-efficiency</w:t>
      </w:r>
      <w:bookmarkEnd w:id="54"/>
      <w:bookmarkEnd w:id="55"/>
      <w:bookmarkEnd w:id="56"/>
      <w:bookmarkEnd w:id="57"/>
      <w:r>
        <w:rPr>
          <w:noProof/>
        </w:rPr>
        <w:t xml:space="preserve"> </w:t>
      </w:r>
    </w:p>
    <w:p w14:paraId="7E82F958"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Overall, slightly more than half of respondents from a wide range of stakeholder groups view the ETS Directive as moderately (111 out of 291; 38%) to very (39; 13%) efficient in achieving its objectives in a cost-efficient manner. Conversely, 52 respondents (18%), including a majority of NGOs</w:t>
      </w:r>
      <w:r w:rsidRPr="1FC5E705">
        <w:rPr>
          <w:rFonts w:eastAsia="Times New Roman"/>
          <w:noProof/>
        </w:rPr>
        <w:footnoteReference w:id="18"/>
      </w:r>
      <w:r w:rsidRPr="4CC0E199">
        <w:rPr>
          <w:rFonts w:eastAsia="Times New Roman"/>
          <w:noProof/>
          <w:color w:val="242828"/>
        </w:rPr>
        <w:t xml:space="preserve">, considered it not cost-efficient, while nearly a quarter of respondents considered it only slightly cost-efficient (67; 23%). </w:t>
      </w:r>
    </w:p>
    <w:p w14:paraId="01A48E2C"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The largest share of respondents, including most NGOs, also considered the MSR Decision to be moderately (69 out of 276; 25%) to very efficient (38; 14%), compared to a smaller share, mainly companies/businesses and business associations, viewing it as slightly efficient (36; 13%) or not efficient (37; 13%). However, more than one third of respondents (35%) indicated they did not know. Similarly to previous questions on the MSR, these results indicate a higher degree of division between stakeholder types and a relatively lower degree of familiarity overall with the functioning of the MSR compared to the ETS. </w:t>
      </w:r>
    </w:p>
    <w:p w14:paraId="20EEE25D" w14:textId="77777777" w:rsidR="00A71942" w:rsidRPr="00AA5D61" w:rsidRDefault="00A71942" w:rsidP="00E276C8">
      <w:pPr>
        <w:pStyle w:val="Heading3COM"/>
        <w:spacing w:before="120" w:after="120" w:line="240" w:lineRule="auto"/>
        <w:outlineLvl w:val="3"/>
        <w:rPr>
          <w:noProof/>
        </w:rPr>
      </w:pPr>
      <w:bookmarkStart w:id="58" w:name="_Toc211458517"/>
      <w:bookmarkStart w:id="59" w:name="_Toc231304628"/>
      <w:bookmarkStart w:id="60" w:name="_Toc232611422"/>
      <w:bookmarkStart w:id="61" w:name="_Toc232758102"/>
      <w:r>
        <w:rPr>
          <w:noProof/>
        </w:rPr>
        <w:t>Relevance and added value</w:t>
      </w:r>
      <w:bookmarkEnd w:id="58"/>
      <w:bookmarkEnd w:id="59"/>
      <w:bookmarkEnd w:id="60"/>
      <w:bookmarkEnd w:id="61"/>
    </w:p>
    <w:p w14:paraId="076EBBFE" w14:textId="77777777" w:rsidR="00A71942" w:rsidRPr="00AA5D61" w:rsidRDefault="00A71942" w:rsidP="00E276C8">
      <w:pPr>
        <w:spacing w:line="240" w:lineRule="auto"/>
        <w:rPr>
          <w:rFonts w:eastAsia="Times New Roman"/>
          <w:noProof/>
          <w:color w:val="242828"/>
        </w:rPr>
      </w:pPr>
      <w:r w:rsidRPr="1FC5E705">
        <w:rPr>
          <w:rFonts w:eastAsia="Times New Roman"/>
          <w:noProof/>
        </w:rPr>
        <w:t>Three quarters of respondents from a wide range of stakeholder groups considered that the needs/problems addressed by the ETS Directive continue to require action at EU level to a very large (138 out of 294, 47%) or large (81; 27%) extent, with a further 45 (15%) agreeing to some extent. Only small shares agreed to a small extent (11; 4%) or not at all (5; 2%), indicating strong support for ongoing EU-level action to reduce GHG emissions.</w:t>
      </w:r>
    </w:p>
    <w:p w14:paraId="3E2EB2B6" w14:textId="77777777" w:rsidR="00A71942" w:rsidRPr="00AA5D61" w:rsidRDefault="00A71942" w:rsidP="00E276C8">
      <w:pPr>
        <w:spacing w:line="240" w:lineRule="auto"/>
        <w:rPr>
          <w:rFonts w:eastAsia="Times New Roman"/>
          <w:noProof/>
          <w:color w:val="242828"/>
        </w:rPr>
      </w:pPr>
      <w:r w:rsidRPr="1FC5E705">
        <w:rPr>
          <w:rFonts w:eastAsia="Times New Roman"/>
          <w:noProof/>
        </w:rPr>
        <w:t>Similarly, a very broad majority of respondents from across all stakeholder groups perceived the EU ETS and MSR as having high (93 out of 298, 31%) or very high (86; 29%) added value in reducing GHG emissions in the EU, with a further 80 (27%) considering the added value moderate. Less than one tenth rated added value as low (11; 3%) or very low (17; 6%), suggesting strong support for the key role of the EU ETS and MSR in EU climate policy going forward.</w:t>
      </w:r>
    </w:p>
    <w:p w14:paraId="208AD17D" w14:textId="77777777" w:rsidR="00A71942" w:rsidRPr="00AA5D61" w:rsidRDefault="00A71942" w:rsidP="00E276C8">
      <w:pPr>
        <w:pStyle w:val="Heading3COM"/>
        <w:spacing w:before="120" w:after="120" w:line="240" w:lineRule="auto"/>
        <w:outlineLvl w:val="3"/>
        <w:rPr>
          <w:noProof/>
        </w:rPr>
      </w:pPr>
      <w:bookmarkStart w:id="62" w:name="_Toc211458518"/>
      <w:bookmarkStart w:id="63" w:name="_Toc231304629"/>
      <w:bookmarkStart w:id="64" w:name="_Toc232611423"/>
      <w:bookmarkStart w:id="65" w:name="_Toc232758103"/>
      <w:r>
        <w:rPr>
          <w:noProof/>
        </w:rPr>
        <w:t>Simplification and coherence</w:t>
      </w:r>
      <w:bookmarkEnd w:id="62"/>
      <w:bookmarkEnd w:id="63"/>
      <w:bookmarkEnd w:id="64"/>
      <w:bookmarkEnd w:id="65"/>
      <w:r>
        <w:rPr>
          <w:noProof/>
        </w:rPr>
        <w:t xml:space="preserve"> </w:t>
      </w:r>
    </w:p>
    <w:p w14:paraId="089370A5" w14:textId="77777777" w:rsidR="00A71942" w:rsidRPr="00AA5D61" w:rsidRDefault="00A71942" w:rsidP="00E276C8">
      <w:pPr>
        <w:spacing w:line="240" w:lineRule="auto"/>
        <w:rPr>
          <w:rFonts w:eastAsia="Times New Roman"/>
          <w:noProof/>
          <w:color w:val="242828"/>
        </w:rPr>
      </w:pPr>
      <w:r w:rsidRPr="1FC5E705">
        <w:rPr>
          <w:rFonts w:eastAsia="Times New Roman"/>
          <w:noProof/>
        </w:rPr>
        <w:t>Several open-ended and closed questions in the evaluation invited stakeholders’ views and suggestions on the coherence, administrative cost and simplification of the ETS Directive without negatively affecting the achievement of its objectives. The responses and suggestions provided were similar across these questions.</w:t>
      </w:r>
    </w:p>
    <w:p w14:paraId="1B552151"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A majority of respondents across all stakeholder groups considered that improvements could be made to reduce the administrative burden and regulatory cost of the ETS Directive, with 84 out of 287 (29%) viewing it only slightly efficient and 77 (27%) not efficient in this respect, a view which was most strongly shared among SMEs. Conversely, one third of respondents (mainly from the energy and cleantech sectors) considered the administrative burden to be moderately (69; 24%) to very (17; 6%) efficient. </w:t>
      </w:r>
    </w:p>
    <w:p w14:paraId="2BEBDCD2"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Respondents were encouraged to provide suggestions to improve administrative burden and support simplification without negatively affecting the achievement of its objectives. The most frequently raised suggestions (nearly half of responses), mainly from companies/businesses and business associations and specifically from SMEs, related to the simplification and harmonisation of MRV rules in combination with streamlined reporting practices and ensuring that guidance, tools and processes are timely in place before the implementation deadline. Concrete suggestions frequently raised included the use of standardized/harmonised digital tools, automated data collection and simplified compliance requirements for smaller emitters, a reduced frequency of submissions, harmonised templates, expanded and harmonised opt-out rules for smaller emitters, streamlining the audit cycles by only conducting a full on-site audit every three years with a simplified remote audit in the intervening years, simplifying reporting by providing pre-filled data based on past submissions where possible and simplifying the scope of emission data reporting. Specifically, several SMEs from the waste sector suggested to update MRV rules with regards to MWI installations. </w:t>
      </w:r>
    </w:p>
    <w:p w14:paraId="12832734" w14:textId="77777777" w:rsidR="00A71942" w:rsidRPr="00AA5D61" w:rsidRDefault="00A71942" w:rsidP="00E276C8">
      <w:pPr>
        <w:spacing w:line="240" w:lineRule="auto"/>
        <w:rPr>
          <w:rFonts w:eastAsia="Times New Roman"/>
          <w:noProof/>
          <w:color w:val="242828"/>
        </w:rPr>
      </w:pPr>
      <w:r w:rsidRPr="1FC5E705">
        <w:rPr>
          <w:rFonts w:eastAsia="Times New Roman"/>
          <w:noProof/>
        </w:rPr>
        <w:t>In second place came the simplification and increased coherence of free allocation and benchmarking rules (around two fifths of responses). Concrete suggestions were however strongly divided between stakeholder groups, with companies/businesses and business associations mainly favouring simplified free allocation rules to reduce administrative burden and strengthen coherence with overall competitiveness aims, while NGOs favoured a replacement of free allocation by full auctioning as a means to reduce administrative burden, simplify the ETS Directive and strengthen coherence with the polluter pays principle.</w:t>
      </w:r>
    </w:p>
    <w:p w14:paraId="4C83B13C" w14:textId="77777777" w:rsidR="00A71942" w:rsidRPr="00AA5D61" w:rsidRDefault="00A71942" w:rsidP="00E276C8">
      <w:pPr>
        <w:spacing w:line="240" w:lineRule="auto"/>
        <w:rPr>
          <w:rFonts w:eastAsia="Times New Roman"/>
          <w:noProof/>
          <w:color w:val="242828"/>
        </w:rPr>
      </w:pPr>
      <w:r w:rsidRPr="1FC5E705">
        <w:rPr>
          <w:rFonts w:eastAsia="Times New Roman"/>
          <w:noProof/>
        </w:rPr>
        <w:t>The third frequently raised suggestion (around a quarter of responses), mainly by companies/businesses and business associations, related to improving coherence with other EU energy and climate legislation. This was confirmed by the results of a separate question on the perceived coherence of the ETS and MSR with other EU policies and international climate agreements, where views were divided with the largest share, including most companies/businesses and business associations, perceiving only some extent of coherence (110 out of 293; 38%), or no coherence at all (21; 7%), compared to large (63; 22%) or very large (21; 7%) extents of coherence (including most NGOs) . Suggestions for improving coherence focused on streamlining rules and reporting requirements with other EU energy and climate legislation (one third of responses), followed by stronger coherence with international frameworks for GHG emission reductions in the maritime and aviation sectors (a quarter of responses).</w:t>
      </w:r>
    </w:p>
    <w:p w14:paraId="73331F3D" w14:textId="77777777" w:rsidR="00A71942" w:rsidRPr="00AA5D61" w:rsidRDefault="00A71942" w:rsidP="00E276C8">
      <w:pPr>
        <w:pStyle w:val="Heading2COM"/>
        <w:spacing w:before="120" w:after="120" w:line="240" w:lineRule="auto"/>
        <w:outlineLvl w:val="2"/>
        <w15:collapsed w:val="0"/>
        <w:rPr>
          <w:noProof/>
        </w:rPr>
      </w:pPr>
      <w:bookmarkStart w:id="66" w:name="_Toc211458519"/>
      <w:bookmarkStart w:id="67" w:name="_Toc231304630"/>
      <w:bookmarkStart w:id="68" w:name="_Toc232611424"/>
      <w:bookmarkStart w:id="69" w:name="_Toc232758104"/>
      <w:r>
        <w:rPr>
          <w:noProof/>
        </w:rPr>
        <w:t>Impact assessment</w:t>
      </w:r>
      <w:bookmarkEnd w:id="66"/>
      <w:bookmarkEnd w:id="67"/>
      <w:bookmarkEnd w:id="68"/>
      <w:bookmarkEnd w:id="69"/>
    </w:p>
    <w:p w14:paraId="0B425C34" w14:textId="77777777" w:rsidR="00A71942" w:rsidRPr="00AA5D61" w:rsidRDefault="00A71942" w:rsidP="00E276C8">
      <w:pPr>
        <w:pStyle w:val="Heading3COM"/>
        <w:spacing w:before="120" w:after="120" w:line="240" w:lineRule="auto"/>
        <w:outlineLvl w:val="3"/>
        <w:rPr>
          <w:noProof/>
        </w:rPr>
      </w:pPr>
      <w:bookmarkStart w:id="70" w:name="_Toc211458520"/>
      <w:bookmarkStart w:id="71" w:name="_Toc231304631"/>
      <w:bookmarkStart w:id="72" w:name="_Toc232611425"/>
      <w:bookmarkStart w:id="73" w:name="_Toc232758105"/>
      <w:r>
        <w:rPr>
          <w:noProof/>
        </w:rPr>
        <w:t>Aviation</w:t>
      </w:r>
      <w:bookmarkEnd w:id="70"/>
      <w:bookmarkEnd w:id="71"/>
      <w:bookmarkEnd w:id="72"/>
      <w:bookmarkEnd w:id="73"/>
    </w:p>
    <w:p w14:paraId="0BD7DFE1" w14:textId="77777777" w:rsidR="00A71942" w:rsidRPr="00AA5D61" w:rsidRDefault="00A71942" w:rsidP="00E276C8">
      <w:pPr>
        <w:spacing w:line="240" w:lineRule="auto"/>
        <w:rPr>
          <w:rFonts w:eastAsia="Times New Roman"/>
          <w:noProof/>
          <w:color w:val="242828"/>
        </w:rPr>
      </w:pPr>
      <w:r w:rsidRPr="1FC5E705">
        <w:rPr>
          <w:rFonts w:eastAsia="Times New Roman"/>
          <w:noProof/>
        </w:rPr>
        <w:t>The consultation on the EU ETS highlighted that most respondents see the application of the EU to aviation as a necessary instrument for aligning the aviation sector with the EU’s climate objectives, whereas a smaller share of respondents mostly comprised of industry stakeholders see it as a source of challenges. There is broad support for strengthening aviation’s contribution to EU climate objectives. Stakeholders have diverging views on how best to reconcile environmental integrity with competitiveness, connectivity, and global coordination.</w:t>
      </w:r>
    </w:p>
    <w:p w14:paraId="73B47BEC" w14:textId="7C8F0723" w:rsidR="00A71942" w:rsidRPr="00AA5D61" w:rsidRDefault="00A71942" w:rsidP="00E276C8">
      <w:pPr>
        <w:pStyle w:val="Heading4COM"/>
        <w:spacing w:before="120" w:after="120" w:line="240" w:lineRule="auto"/>
        <w:outlineLvl w:val="4"/>
        <w:rPr>
          <w:noProof/>
        </w:rPr>
      </w:pPr>
      <w:bookmarkStart w:id="74" w:name="_Toc232611426"/>
      <w:bookmarkStart w:id="75" w:name="_Toc232758106"/>
      <w:r>
        <w:rPr>
          <w:noProof/>
        </w:rPr>
        <w:t>Perceived level of climate action by the aviation sector compared to climate commitments</w:t>
      </w:r>
      <w:bookmarkEnd w:id="74"/>
      <w:bookmarkEnd w:id="75"/>
      <w:r>
        <w:rPr>
          <w:noProof/>
        </w:rPr>
        <w:t xml:space="preserve"> </w:t>
      </w:r>
    </w:p>
    <w:p w14:paraId="6E030DFC"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Around half of respondents considered the aviation sector’s current level of climate action insufficient to meet climate targets, with one quarter of respondents (48 out of 183, 26%) judging it not sufficient at all and another quarter (45, 25%) rating it as somewhat sufficient but unlikely to meet the Paris Agreement and European Climate Law targets. This perception was particularly strong among civil society organisations (NGOs and environmental organisations), but it was also widely shared by the majority of companies (80%), business associations (78%), and public authorities (80%) that responded to the question. </w:t>
      </w:r>
    </w:p>
    <w:p w14:paraId="063C6321" w14:textId="77777777" w:rsidR="00A71942" w:rsidRPr="00AA5D61" w:rsidRDefault="00A71942" w:rsidP="00E276C8">
      <w:pPr>
        <w:spacing w:line="240" w:lineRule="auto"/>
        <w:rPr>
          <w:rFonts w:eastAsia="Times New Roman"/>
          <w:noProof/>
          <w:color w:val="242828"/>
        </w:rPr>
      </w:pPr>
      <w:r w:rsidRPr="1FC5E705">
        <w:rPr>
          <w:rFonts w:eastAsia="Times New Roman"/>
          <w:noProof/>
        </w:rPr>
        <w:t>When asked about the main concerns regarding the sector’s decarbonisation pace, these stakeholders pointed to the need for increased support for development and deployment of sustainable aviation fuels (SAF) (10 mentions) to address their current limited availability and high costs (14 mentions). Several of these stakeholders questioned the effectiveness of current policy instruments in tackling aviation emissions. In particular, they challenged the current EU ETS system for its low carbon prices and free allowances (8 mentions), as well as its limited scope to only intra-EEA flights (7 mentions). Additional concerns included the aviation sector being undertaxed relative to other sectors (5 mentions) and the current lack of commercial viability for zero-emission aircraft technologies such as hydrogen and electric planes (1 mention).</w:t>
      </w:r>
    </w:p>
    <w:p w14:paraId="55B38FBA" w14:textId="77777777" w:rsidR="00A71942" w:rsidRPr="00AA5D61" w:rsidRDefault="00A71942" w:rsidP="00E276C8">
      <w:pPr>
        <w:spacing w:line="240" w:lineRule="auto"/>
        <w:rPr>
          <w:rFonts w:eastAsia="Times New Roman"/>
          <w:noProof/>
        </w:rPr>
      </w:pPr>
      <w:r w:rsidRPr="1FC5E705">
        <w:rPr>
          <w:rFonts w:eastAsia="Times New Roman"/>
          <w:noProof/>
        </w:rPr>
        <w:t xml:space="preserve">Only a small minority of stakeholders (16, 9%) considered current action sufficient, largely comprised of companies and business associations, namely airlines, aviation associations, one Original Equipment Manufacturer (OEM) and one SAF producer, citing the already established pledges and strategies to achieve net zero operations by 2050 as main argument against further action (4 mentions). For these stakeholders decarbonisation ambitions need to align with the industry’s capacity to invest and compete globally (2 mentions). </w:t>
      </w:r>
    </w:p>
    <w:p w14:paraId="649DA8E3" w14:textId="1611C7AC" w:rsidR="00A71942" w:rsidRPr="00AA5D61" w:rsidRDefault="00A71942" w:rsidP="00E276C8">
      <w:pPr>
        <w:pStyle w:val="Heading4COM"/>
        <w:spacing w:before="120" w:after="120" w:line="240" w:lineRule="auto"/>
        <w:outlineLvl w:val="4"/>
        <w:rPr>
          <w:noProof/>
        </w:rPr>
      </w:pPr>
      <w:bookmarkStart w:id="76" w:name="_Toc232611427"/>
      <w:bookmarkStart w:id="77" w:name="_Toc232758107"/>
      <w:r>
        <w:rPr>
          <w:noProof/>
        </w:rPr>
        <w:t>Adequacy of the current EU ETS approach to international flights outside Europe</w:t>
      </w:r>
      <w:bookmarkEnd w:id="76"/>
      <w:bookmarkEnd w:id="77"/>
    </w:p>
    <w:p w14:paraId="0F64EFE6" w14:textId="77777777" w:rsidR="00A71942" w:rsidRPr="00AA5D61" w:rsidRDefault="00A71942" w:rsidP="00E276C8">
      <w:pPr>
        <w:spacing w:line="240" w:lineRule="auto"/>
        <w:rPr>
          <w:rFonts w:eastAsia="Times New Roman"/>
          <w:noProof/>
          <w:color w:val="242828"/>
        </w:rPr>
      </w:pPr>
      <w:r w:rsidRPr="1FC5E705">
        <w:rPr>
          <w:rFonts w:eastAsia="Times New Roman"/>
          <w:noProof/>
        </w:rPr>
        <w:t>Nearly 40% of respondents considered that the current approach to international flights outside Europe does not adequately address emissions from these flights. This perception of inadequacy was unanimous among civil society organisations, and was also the majority view among companies, business associations, public authorities and respondents in the “Other” category, which criticised CORSIA for its voluntary participation, lack of emissions reduction targets, absence of an effective carbon price, and limited in-sector reductions (21 mentions). Due to CORSIA’s shortcomings, stakeholders underlined how the limited scope of the EU ETS may lead to carbon leakage (4 mentions) and called for stronger EU leadership (2 mentions). Many argued that the EU ETS should be extended to cover all departing flights (20 mentions).</w:t>
      </w:r>
    </w:p>
    <w:p w14:paraId="2E53FF75" w14:textId="77777777" w:rsidR="00A71942" w:rsidRPr="00AA5D61" w:rsidRDefault="00A71942" w:rsidP="00E276C8">
      <w:pPr>
        <w:spacing w:line="240" w:lineRule="auto"/>
        <w:rPr>
          <w:rFonts w:eastAsia="Times New Roman"/>
          <w:noProof/>
        </w:rPr>
      </w:pPr>
      <w:r w:rsidRPr="1FC5E705">
        <w:rPr>
          <w:rFonts w:eastAsia="Times New Roman"/>
          <w:noProof/>
        </w:rPr>
        <w:t>Among respondents in disagreement with the current approach, NGOs criticised CORSIA’s lack of integrity because of the questionable quality of carbon offsets (10 mentions), and ICAO’s slow and ineffective progress on delivering meaningful climate action (2 mentions). Conversely, companies and business associations emphasised the importance of prioritising a global approach by strengthening CORSIA rather than relying solely on unilateral EU measures (16 mentions), and raised concerns about extending the EU ETS, due to potential competitive disadvantages for carriers operating outside Europe and not subject to equivalent obligations (2 mentions).</w:t>
      </w:r>
    </w:p>
    <w:p w14:paraId="677BE81E" w14:textId="77777777" w:rsidR="00A71942" w:rsidRPr="00AA5D61" w:rsidRDefault="00A71942" w:rsidP="00E276C8">
      <w:pPr>
        <w:spacing w:line="240" w:lineRule="auto"/>
        <w:rPr>
          <w:rFonts w:eastAsia="Times New Roman"/>
          <w:noProof/>
        </w:rPr>
      </w:pPr>
      <w:r w:rsidRPr="1FC5E705">
        <w:rPr>
          <w:rFonts w:eastAsia="Times New Roman"/>
          <w:noProof/>
        </w:rPr>
        <w:t>29 respondents (15%), mostly from companies and business associations, argued that the current approach to international flights outside Europe is appropriate, highlighting that CORSIA is a suitable global mechanism to address emissions (9 mentions). In addition, they claimed that this approach preserves competitiveness and prevents market distortions (9 mentions), as a global approach through ICAO should be prioritised over unilateral EU action (7 mentions).</w:t>
      </w:r>
    </w:p>
    <w:p w14:paraId="1784C515" w14:textId="77777777" w:rsidR="00A71942" w:rsidRPr="00AA5D61" w:rsidRDefault="00A71942" w:rsidP="00E276C8">
      <w:pPr>
        <w:pStyle w:val="Heading4COM"/>
        <w:spacing w:before="120" w:after="120" w:line="240" w:lineRule="auto"/>
        <w:outlineLvl w:val="4"/>
        <w:rPr>
          <w:noProof/>
        </w:rPr>
      </w:pPr>
      <w:r>
        <w:rPr>
          <w:noProof/>
        </w:rPr>
        <w:t xml:space="preserve"> </w:t>
      </w:r>
      <w:bookmarkStart w:id="78" w:name="_Toc232611428"/>
      <w:bookmarkStart w:id="79" w:name="_Toc232758108"/>
      <w:r>
        <w:rPr>
          <w:noProof/>
        </w:rPr>
        <w:t>Stakeholder priorities on additional issues</w:t>
      </w:r>
      <w:bookmarkEnd w:id="78"/>
      <w:bookmarkEnd w:id="79"/>
      <w:r>
        <w:rPr>
          <w:noProof/>
        </w:rPr>
        <w:t xml:space="preserve"> </w:t>
      </w:r>
    </w:p>
    <w:p w14:paraId="5B89659C" w14:textId="77777777" w:rsidR="00A71942" w:rsidRPr="00AA5D61" w:rsidRDefault="00A71942" w:rsidP="00E276C8">
      <w:pPr>
        <w:spacing w:line="240" w:lineRule="auto"/>
        <w:rPr>
          <w:rFonts w:eastAsia="Times New Roman"/>
          <w:noProof/>
          <w:color w:val="242828"/>
        </w:rPr>
      </w:pPr>
      <w:r w:rsidRPr="1FC5E705">
        <w:rPr>
          <w:rFonts w:eastAsia="Times New Roman"/>
          <w:noProof/>
        </w:rPr>
        <w:t>Beyond the central debate on climate action and ETS–CORSIA interaction, stakeholders identified several priority areas requiring policy attention, in particular: the ETS support for SAF uptake; connectivity, competitiveness, and carbon leakage risks; emissions from private and business aviation, short-haul flights; and socio-economic impacts on outermost regions. Prioritisation results reflect varying degrees of support across stakeholder groups.</w:t>
      </w:r>
    </w:p>
    <w:p w14:paraId="410BE73E" w14:textId="77777777" w:rsidR="00A71942" w:rsidRPr="00AA5D61" w:rsidRDefault="00A71942" w:rsidP="00E276C8">
      <w:pPr>
        <w:spacing w:line="240" w:lineRule="auto"/>
        <w:rPr>
          <w:rFonts w:eastAsia="Times New Roman"/>
          <w:noProof/>
        </w:rPr>
      </w:pPr>
      <w:r w:rsidRPr="1FC5E705">
        <w:rPr>
          <w:rFonts w:eastAsia="Times New Roman"/>
          <w:noProof/>
        </w:rPr>
        <w:t>Business associations, companies, and public authorities mostly highlighted the importance of the ETS support for eligible fuels (92 ratings as top priority or high importance). Duration extension (15 mentions) and increased number of SAF allowances (10 mentions) were the main suggestions to enhance the support scheme. Many also called for redirecting ETS revenues to scale up SAF production (9 mentions) and increasing allowances to better reflect price differences between SAF and jet fuel (8 mentions). In relation to the latter, several proposals were put forward to particularly incentivise eSAF production and uptake.</w:t>
      </w:r>
    </w:p>
    <w:p w14:paraId="00B2F9A3" w14:textId="77777777" w:rsidR="00A71942" w:rsidRPr="00AA5D61" w:rsidRDefault="00A71942" w:rsidP="00E276C8">
      <w:pPr>
        <w:spacing w:line="240" w:lineRule="auto"/>
        <w:rPr>
          <w:rFonts w:eastAsia="Times New Roman"/>
          <w:noProof/>
        </w:rPr>
      </w:pPr>
      <w:r w:rsidRPr="1FC5E705">
        <w:rPr>
          <w:rFonts w:eastAsia="Times New Roman"/>
          <w:noProof/>
        </w:rPr>
        <w:t>Private sector stakeholders strongly emphasised connectivity, competitiveness, and carbon leakage concerns (68 ratings as top priority or high importance) stating that the ETS may divert traffic to non-EU hubs to avoid compliance—specifically due to the low price of CORSIA relative to the ETS—thus contributing to only shifting emissions outside the EU and disadvantaging EU carriers.  Stakeholders asked for targeted tools to address leakage risk on specific routes, as a way to balance climate ambition with competitiveness and connectivity needs.</w:t>
      </w:r>
    </w:p>
    <w:p w14:paraId="6D1F99F6" w14:textId="77777777" w:rsidR="00A71942" w:rsidRPr="00AA5D61" w:rsidRDefault="00A71942" w:rsidP="00E276C8">
      <w:pPr>
        <w:spacing w:line="240" w:lineRule="auto"/>
        <w:rPr>
          <w:rFonts w:eastAsia="Times New Roman"/>
          <w:noProof/>
        </w:rPr>
      </w:pPr>
      <w:r w:rsidRPr="1FC5E705">
        <w:rPr>
          <w:rFonts w:eastAsia="Times New Roman"/>
          <w:noProof/>
        </w:rPr>
        <w:t>Civil society, instead, mostly prioritised tackling emissions from private and business jets (55 ratings as top priority or high importance), in order to ensure social fairness against their disproportionately high per-passenger emissions (8 mentions). In particular, stakeholders proposed various solutions to regulate emissions from private and business jets within (9 mentions) and beyond (6 mentions) the EU ETS. Similarly, flights of less than 1000 km were particularly challenged by NGOs and environmental organisations (55 ratings as top priority or high importance), which demanded a modal shift to rail for such short flights (10 mentions). While most respondents agreed on the stronger drive to decarbonise short-haul flights, one public authority highlighted the need to consider the specific local context, as these may play a key role in safeguarding regional cohesion.</w:t>
      </w:r>
    </w:p>
    <w:p w14:paraId="70625199" w14:textId="77777777" w:rsidR="00A71942" w:rsidRPr="00AA5D61" w:rsidRDefault="00A71942" w:rsidP="00E276C8">
      <w:pPr>
        <w:pStyle w:val="Heading3COM"/>
        <w:spacing w:before="120" w:after="120" w:line="240" w:lineRule="auto"/>
        <w:outlineLvl w:val="3"/>
        <w:rPr>
          <w:noProof/>
        </w:rPr>
      </w:pPr>
      <w:bookmarkStart w:id="80" w:name="_Toc211458521"/>
      <w:bookmarkStart w:id="81" w:name="_Toc231304632"/>
      <w:bookmarkStart w:id="82" w:name="_Toc232611429"/>
      <w:bookmarkStart w:id="83" w:name="_Toc232758109"/>
      <w:r>
        <w:rPr>
          <w:noProof/>
        </w:rPr>
        <w:t>Maritime</w:t>
      </w:r>
      <w:bookmarkEnd w:id="80"/>
      <w:bookmarkEnd w:id="81"/>
      <w:bookmarkEnd w:id="82"/>
      <w:bookmarkEnd w:id="83"/>
    </w:p>
    <w:p w14:paraId="06E1613B"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The consultation on the EU ETS as applied to maritime confirmed broad support for its success in driving decarbonisation, while also identifying opportunities to improve interaction with international measures, enhance competitiveness, include smaller vessels, and simplify the rules.  </w:t>
      </w:r>
    </w:p>
    <w:p w14:paraId="0F5BD7A6" w14:textId="77777777" w:rsidR="00A71942" w:rsidRPr="00AA5D61" w:rsidRDefault="00A71942" w:rsidP="00E276C8">
      <w:pPr>
        <w:pStyle w:val="Heading4COM"/>
        <w:spacing w:before="120" w:after="120" w:line="240" w:lineRule="auto"/>
        <w:outlineLvl w:val="4"/>
        <w:rPr>
          <w:noProof/>
        </w:rPr>
      </w:pPr>
      <w:r>
        <w:rPr>
          <w:noProof/>
        </w:rPr>
        <w:t xml:space="preserve"> </w:t>
      </w:r>
      <w:bookmarkStart w:id="84" w:name="_Toc232611430"/>
      <w:bookmarkStart w:id="85" w:name="_Toc232758110"/>
      <w:r>
        <w:rPr>
          <w:noProof/>
        </w:rPr>
        <w:t>Coherence of the EU ETS with IMO NZF and avoiding significant double burden</w:t>
      </w:r>
      <w:bookmarkEnd w:id="84"/>
      <w:bookmarkEnd w:id="85"/>
      <w:r>
        <w:rPr>
          <w:noProof/>
        </w:rPr>
        <w:t xml:space="preserve">   </w:t>
      </w:r>
    </w:p>
    <w:p w14:paraId="516CAC28" w14:textId="77777777" w:rsidR="00A71942" w:rsidRPr="00AA5D61" w:rsidRDefault="00A71942" w:rsidP="00E276C8">
      <w:pPr>
        <w:spacing w:line="240" w:lineRule="auto"/>
        <w:rPr>
          <w:rFonts w:eastAsia="Times New Roman"/>
          <w:noProof/>
          <w:color w:val="242828"/>
        </w:rPr>
      </w:pPr>
      <w:r w:rsidRPr="1FC5E705">
        <w:rPr>
          <w:rFonts w:eastAsia="Times New Roman"/>
          <w:noProof/>
        </w:rPr>
        <w:t>Many stakeholders emphasized the importance of ensuring smooth coordination between the EU ETS and the upcoming IMO NZF, with some prioritising a global approach, and some calling for reducing or adjusting the EU ETS scope once IMO rules are in force. The most cited view was the need to avoid duplication, double burdens, or administrative costs from running parallel systems (75 mentions out of 107 responses), followed closely by the potential harmonisation between EU and IMO measures (70 mentions). Some stakeholders supported the phase-out of the EU ETS in favour of IMO rules (45 mentions). Other  views included the importance of maintaining high environmental ambition and retaining EU  ETS(15 mentions), concerns about competitive risks such as flagging out, carbon leakage, or investment diversion (8 mentions), imposing mutual recognition between EU ETS and potential IMO measures (6 mentions),  importance of early engagement and support during phase-out (3 mentions), with stakeholders calling for temporary exemptions, regulatory clarity, and administrative alignment to ensure a smooth transition; and calls for differentiated, simplified, or sector-specific rules (2 mentions) aimed at reducing administrative and financial burdens while maintaining emissions coverage.</w:t>
      </w:r>
    </w:p>
    <w:p w14:paraId="511564DB" w14:textId="77777777" w:rsidR="00A71942" w:rsidRPr="00AA5D61" w:rsidRDefault="00A71942" w:rsidP="00E276C8">
      <w:pPr>
        <w:pStyle w:val="Heading4COM"/>
        <w:spacing w:before="120" w:after="120" w:line="240" w:lineRule="auto"/>
        <w:outlineLvl w:val="4"/>
        <w:rPr>
          <w:noProof/>
        </w:rPr>
      </w:pPr>
      <w:r>
        <w:rPr>
          <w:noProof/>
        </w:rPr>
        <w:t xml:space="preserve"> </w:t>
      </w:r>
      <w:bookmarkStart w:id="86" w:name="_Toc232611431"/>
      <w:bookmarkStart w:id="87" w:name="_Toc232758111"/>
      <w:r>
        <w:rPr>
          <w:noProof/>
        </w:rPr>
        <w:t>Effectiveness of the current measures in reducing risk of evasion</w:t>
      </w:r>
      <w:bookmarkEnd w:id="86"/>
      <w:bookmarkEnd w:id="87"/>
      <w:r>
        <w:rPr>
          <w:noProof/>
        </w:rPr>
        <w:t xml:space="preserve">   </w:t>
      </w:r>
    </w:p>
    <w:p w14:paraId="5A18471C" w14:textId="5BF2FA20" w:rsidR="00D749DC" w:rsidRDefault="00A71942" w:rsidP="00E276C8">
      <w:pPr>
        <w:spacing w:line="240" w:lineRule="auto"/>
        <w:rPr>
          <w:noProof/>
        </w:rPr>
      </w:pPr>
      <w:r>
        <w:rPr>
          <w:noProof/>
        </w:rPr>
        <w:t>A total of 29 out of 184 respondents rather agreed (11%) or strongly agreed (4%) that the current measures are effective in preventing shipping companies from evading the requirements of the EU ETS Directive. A further 23 respondents expressed a neutral view (13%). Smaller shares of respondents rather disagreed or strongly disagreed (24;13%)). The largest group indicated do not know (108, 59%). Regarding specific suggestions, the most frequently mentioned view was the need for stronger monitoring and enforcement to prevent circumvention, including addressing rerouting, transshipment, and port call issues (11 mentions). Several stakeholders called for alignment with the IMO NZF and international harmonisation to maintain a level playing field (5 mentions), and enhanced coordination among authorities, including EU ports and third countries (5 mentions). Others highlighted the importance of stricter and proportionate penalties for non-compliance (4 mentions), use of digital tools and registries to improve tracking and transparency (3 mentions), and regular reviews and updates of ETS scope and measures (3 mentions). Additional suggestions included clearer definitions of ports, transshipment, offshore, and exemptions to reduce loopholes (2 mentions) and exemptions or compensations for regions with unique logistical challenges (1 mention).</w:t>
      </w:r>
      <w:r w:rsidR="00D749DC">
        <w:rPr>
          <w:noProof/>
        </w:rPr>
        <w:t xml:space="preserve"> </w:t>
      </w:r>
    </w:p>
    <w:p w14:paraId="3CCAF5BB" w14:textId="2566214D" w:rsidR="00A71942" w:rsidRPr="00D749DC" w:rsidRDefault="00A71942" w:rsidP="00975687">
      <w:pPr>
        <w:spacing w:line="240" w:lineRule="auto"/>
        <w:rPr>
          <w:i/>
          <w:iCs/>
          <w:noProof/>
        </w:rPr>
      </w:pPr>
      <w:r w:rsidRPr="00E276C8">
        <w:rPr>
          <w:i/>
          <w:noProof/>
        </w:rPr>
        <w:t>Extending the scope of the EU ETS maritime provisions to include smaller ships</w:t>
      </w:r>
    </w:p>
    <w:p w14:paraId="5141EE69" w14:textId="77777777" w:rsidR="00A71942" w:rsidRPr="00AA5D61" w:rsidRDefault="00A71942" w:rsidP="00E276C8">
      <w:pPr>
        <w:spacing w:line="240" w:lineRule="auto"/>
        <w:rPr>
          <w:rFonts w:eastAsia="Times New Roman"/>
          <w:noProof/>
          <w:color w:val="242828"/>
        </w:rPr>
      </w:pPr>
      <w:r w:rsidRPr="1FC5E705">
        <w:rPr>
          <w:rFonts w:eastAsia="Times New Roman"/>
          <w:noProof/>
        </w:rPr>
        <w:t>When asked whether the scope of the EU ETS Maritime provisions should be extended to cover emissions from smaller ships (below 5,000 GT but not below 400 GT, including offshore ships), a total of 57 out of 189 respondents rather agreed (16%) or strongly agreed (14%). A further 30 respondents expressed a neutral view (16%). Smaller shares of respondents rather disagreed (23, 12%) or strongly disagreed (19, 10%). The largest group indicated do not know (60, 32%). As far as the proposed scope for the extension is concerned, the most frequently cited view was support for extending EU ETS Maritime to vessels between 400 and 5,000 GT (30 mentions). several stakeholders proposed phased or targeted inclusion of smaller ships (6 mentions) and highlighted the importance of consistency in scope with FuelEU Maritime, IMO NZF, and MARPOL Annex VI (2 mentions). Respondents emphasised both the need to ensure that revenues from extending the EU ETS to smaller vessels are reinvested in maritime decarbonisation (4 mentions) and the importance of simplified administration and reporting for smaller ships (3 mentions). Others raised calls for fair competition with road transport (3 mentions), support for including specific ship categories such as cruise ships, yachts, or offshore vessels (1 mention), and concerns about negative regional impacts, particularly in outermost regions or outermost regions (1 mention).</w:t>
      </w:r>
    </w:p>
    <w:p w14:paraId="69640610" w14:textId="77777777" w:rsidR="00A71942" w:rsidRPr="00AA5D61" w:rsidRDefault="00A71942" w:rsidP="00E276C8">
      <w:pPr>
        <w:pStyle w:val="Heading4COM"/>
        <w:spacing w:before="120" w:after="120" w:line="240" w:lineRule="auto"/>
        <w:outlineLvl w:val="4"/>
        <w:rPr>
          <w:noProof/>
        </w:rPr>
      </w:pPr>
      <w:r>
        <w:rPr>
          <w:noProof/>
        </w:rPr>
        <w:t xml:space="preserve"> </w:t>
      </w:r>
      <w:bookmarkStart w:id="88" w:name="_Toc232611432"/>
      <w:bookmarkStart w:id="89" w:name="_Toc232758112"/>
      <w:r>
        <w:rPr>
          <w:noProof/>
        </w:rPr>
        <w:t>Effectiveness of EU ETS in addressing shipping challenges for islands and outermost regions</w:t>
      </w:r>
      <w:bookmarkEnd w:id="88"/>
      <w:bookmarkEnd w:id="89"/>
      <w:r>
        <w:rPr>
          <w:noProof/>
        </w:rPr>
        <w:t xml:space="preserve">   </w:t>
      </w:r>
    </w:p>
    <w:p w14:paraId="3D497E70"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When asked whether the EU ETS are effectively reflecting the challenges faced by islands and remote territories, including outermost regions, 15 out of 179 (8%) respondents strongly agreed or rather agreed. A further 19 respondents expressed a neutral view (11%). Smaller shares of respondents rather disagreed or strongly disagreed (35, 20%). The largest group indicated do not know (110, 61%). On open ended question on connectivity, the most frequently cited concern was that the EU ETS would increase costs for ports in outermost regions and reduce competitiveness (17 mentions). Several stakeholders emphasised the need for tailored mitigation and differentiated treatment for islands and remote territories (11 mentions) and permanent compensation for special operating conditions, such as ice navigation (6 mentions). Other views included exemptions being inadequate for major islands and longer-term needs (5 mentions), priority access to sustainable fuels and complementary measures (3 mentions), administrative and compliance burdens for lifeline or ferry services (2 mentions), and reinvestment of ETS revenues to offset island-specific impacts (1 mention).When asked whether the administrative costs linked to the implementation of the ETS maritime provisions are proportionate and reasonable, 30 out of 186 respondents strongly agreed (2%) or rather agreed (14%). A further 19 respondents expressed a neutral view (10%). Smaller shares of respondents rather disagreed (36, 19%) or strongly disagreed (11, 6%). The largest group indicated do not know (90, 48%). </w:t>
      </w:r>
    </w:p>
    <w:p w14:paraId="4784545F" w14:textId="77777777" w:rsidR="00A71942" w:rsidRPr="00AA5D61" w:rsidRDefault="00A71942" w:rsidP="00E276C8">
      <w:pPr>
        <w:pStyle w:val="Heading4COM"/>
        <w:spacing w:before="120" w:after="120" w:line="240" w:lineRule="auto"/>
        <w:outlineLvl w:val="4"/>
        <w:rPr>
          <w:noProof/>
        </w:rPr>
      </w:pPr>
      <w:r>
        <w:rPr>
          <w:noProof/>
        </w:rPr>
        <w:t xml:space="preserve"> </w:t>
      </w:r>
      <w:bookmarkStart w:id="90" w:name="_Toc232611433"/>
      <w:bookmarkStart w:id="91" w:name="_Toc232758113"/>
      <w:r>
        <w:rPr>
          <w:noProof/>
        </w:rPr>
        <w:t>Stakeholder views on additional issues</w:t>
      </w:r>
      <w:bookmarkEnd w:id="90"/>
      <w:bookmarkEnd w:id="91"/>
      <w:r>
        <w:rPr>
          <w:noProof/>
        </w:rPr>
        <w:t xml:space="preserve">   </w:t>
      </w:r>
    </w:p>
    <w:p w14:paraId="3AA59781"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When asked whether the administrative costs linked to the implementation of the ETS extension to maritime transport are proportionate and reasonable, 4 respondents strongly agreed (2%) and 26 respondents rather agreed (14%). A further 19 respondents expressed a neutral view (10%). Smaller shares of respondents rather disagreed (36, 19%) or strongly disagreed (11, 6%). The largest group indicated do not know (90, 49%). On suggested improvements, the most frequent view (20 mentions) called for alignment of EU ETS rules with IMO NZF and FuelEU Maritime to avoid double regulation. Standardising data collection and reporting across EU MRV and IMO DCS was emphasised by 17 stakeholders, while 15 supported a single EU-level digital system for easier compliance. 10 stressed the need for clear, harmonised EU guidance to reduce interpretation risks. Some respondents requested simplified compliance for SMEs and smaller emitters, simplification by reducing procedural burdens, and administrative fees and verification costs to be reduced and standardised across Member States (each with 4 mentions). </w:t>
      </w:r>
    </w:p>
    <w:p w14:paraId="7DB20547" w14:textId="77777777" w:rsidR="00A71942" w:rsidRPr="00F9328D" w:rsidRDefault="00A71942" w:rsidP="00E276C8">
      <w:pPr>
        <w:spacing w:line="240" w:lineRule="auto"/>
        <w:rPr>
          <w:rFonts w:eastAsia="Times New Roman"/>
          <w:noProof/>
          <w:color w:val="242828"/>
        </w:rPr>
      </w:pPr>
      <w:r w:rsidRPr="1FC5E705">
        <w:rPr>
          <w:rFonts w:eastAsia="Times New Roman"/>
          <w:noProof/>
        </w:rPr>
        <w:t>When asked whether the ETS should further incentivise the uptake of renewable and low-carbon maritime fuels based on Well-to-Wake emissions, 87 out of 191 respondents strongly agreed (23%) or rather agreed (23%). A further 9 respondents expressed a neutral view (5%). Smaller shares of respondents rather disagreed or strongly disagreed (24, 13%). Other respondents indicated do not know (71, 37%). On suggested improvements, the most frequent suggestion (17 mentions) called for incentives based on full well-to-wake lifecycle emissions, excluding unsustainable biofuels. 12 stakeholders emphasised cost support for renewable fuels to compete with conventional options, while 11 stressed technology-neutral fuel incentives and alignment of EU ETS with FuelEU Maritime, RED III, and IMO frameworks. 7 respondents recommended reinvesting ETS revenues to de-risk clean fuel deployment and infrastructure. Other views included standardising sustainability certification (6 mentions), simplifying reporting (4 mentions), phased regulatory timing (2 mentions), targeted support for remote regions (1 mention), and boosting domestic renewable fuel production (1 mention).</w:t>
      </w:r>
    </w:p>
    <w:p w14:paraId="318177B2" w14:textId="77777777" w:rsidR="00A71942" w:rsidRPr="000F3B19" w:rsidRDefault="00A71942" w:rsidP="00E276C8">
      <w:pPr>
        <w:pStyle w:val="Heading3COM"/>
        <w:spacing w:before="120" w:after="120" w:line="240" w:lineRule="auto"/>
        <w:outlineLvl w:val="3"/>
        <w:rPr>
          <w:noProof/>
        </w:rPr>
      </w:pPr>
      <w:bookmarkStart w:id="92" w:name="_Toc211458522"/>
      <w:bookmarkStart w:id="93" w:name="_Toc231304633"/>
      <w:bookmarkStart w:id="94" w:name="_Toc232611434"/>
      <w:bookmarkStart w:id="95" w:name="_Toc232758114"/>
      <w:r>
        <w:rPr>
          <w:noProof/>
        </w:rPr>
        <w:t>Measures to address the risk of carbon leakage for emissions not covered by CBAM sectors</w:t>
      </w:r>
      <w:bookmarkEnd w:id="92"/>
      <w:bookmarkEnd w:id="93"/>
      <w:bookmarkEnd w:id="94"/>
      <w:bookmarkEnd w:id="95"/>
    </w:p>
    <w:p w14:paraId="4ED9A7BA" w14:textId="77777777" w:rsidR="00A71942" w:rsidRPr="00AA5D61" w:rsidRDefault="00A71942" w:rsidP="00E276C8">
      <w:pPr>
        <w:pStyle w:val="Heading4COM"/>
        <w:spacing w:before="120" w:after="120" w:line="240" w:lineRule="auto"/>
        <w:outlineLvl w:val="4"/>
        <w:rPr>
          <w:noProof/>
        </w:rPr>
      </w:pPr>
      <w:r>
        <w:rPr>
          <w:noProof/>
        </w:rPr>
        <w:t xml:space="preserve"> </w:t>
      </w:r>
      <w:bookmarkStart w:id="96" w:name="_Toc232611435"/>
      <w:bookmarkStart w:id="97" w:name="_Toc232758115"/>
      <w:r>
        <w:rPr>
          <w:noProof/>
        </w:rPr>
        <w:t>Free allocation</w:t>
      </w:r>
      <w:bookmarkEnd w:id="96"/>
      <w:bookmarkEnd w:id="97"/>
    </w:p>
    <w:p w14:paraId="0F047007"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Asked on what basis free allocation should be provided beyond 2030 for sectors not covered by</w:t>
      </w:r>
      <w:r>
        <w:rPr>
          <w:rFonts w:eastAsia="Times New Roman"/>
          <w:noProof/>
          <w:color w:val="242828"/>
        </w:rPr>
        <w:t xml:space="preserve"> </w:t>
      </w:r>
      <w:r w:rsidRPr="4CC0E199">
        <w:rPr>
          <w:rFonts w:eastAsia="Times New Roman"/>
          <w:noProof/>
          <w:color w:val="242828"/>
        </w:rPr>
        <w:t>CBAM</w:t>
      </w:r>
      <w:r w:rsidRPr="1FC5E705">
        <w:rPr>
          <w:rFonts w:eastAsia="Times New Roman"/>
          <w:noProof/>
          <w:vertAlign w:val="superscript"/>
        </w:rPr>
        <w:footnoteReference w:id="19"/>
      </w:r>
      <w:r w:rsidRPr="4CC0E199">
        <w:rPr>
          <w:rFonts w:eastAsia="Times New Roman"/>
          <w:noProof/>
          <w:color w:val="242828"/>
        </w:rPr>
        <w:t>, an updated benchmark methodology (94 out of 437 responses; 22%) was the most frequently selected option, predominantly by companies/businesses and business associations from the energy, waste, cement and cleantech sectors. They argued for benchmarks better reflecting current performance levels versus outliers or projections, considering technological and economic constraints, EU-wide availability of enabling conditions, resources and technologies. This was followed by 83 responses (19%) supporting maintaining the current carbon leakage list as applied in Phase IV (2021–2030), mainly on the grounds that the carbon leakage risk of the sectors concerned has not substantially changed and in opposition to the possible introduction of conditionalities. This view was mainly supported by companies/businesses and business associations from manufacturing industry sectors. A further 72 responses (16%), mainly from companies/businesses and business associations from the energy, waste and cleantech sectors, supported an updated carbon leakage list. Very few provided details, with those who did mostly calling for trade intensity to be given more weight over emission intensity when calculating the carbon leakage indicator value. Finally, 59 responses (13%), mainly from companies/businesses and business associations in the energy sector as well as most NGOs, favoured making free allocation conditional on taking steps towards carbon neutrality. A further 83 (19%) clicked “other”, providing very diverse input from which no representative conclusions could be drawn. 46 responses (11%) were uncertain.</w:t>
      </w:r>
    </w:p>
    <w:p w14:paraId="384A6DC6" w14:textId="77777777" w:rsidR="00A71942" w:rsidRPr="00AA5D61" w:rsidRDefault="00A71942" w:rsidP="00E276C8">
      <w:pPr>
        <w:spacing w:line="240" w:lineRule="auto"/>
        <w:rPr>
          <w:rFonts w:eastAsia="Times New Roman"/>
          <w:noProof/>
          <w:color w:val="242828"/>
        </w:rPr>
      </w:pPr>
      <w:r w:rsidRPr="1FC5E705">
        <w:rPr>
          <w:rFonts w:eastAsia="Times New Roman"/>
          <w:noProof/>
        </w:rPr>
        <w:t>In addition, several campaigns coordinated their responses on this question, showing a similar distribution of preferences which did not have a decisive impact on the overall results. Five campaigns by companies/businesses and business associations in different manufacturing industry sectors (29 respondents in total) advocated for keeping the current carbon leakage list, with two of those (9 respondents in total) also indicating that they support an update of the benchmark methodology, for similar reasons as indicated higher. Two campaigns, from the waste and cement sectors, (28 respondents in total) preferred both an updated carbon leakage list and an updated benchmark methodology. Three campaigns by NGOs and by companies/businesses from the waste-to-energy sector (20 respondents in total) advocated for conditionality in combination with an updated benchmark methodology, with the two NGO campaigns specifying a preference for phasing out free allocation. In terms of specific views provided, the waste sector campaigns all argued for a specific EU-wide waste-to-energy benchmark, separate from energy-sector benchmarks, to reflect the functional unit (tonnes) and prevent waste leakage.</w:t>
      </w:r>
    </w:p>
    <w:p w14:paraId="1A62055F" w14:textId="77777777" w:rsidR="00A71942" w:rsidRPr="00AA5D61" w:rsidRDefault="00A71942" w:rsidP="00E276C8">
      <w:pPr>
        <w:pStyle w:val="Heading4COM"/>
        <w:spacing w:before="120" w:after="120" w:line="240" w:lineRule="auto"/>
        <w:outlineLvl w:val="4"/>
        <w:rPr>
          <w:noProof/>
        </w:rPr>
      </w:pPr>
      <w:r>
        <w:rPr>
          <w:noProof/>
        </w:rPr>
        <w:t xml:space="preserve"> </w:t>
      </w:r>
      <w:bookmarkStart w:id="98" w:name="_Toc232611436"/>
      <w:bookmarkStart w:id="99" w:name="_Toc232758116"/>
      <w:r>
        <w:rPr>
          <w:noProof/>
        </w:rPr>
        <w:t>Indirect cost compensation</w:t>
      </w:r>
      <w:bookmarkEnd w:id="98"/>
      <w:bookmarkEnd w:id="99"/>
    </w:p>
    <w:p w14:paraId="3D74C915"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Almost three quarters of respondents (175 out of 238, 74%) considered that indirect cost compensation will remain necessary after 2030 to address the risk of carbon leakage from carbon costs passed on in electricity prices (in sectors not covered by CBAM). Of these, 93 respondents (39%) supported harmonising the system at EU level, the main justification being to address competitive distortion among operators, and 26 respondents (11%) called for an extension to cover more sectors and sub-sectors, with some degree of overlap between the two</w:t>
      </w:r>
      <w:r w:rsidRPr="1FC5E705">
        <w:rPr>
          <w:rFonts w:eastAsia="Times New Roman"/>
          <w:noProof/>
          <w:vertAlign w:val="superscript"/>
        </w:rPr>
        <w:footnoteReference w:id="20"/>
      </w:r>
      <w:r w:rsidRPr="4CC0E199">
        <w:rPr>
          <w:rFonts w:eastAsia="Times New Roman"/>
          <w:noProof/>
          <w:color w:val="242828"/>
        </w:rPr>
        <w:t>. These views were mainly shared by companies/businesses and business associations from sectors and sub-sectors currently not eligible for indirect cost compensation</w:t>
      </w:r>
      <w:r w:rsidRPr="1FC5E705">
        <w:rPr>
          <w:rFonts w:eastAsia="Times New Roman"/>
          <w:noProof/>
          <w:vertAlign w:val="superscript"/>
        </w:rPr>
        <w:footnoteReference w:id="21"/>
      </w:r>
      <w:r w:rsidRPr="4CC0E199">
        <w:rPr>
          <w:rFonts w:eastAsia="Times New Roman"/>
          <w:noProof/>
          <w:color w:val="242828"/>
        </w:rPr>
        <w:t xml:space="preserve">. While few respondents justified their choice for harmonisation, the available answers seem to indicate different interpretations of harmonisation, with some focusing on geographical harmonisation (to all Member States) while others focused on regulatory harmonisation (same rules). Conversely, 50 respondents (21%), mainly from manufacturing industry sectors, favoured maintaining the current approach based on State aid. Only 12 respondents (5%), almost exclusively NGOs and environmental organisations, opposed continuing indirect cost compensation. </w:t>
      </w:r>
    </w:p>
    <w:p w14:paraId="4452ED9D"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Furthermore, three campaigns by companies/businesses and business associations from the glass and ceramics, steel, and waste-to-energy sectors (32 respondents in total) were identified calling for harmonisation, one of which also called for an extension to all sectors, in addition to one further campaign (5 respondents in total) by companies/businesses in the agriculture sector advocating an extension specifically to their sector. One campaign (5 respondents in total) by companies/businesses from the manufacturing sector (chemicals and fertilisers) supported maintaining the current approach. Conversely, two NGO campaigns (15 respondents in total) preferred to phase out indirect cost compensation. These campaign responses did not have a decisive impact on the overall conclusion that a majority of respondents support the continuation of indirect cost compensation, with most of those supporting harmonisation at EU-level. </w:t>
      </w:r>
    </w:p>
    <w:p w14:paraId="3C7288B6" w14:textId="77777777" w:rsidR="00A71942" w:rsidRPr="00AA5D61" w:rsidRDefault="00A71942" w:rsidP="00E276C8">
      <w:pPr>
        <w:pStyle w:val="Heading3COM"/>
        <w:spacing w:before="120" w:after="120" w:line="240" w:lineRule="auto"/>
        <w:outlineLvl w:val="3"/>
        <w:rPr>
          <w:noProof/>
        </w:rPr>
      </w:pPr>
      <w:bookmarkStart w:id="100" w:name="_Toc211458523"/>
      <w:bookmarkStart w:id="101" w:name="_Toc231304634"/>
      <w:bookmarkStart w:id="102" w:name="_Toc232611437"/>
      <w:bookmarkStart w:id="103" w:name="_Toc232758117"/>
      <w:r>
        <w:rPr>
          <w:noProof/>
        </w:rPr>
        <w:t>Revenue use</w:t>
      </w:r>
      <w:bookmarkEnd w:id="100"/>
      <w:bookmarkEnd w:id="101"/>
      <w:bookmarkEnd w:id="102"/>
      <w:bookmarkEnd w:id="103"/>
    </w:p>
    <w:p w14:paraId="10F37E72"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Respondents clearly prioritised using future ETS1 auction revenues for industrial decarbonisation (ranked top 3 by more than 60% of respondents), followed by the development of renewable energy sources and clean energy systems, and the development and upscaling of clean technologies (each ranked top 3 by around 40% of respondents)</w:t>
      </w:r>
      <w:r w:rsidRPr="1FC5E705">
        <w:rPr>
          <w:rFonts w:eastAsia="Times New Roman"/>
          <w:noProof/>
          <w:vertAlign w:val="superscript"/>
        </w:rPr>
        <w:footnoteReference w:id="22"/>
      </w:r>
      <w:r w:rsidRPr="4CC0E199">
        <w:rPr>
          <w:rFonts w:eastAsia="Times New Roman"/>
          <w:noProof/>
          <w:color w:val="242828"/>
        </w:rPr>
        <w:t xml:space="preserve">. Priorities however strongly diverged between stakeholder groups, with these responses mainly driven by companies/businesses and business association respondents, while most NGOs and environmental organisations prioritised energy efficiency, social support and just transition, as well as public transport, climate adaptation and international climate finance. </w:t>
      </w:r>
    </w:p>
    <w:p w14:paraId="68468419" w14:textId="77777777" w:rsidR="00A71942" w:rsidRPr="00AA5D61" w:rsidRDefault="00A71942" w:rsidP="00E276C8">
      <w:pPr>
        <w:spacing w:line="240" w:lineRule="auto"/>
        <w:rPr>
          <w:rFonts w:eastAsia="Times New Roman"/>
          <w:noProof/>
          <w:color w:val="242828"/>
        </w:rPr>
      </w:pPr>
      <w:r w:rsidRPr="1FC5E705">
        <w:rPr>
          <w:rFonts w:eastAsia="Times New Roman"/>
          <w:noProof/>
        </w:rPr>
        <w:t>A broad majority of respondents from a wide range of stakeholder groups (except public authorities) agreed that transparency on how Member States use the ETS revenues is currently insufficient, with only 31 out of 288 (11%) respondents considering there is sufficient transparency, compared to 160 (55%) disagreeing and 97 (34%) neutral or uncertain. Respondents highlighted the need for better public access to data, including the use of digital platforms (40%), clearer and more frequent reporting by Member States on revenue use (26%), and improved accountability mechanisms to ensure revenues are used effectively (7%).</w:t>
      </w:r>
    </w:p>
    <w:p w14:paraId="7446A51F" w14:textId="77777777" w:rsidR="00A71942" w:rsidRPr="00AA5D61" w:rsidRDefault="00A71942" w:rsidP="00E276C8">
      <w:pPr>
        <w:pStyle w:val="Heading3COM"/>
        <w:spacing w:before="120" w:after="120" w:line="240" w:lineRule="auto"/>
        <w:outlineLvl w:val="3"/>
        <w:rPr>
          <w:noProof/>
        </w:rPr>
      </w:pPr>
      <w:bookmarkStart w:id="104" w:name="_Toc211458524"/>
      <w:bookmarkStart w:id="105" w:name="_Toc231304635"/>
      <w:bookmarkStart w:id="106" w:name="_Toc232611438"/>
      <w:bookmarkStart w:id="107" w:name="_Toc232758118"/>
      <w:r>
        <w:rPr>
          <w:noProof/>
        </w:rPr>
        <w:t>Industrial decarbonisation support</w:t>
      </w:r>
      <w:bookmarkEnd w:id="104"/>
      <w:bookmarkEnd w:id="105"/>
      <w:bookmarkEnd w:id="106"/>
      <w:bookmarkEnd w:id="107"/>
    </w:p>
    <w:p w14:paraId="553981A2" w14:textId="77777777" w:rsidR="00A71942" w:rsidRPr="00AA5D61" w:rsidRDefault="00A71942" w:rsidP="00E276C8">
      <w:pPr>
        <w:spacing w:line="240" w:lineRule="auto"/>
        <w:rPr>
          <w:rFonts w:eastAsia="Times New Roman"/>
          <w:noProof/>
          <w:color w:val="242828"/>
        </w:rPr>
      </w:pPr>
      <w:r w:rsidRPr="1FC5E705">
        <w:rPr>
          <w:rFonts w:eastAsia="Times New Roman"/>
          <w:noProof/>
        </w:rPr>
        <w:t>Respondents from across all stakeholder groups overwhelmingly supported the creation of an Industrial Decarbonisation Bank to assist industrial decarbonisation efforts (240 out of 288 respondents; 83%). Only a small minority (10 respondents, 4%) opposed the idea, while 38 respondents (13%) were uncertain. Furthermore, seven campaigns by companies/businesses and business associations from different sectors (61 responses in total) also supported the creation of an Industrial Decarbonisation Bank, further amplifying the outcome. Among the instruments considered most effective for supporting the business case for industrial decarbonisation, carbon contracts for difference were highlighted in almost half of responses, followed by grants (one out of five responses), tax credits (one out of ten responses) and fixed premia for specific products (one out of ten responses), with most respondents supporting a combination of such tools. Among campaign respondents, preferences were very similar, with most supporting a mix of tools including carbon contracts for difference, tax credits and/or grants.</w:t>
      </w:r>
    </w:p>
    <w:p w14:paraId="1A2F08EF" w14:textId="77777777" w:rsidR="00A71942" w:rsidRPr="00AA5D61" w:rsidRDefault="00A71942" w:rsidP="00E276C8">
      <w:pPr>
        <w:spacing w:line="240" w:lineRule="auto"/>
        <w:rPr>
          <w:rFonts w:eastAsia="Times New Roman"/>
          <w:noProof/>
          <w:color w:val="242828"/>
        </w:rPr>
      </w:pPr>
      <w:r w:rsidRPr="1FC5E705">
        <w:rPr>
          <w:rFonts w:eastAsia="Times New Roman"/>
          <w:noProof/>
        </w:rPr>
        <w:t>The continuation of the Innovation Fund was also broadly supported, with almost three quarters of respondents from across all stakeholder groups strongly agreeing (132 out of 288 respondents; 46%) or rather agreeing (79; 27%). In contrast, only 6 respondents (2%) rather disagreed, and 2 respondents (1%) strongly disagreed, while 26 respondents (9%) were neutral, and 43 respondents (15%) did not know. In addition, four campaigns by companies/businesses and business associations from different sectors (39 respondents in total) also supported the continued need for the Innovation Fund, confirming the result of this question. The main arguments for the continued need for the Innovation Fund centred on its complementary role to other instruments (such as a future Decarbonisation Bank) by supporting early-stage, high-risk, breakthrough innovation, and its critical role in supporting decarbonisation in hard-to-abate sectors such as aviation, maritime and heavy industry. Suggestions for improvements included reducing administrative complexity, speeding up disbursement, more flexible eligibility criteria, supporting a wider range of technologies (including mature and market-ready solutions) and introducing dedicated windows for priority areas. The identified campaigns shared similar views, in addition to arguing for the inclusion of the waste sector in the scope of the Fund (waste-to-energy companies’ campaign) and supporting national allocations under the Fund to ensure geographic balance (group of energy companies located in one Member State).</w:t>
      </w:r>
    </w:p>
    <w:p w14:paraId="19766D94" w14:textId="77777777" w:rsidR="00A71942" w:rsidRPr="00AA5D61" w:rsidRDefault="00A71942" w:rsidP="00E276C8">
      <w:pPr>
        <w:spacing w:line="240" w:lineRule="auto"/>
        <w:rPr>
          <w:rFonts w:eastAsia="Times New Roman"/>
          <w:noProof/>
          <w:color w:val="242828"/>
        </w:rPr>
      </w:pPr>
      <w:r w:rsidRPr="1FC5E705">
        <w:rPr>
          <w:rFonts w:eastAsia="Times New Roman"/>
          <w:noProof/>
        </w:rPr>
        <w:t>The continuation of the Modernisation Fund was also supported by a clear majority of respondents from across all stakeholder groups, with 73 out of 272 respondents (27%) strongly agreeing and 65 respondents (24%) rather agreeing, while only a minority rather disagreed (16 respondents, 6%) or strongly disagreed (4 respondents, 1%). Support was particularly strong among respondents located in eligible Member States and from the energy sector. The remaining respondents were neutral (35 respondents, 13%) or uncertain (79 respondents, 29%), with those respondents mainly located in non-eligible Member States. In addition, one campaign by energy sector companies located in a Member State covered by the Fund (5 respondents in total) also strongly supported the continuation of the Modernisation Fund, which did not affect the result of this question. When asked about the scope of the Fund, most respondents did not share specific views. Of those who did, nearly two thirds called for an extension of the scope, mainly to also cover industrial decarbonisation beyond energy efficiency and renewables, while the remaining third considered the current scope sufficient to address the decarbonisation challenges in lower-income Member States. Some of those respondents, all NGOs and environmental organisations, on the contrary specified that they would like some investments to be excluded from the scope of Fund, mostly gas, but also waste incineration, nuclear and/or forest biomass.</w:t>
      </w:r>
    </w:p>
    <w:p w14:paraId="6F567572" w14:textId="77777777" w:rsidR="00A71942" w:rsidRPr="00AA5D61" w:rsidRDefault="00A71942" w:rsidP="00E276C8">
      <w:pPr>
        <w:pStyle w:val="Heading3COM"/>
        <w:spacing w:before="120" w:after="120" w:line="240" w:lineRule="auto"/>
        <w:outlineLvl w:val="3"/>
        <w:rPr>
          <w:noProof/>
        </w:rPr>
      </w:pPr>
      <w:bookmarkStart w:id="108" w:name="_Toc211458525"/>
      <w:bookmarkStart w:id="109" w:name="_Toc231304636"/>
      <w:bookmarkStart w:id="110" w:name="_Toc232611439"/>
      <w:bookmarkStart w:id="111" w:name="_Toc232758119"/>
      <w:r>
        <w:rPr>
          <w:noProof/>
        </w:rPr>
        <w:t>Market Stability Reserve (MSR)</w:t>
      </w:r>
      <w:bookmarkEnd w:id="108"/>
      <w:bookmarkEnd w:id="109"/>
      <w:bookmarkEnd w:id="110"/>
      <w:bookmarkEnd w:id="111"/>
    </w:p>
    <w:p w14:paraId="62E47678" w14:textId="77777777" w:rsidR="00A71942" w:rsidRPr="00AA5D61" w:rsidRDefault="00A71942" w:rsidP="00E276C8">
      <w:pPr>
        <w:spacing w:line="240" w:lineRule="auto"/>
        <w:rPr>
          <w:rFonts w:eastAsia="Times New Roman"/>
          <w:noProof/>
          <w:color w:val="242828"/>
        </w:rPr>
      </w:pPr>
      <w:r w:rsidRPr="1FC5E705">
        <w:rPr>
          <w:rFonts w:eastAsia="Times New Roman"/>
          <w:noProof/>
        </w:rPr>
        <w:t>Looking ahead to what the MSR should achieve to ensure the proper functioning of the EU ETS in the future, strengthening the MSR to prevent excessive EU ETS price volatility (96 out of 256 responses; 38%) and increasing market liquidity (66; 26%) were clearly indicated as the top 2 priorities by most respondents, mainly by companies/businesses and business associations. Conversely, 46 responses (18%), mostly NGOs and environmental organisations, prioritised to continue tackling the surplus in the market. Roughly one fifth were uncertain (47; 18%).  In addition, several campaigns were identified, submitting responses along largely similar lines which did not affect the overall balance of preferences. One NGO campaign (10 respondents in total) preferred continued tackling of the market surplus, while four business/company campaigns (20 respondents in total) prioritised increasing market liquidity, of which one also called for preventing excessive price volatility, possibly through a price corridor or cap. Finally, one campaign by companies/businesses in the agriculture sector (5 respondents in total) called for a phase-out of the MSR.</w:t>
      </w:r>
    </w:p>
    <w:p w14:paraId="71A1D4B3" w14:textId="77777777" w:rsidR="00A71942" w:rsidRPr="00AA5D61" w:rsidRDefault="00A71942" w:rsidP="00E276C8">
      <w:pPr>
        <w:spacing w:line="240" w:lineRule="auto"/>
        <w:rPr>
          <w:rFonts w:eastAsia="Times New Roman"/>
          <w:noProof/>
          <w:color w:val="242828"/>
        </w:rPr>
      </w:pPr>
      <w:r w:rsidRPr="1FC5E705">
        <w:rPr>
          <w:rFonts w:eastAsia="Times New Roman"/>
          <w:noProof/>
        </w:rPr>
        <w:t>Given their expectation that the ETS cap will fall to zero towards the end of Phase V of the EU ETS, respondents from companies/businesses and business associations predominantly expressed concerns about the predictability and volatility of future allowance prices. The potential changes to the MSR most frequently raised, mainly by companies/businesses and business associations, were to make the intake and/or release thresholds dynamic to reflect prevailing market conditions (67 out of 451 responses; 15%), to adjust the invalidation rule for holdings in the reserve above 400 million allowances (57; 13%), and to shorten the response time through more frequent adjustments (45; 10%). In addition, out of the “other” responses (87; 19%), almost half also called for the cancellation of the invalidation rule, making this the top priority among respondents. Conversely, NGOs predominantly supported keeping the intake rate at 24% beyond 2030 (34; 8%) to continue tackling the surplus. Finally, 34 responses (7%) from across various stakeholder types called for a downward adjustment of fixed thresholds for MSR intake and/or release, while 14 (3%), all companies/businesses, supported an upward adjustment. Additionally, 22 (5%) of responses called for a buffer to the lower threshold to address potential threshold effects. The aforementioned campaigns did not have a substantial impact on the outcome of this question.</w:t>
      </w:r>
    </w:p>
    <w:p w14:paraId="6869C193" w14:textId="77777777" w:rsidR="00A71942" w:rsidRPr="00AA5D61" w:rsidRDefault="00A71942" w:rsidP="00E276C8">
      <w:pPr>
        <w:pStyle w:val="Heading3COM"/>
        <w:spacing w:before="120" w:after="120" w:line="240" w:lineRule="auto"/>
        <w:outlineLvl w:val="3"/>
        <w:rPr>
          <w:noProof/>
        </w:rPr>
      </w:pPr>
      <w:bookmarkStart w:id="112" w:name="_Toc211458526"/>
      <w:bookmarkStart w:id="113" w:name="_Toc231304637"/>
      <w:bookmarkStart w:id="114" w:name="_Toc232611440"/>
      <w:bookmarkStart w:id="115" w:name="_Toc232758120"/>
      <w:r>
        <w:rPr>
          <w:noProof/>
        </w:rPr>
        <w:t>Carbon removals</w:t>
      </w:r>
      <w:bookmarkEnd w:id="112"/>
      <w:bookmarkEnd w:id="113"/>
      <w:bookmarkEnd w:id="114"/>
      <w:bookmarkEnd w:id="115"/>
    </w:p>
    <w:p w14:paraId="3C3409A2"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A very broad majority of respondents (259 out of 313 respondents; 83%), including the majority of companies/businesses and business associations, supported the integration of permanent CRCF removal units in the EU ETS, arguing that this is essential to expand operators’ options to achieve the long-term climate objective, to support the uptake of such technologies and to enhance liquidity in the market. Only a small minority of 38 respondents (12%), mainly NGOs and environmental organisations, opposed their integration, mainly on the grounds of the need to prioritise mitigation and due to associated environmental risks. In addition, seven campaigns by companies/businesses and business associations from various sectors (59 respondents in total) also strongly supported the integration of permanent removals, while two NGO campaigns (15 respondents in total) opposed their integration, reflecting the overall outcome on this question. A majority of respondents further indicated that complementary policies are needed (190 out of 285 respondents; 67%), while a smaller share, largely corresponding to the respondents not in favour of integrating CRCF removal units into the EU ETS, favoured alternative policies instead (44; 15%).  </w:t>
      </w:r>
    </w:p>
    <w:p w14:paraId="33624E8A"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Conversely, integrating temporary CRCF removal units into the EU ETS proved very divisive, with a relative majority strongly or rather disagreeing (125 out of 308 respondents; 41%), including the strongest level of strong opposition (98; 32%) across all questions related to carbon removals, mainly citing unreliable quantification and risks to market stability, compared to those strongly or rather agreeing (117 out of 308 respondents, 38%), mainly citing lower costs and their ability to scale up more quickly, while many also acknowledged the need for strict criteria and a differentiated approach to quantification and use. Respondents on either side came from a very diverse range of sectors. </w:t>
      </w:r>
    </w:p>
    <w:p w14:paraId="5D6BD0EF"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Looking more specifically into the modalities for integration of carbon removals into the EU ETS, support was strongest for allowing installations to deduct removals generated in their own activities from their compliance obligations (184 out of 300 respondents (61%) strongly or somewhat agreed, mainly companies/businesses and business associations from manufacturing industry sectors and the energy sector), closely followed by allowing operators to purchase CRCF removal units directly from removal suppliers to fulfil surrender obligations (172 out of 305 respondents (56%) strongly or somewhat agreed, mainly from the energy and waste management sectors, less frequently from the manufacturing industry). Support for acquiring and inserting CRCF removal units through a central agency was more limited, with a quarter of respondents, almost exclusively from companies/businesses and business associations engaged in carbon removal activities, strongly (19 out of 296; 6%) or somewhat (56; 19%) agreeing, while a larger share strongly (52; 18%) or somewhat (54; 18%) opposed, and the largest share was either neutral (62; 21%) or uncertain (53; 18%). This may indicate a substantial degree of uncertainty on this (rather technical) topic among stakeholders in general. </w:t>
      </w:r>
    </w:p>
    <w:p w14:paraId="0C3B41A3" w14:textId="77777777" w:rsidR="00A71942" w:rsidRPr="00AA5D61" w:rsidRDefault="00A71942" w:rsidP="00E276C8">
      <w:pPr>
        <w:spacing w:line="240" w:lineRule="auto"/>
        <w:rPr>
          <w:rFonts w:eastAsia="Times New Roman"/>
          <w:noProof/>
          <w:color w:val="242828"/>
        </w:rPr>
      </w:pPr>
      <w:r w:rsidRPr="1FC5E705">
        <w:rPr>
          <w:rFonts w:eastAsia="Times New Roman"/>
          <w:noProof/>
        </w:rPr>
        <w:t>With regards to potential restrictions in relation to the integration of carbon removals into the EU ETS, a relative majority of respondents, from a diverse range of stakeholders, supported restrictions to the use of CRCF removal units (125 out of 299 respondents (42%) strongly or somewhat agreed, compared to 84 (28%) who strongly or somewhat disagreed). Asked about a slow phase in, the balance tipped in the other direction with a relative majority, from a diverse range of stakeholders, disagreeing (112 out of 300 respondents (37%) disagreed strongly or somewhat, mainly citing cost-effectiveness, compared to 88 (29%) who strongly or somewhat agreed, mainly citing the need to ensure market stability, environmental integrity, and a certain share of emission reductions before allowing offsets). The outcome was similar when asked whether there should be a limit on gross emissions by EU ETS installations, with 109 out of 297 respondents (37%) strongly or somewhat disagreeing compared to 86 (29%) strongly or somewhat agreeing. It is to be noted that for all three of these questions, around one third of respondents did not express strong views, selecting ‘neutral’ or ‘do not know’.</w:t>
      </w:r>
    </w:p>
    <w:p w14:paraId="5851B167" w14:textId="77777777" w:rsidR="00A71942" w:rsidRPr="00AA5D61" w:rsidRDefault="00A71942" w:rsidP="00E276C8">
      <w:pPr>
        <w:pStyle w:val="Heading3COM"/>
        <w:spacing w:before="120" w:after="120" w:line="240" w:lineRule="auto"/>
        <w:outlineLvl w:val="3"/>
        <w:rPr>
          <w:noProof/>
        </w:rPr>
      </w:pPr>
      <w:bookmarkStart w:id="116" w:name="_Toc211458527"/>
      <w:bookmarkStart w:id="117" w:name="_Toc231304638"/>
      <w:bookmarkStart w:id="118" w:name="_Toc232611441"/>
      <w:bookmarkStart w:id="119" w:name="_Toc232758121"/>
      <w:r>
        <w:rPr>
          <w:noProof/>
        </w:rPr>
        <w:t>CO2 transport</w:t>
      </w:r>
      <w:bookmarkEnd w:id="116"/>
      <w:bookmarkEnd w:id="117"/>
      <w:bookmarkEnd w:id="118"/>
      <w:bookmarkEnd w:id="119"/>
    </w:p>
    <w:p w14:paraId="510F962E" w14:textId="77777777" w:rsidR="00A71942" w:rsidRPr="00AA5D61" w:rsidRDefault="00A71942" w:rsidP="00E276C8">
      <w:pPr>
        <w:spacing w:line="240" w:lineRule="auto"/>
        <w:rPr>
          <w:rFonts w:eastAsia="Times New Roman"/>
          <w:noProof/>
          <w:color w:val="242828"/>
        </w:rPr>
      </w:pPr>
      <w:r w:rsidRPr="1FC5E705">
        <w:rPr>
          <w:rFonts w:eastAsia="Times New Roman"/>
          <w:noProof/>
        </w:rPr>
        <w:t>There was broad support for the extension of CO2 transport coverage under the ETS Directive from transport with the objective of storage to transport for any purpose, although there was a clear division between different types of stakeholders. A clear majority of respondents (192 out of 227 respondents; 85%) considered it important to extend coverage to ensure a level playing field for CCS and CCU, incentivise CCU market development and reduce infrastructure and monitoring costs where infrastructure is shared for both CCS and CCU purposes. This view was supported by almost all companies/business and business associations. By contrast, only 35 respondents (15%) opposed such a change, mainly out of safety concerns or considering this out of scope of the ETS. This view was almost exclusively supported by NGOs and environmental organisations. The campaign responses identified on this question did not affect the outcome, showing a similar distribution with eight campaigns (69 respondents in total) from companies/businesses and business associations from various sectors supporting the extension, versus one NGO campaign (10 respondents in total) opposing the extension.</w:t>
      </w:r>
    </w:p>
    <w:p w14:paraId="5E0153C7" w14:textId="77777777" w:rsidR="00A71942" w:rsidRPr="00AA5D61" w:rsidRDefault="00A71942" w:rsidP="00E276C8">
      <w:pPr>
        <w:pStyle w:val="Heading3COM"/>
        <w:spacing w:before="120" w:after="120" w:line="240" w:lineRule="auto"/>
        <w:outlineLvl w:val="3"/>
        <w:rPr>
          <w:noProof/>
        </w:rPr>
      </w:pPr>
      <w:bookmarkStart w:id="120" w:name="_Toc211458528"/>
      <w:bookmarkStart w:id="121" w:name="_Toc231304639"/>
      <w:bookmarkStart w:id="122" w:name="_Toc232611442"/>
      <w:bookmarkStart w:id="123" w:name="_Toc232758122"/>
      <w:r>
        <w:rPr>
          <w:noProof/>
        </w:rPr>
        <w:t>CCU</w:t>
      </w:r>
      <w:bookmarkEnd w:id="120"/>
      <w:bookmarkEnd w:id="121"/>
      <w:bookmarkEnd w:id="122"/>
      <w:bookmarkEnd w:id="123"/>
    </w:p>
    <w:p w14:paraId="73F7D6CD" w14:textId="77777777" w:rsidR="00A71942" w:rsidRPr="00AA5D61" w:rsidRDefault="00A71942" w:rsidP="00E276C8">
      <w:pPr>
        <w:spacing w:line="240" w:lineRule="auto"/>
        <w:rPr>
          <w:rFonts w:eastAsia="Times New Roman"/>
          <w:noProof/>
          <w:color w:val="242828"/>
        </w:rPr>
      </w:pPr>
      <w:r w:rsidRPr="1FC5E705">
        <w:rPr>
          <w:rFonts w:eastAsia="Times New Roman"/>
          <w:noProof/>
        </w:rPr>
        <w:t>There was clear support for an adjustment of surrender obligations, with restrictions or conditions, where emissions are captured and used in products without permanent storage (CCU). Most respondents (57%), including a majority of companies/businesses and business associations (mainly from the energy sector and manufacturing industry), strongly (84 out of 244; 34%) or somewhat (55; 23%) support an adjustment of surrender obligations where emissions are captured and used in products without permanent storage. The main reasons provided were to incentivise the use of CCU and recognise the potential climate benefits of CCU products compared to products using virgin carbon. Conversely, most NGOs and environmental organisations (strongly) disagreed (48; 20%) with this option, with potential risks of double pricing raised by those opposing – as well as by some respondents in favour – in addition to the complexity of monitoring, reporting and verifying virgin versus captured carbon streams and the ensuing risks for environmental integrity. A further 25 respondents (10%) were neutral and 32 (13%) were uncertain. However, there was broad agreement across all stakeholder groups in favour of introducing restrictions or conditions when adjusting surrender obligations for the capture and use of non-permanent carbon (e.g.: minimum emission savings, displacement of fossil carbon, avoiding double counting/pricing of the same emissions), with more than half in favour (130 out of 245 respondents; 53%) versus only a minority against (31; 13%). The campaign responses identified in addition showed similar distributions, not affecting the outcome. While five campaigns by companies/businesses and business associations from across various sectors (47 respondents in total) (strongly) supported an adjustment to surrendering obligations for CCU, three campaigns by NGOs and companies/businesses from the agricultural sector (20 respondents in total) strongly disagreed.</w:t>
      </w:r>
    </w:p>
    <w:p w14:paraId="05F86AB1" w14:textId="77777777" w:rsidR="00A71942" w:rsidRPr="00AA5D61" w:rsidRDefault="00A71942" w:rsidP="00E276C8">
      <w:pPr>
        <w:spacing w:line="240" w:lineRule="auto"/>
        <w:rPr>
          <w:rFonts w:eastAsia="Times New Roman"/>
          <w:noProof/>
          <w:color w:val="242828"/>
        </w:rPr>
      </w:pPr>
      <w:r w:rsidRPr="1FC5E705">
        <w:rPr>
          <w:rFonts w:eastAsia="Times New Roman"/>
          <w:noProof/>
        </w:rPr>
        <w:t>By contrast, there was overall no clear agreement and more division between different stakeholder groups on moving the surrender obligation downstream for non-permanent products produced with captured CO₂. Two fifths of respondents, predominantly from companies/businesses and business associations from the manufacturing industry, strongly (55 out of 246 respondents; 22%) or somewhat (41; 17%) agreed, due to the incentivising effect for both CCU in upstream installations and for the use of CCU-based carbon in downstream products, as well as the avoidance of double counting risks. However, this option attracted higher levels of disagreement compared to the ‘adjustment’ option and these views came from a broader range of stakeholders (including many companies/businesses from the energy and waste sectors and most NGOs), with nearly one third opposing strongly (49; 20%) or somewhat (26; 10%), and similar levels of uncertainty (50; 20%) and neutral (25; 10%) views. Concerns mainly centred on the risk of undercounting emissions and undermining environmental integrity, due to the complex traceability of carbon throughout the value chain, and a perceived unfairness for downstream operators (notably in the waste sector) and, especially for CCU-based fuels, ensuring regulatory stability. Furthermore, four campaigns (21 respondents in total) by companies/businesses and business associations from the manufacturing industry strongly supported downstream accounting, while three campaigns (32 respondents in total) from a broader range of stakeholders, including NGOs, energy sector companies/businesses and agriculture sector companies/businesses, disagreed. Overall, this confirms the conclusion that there is no clear agreement and that there are strong divisions between stakeholders on this topic.</w:t>
      </w:r>
    </w:p>
    <w:p w14:paraId="2621B14A" w14:textId="77777777" w:rsidR="00A71942" w:rsidRPr="00AA5D61" w:rsidRDefault="00A71942" w:rsidP="00E276C8">
      <w:pPr>
        <w:pStyle w:val="Heading3COM"/>
        <w:spacing w:before="120" w:after="120" w:line="240" w:lineRule="auto"/>
        <w:outlineLvl w:val="3"/>
        <w:rPr>
          <w:noProof/>
        </w:rPr>
      </w:pPr>
      <w:bookmarkStart w:id="124" w:name="_Toc211458529"/>
      <w:bookmarkStart w:id="125" w:name="_Toc231304640"/>
      <w:bookmarkStart w:id="126" w:name="_Toc232611443"/>
      <w:bookmarkStart w:id="127" w:name="_Toc232758123"/>
      <w:r>
        <w:rPr>
          <w:noProof/>
        </w:rPr>
        <w:t>Municipal waste incineration (MWI) and other waste management processes</w:t>
      </w:r>
      <w:bookmarkEnd w:id="124"/>
      <w:bookmarkEnd w:id="125"/>
      <w:bookmarkEnd w:id="126"/>
      <w:bookmarkEnd w:id="127"/>
    </w:p>
    <w:p w14:paraId="759B2511" w14:textId="77777777" w:rsidR="00A71942" w:rsidRPr="00AA5D61" w:rsidRDefault="00A71942" w:rsidP="00E276C8">
      <w:pPr>
        <w:pStyle w:val="Heading4COM"/>
        <w:spacing w:before="120" w:after="120" w:line="240" w:lineRule="auto"/>
        <w:outlineLvl w:val="4"/>
        <w:rPr>
          <w:noProof/>
        </w:rPr>
      </w:pPr>
      <w:bookmarkStart w:id="128" w:name="_Toc232611444"/>
      <w:bookmarkStart w:id="129" w:name="_Toc232758124"/>
      <w:r>
        <w:rPr>
          <w:noProof/>
        </w:rPr>
        <w:t>Municipal waste incineration (MWI)</w:t>
      </w:r>
      <w:bookmarkEnd w:id="128"/>
      <w:bookmarkEnd w:id="129"/>
    </w:p>
    <w:p w14:paraId="5BE9FE6D"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More than half of respondents to this question, including a relative majority of companies/businesses and business associations (mainly from the manufacturing industry) and most NGOs and environmental organisations, supported the inclusion of municipal waste incineration (MWI) installations in the EU ETS, with 87 out of 266 respondents (33%) strongly agreeing and 49 respondents (18%) rather agreeing. Conversely, nearly one third of respondents, mainly from companies/businesses and business associations, strongly disagreed (69; 26%) or rather disagreed (10; 4%). Smaller shares of respondents were neutral (25 respondents, 9%) or uncertain (26 respondents, 10%).  </w:t>
      </w:r>
    </w:p>
    <w:p w14:paraId="3AD2822D"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The main arguments in support of MWI inclusion in the EU ETS were to incentivise recycling in line with the waste hierarchy (over one third of responses), to ensure a level playing field between sectors and maximise cost-effectiveness of emission reductions (nearly one third of responses), to incentivise CCU uptake and prevent emission leakage from CCU products (nearly one fifth of responses) and to exploit potential to generate removal credits from biogenic CO2 (nearly one tenth of responses). </w:t>
      </w:r>
    </w:p>
    <w:p w14:paraId="38D8C560" w14:textId="77777777" w:rsidR="00A71942" w:rsidRPr="00AA5D61" w:rsidRDefault="00A71942" w:rsidP="00E276C8">
      <w:pPr>
        <w:spacing w:line="240" w:lineRule="auto"/>
        <w:rPr>
          <w:rFonts w:eastAsia="Times New Roman"/>
          <w:noProof/>
          <w:color w:val="242828"/>
        </w:rPr>
      </w:pPr>
      <w:r w:rsidRPr="1FC5E705">
        <w:rPr>
          <w:rFonts w:eastAsia="Times New Roman"/>
          <w:noProof/>
        </w:rPr>
        <w:t>At the same time, several respondents made their support conditional on addressing potential waste diversion to landfill. This was also one of the main arguments of respondents opposing the inclusion of MWI in the EU ETS, with two fifths in this group expressing concerns about the risk of landfill diversion. Further arguments opposing MWI inclusion were the expected impact and perceived lack of alternatives for customers, notably local authorities (one fifth of responses), and operators’ lack of control over waste generation (and composition), fixed price contracts and potential hindrance to investments in upgrading facilities (nearly one fifth of responses, combined).</w:t>
      </w:r>
    </w:p>
    <w:p w14:paraId="6F18C339" w14:textId="77777777" w:rsidR="00A71942" w:rsidRPr="00AA5D61" w:rsidRDefault="00A71942" w:rsidP="00E276C8">
      <w:pPr>
        <w:spacing w:line="240" w:lineRule="auto"/>
        <w:rPr>
          <w:rFonts w:eastAsia="Times New Roman"/>
          <w:noProof/>
          <w:color w:val="242828"/>
        </w:rPr>
      </w:pPr>
      <w:r w:rsidRPr="1FC5E705">
        <w:rPr>
          <w:rFonts w:eastAsia="Times New Roman"/>
          <w:noProof/>
        </w:rPr>
        <w:t>While multiple campaigns were identified targeting the waste topic, those answers did not have a decisive impact on the outcome of this question that the majority of respondents supported including MWI installations in the EU ETS. Five campaigns by NGOs and companies/businesses and business associations from the manufacturing industry (30 respondents in total) (strongly) agreed with the inclusion of MWI in the EU ETS, while four campaigns by businesses/companies and business associations in the waste, energy and agriculture sectors, as well as by local public waste management authorities located in one Member State (57 respondents in total) (strongly) disagreed.</w:t>
      </w:r>
    </w:p>
    <w:p w14:paraId="24064943" w14:textId="77777777" w:rsidR="00A71942" w:rsidRPr="00AA5D61" w:rsidRDefault="00A71942" w:rsidP="00E276C8">
      <w:pPr>
        <w:pStyle w:val="Heading4COM"/>
        <w:spacing w:before="120" w:after="120" w:line="240" w:lineRule="auto"/>
        <w:outlineLvl w:val="4"/>
        <w:rPr>
          <w:noProof/>
        </w:rPr>
      </w:pPr>
      <w:bookmarkStart w:id="130" w:name="_Toc232611445"/>
      <w:bookmarkStart w:id="131" w:name="_Toc232758125"/>
      <w:r>
        <w:rPr>
          <w:noProof/>
        </w:rPr>
        <w:t>Installations for the incineration of hazardous waste</w:t>
      </w:r>
      <w:bookmarkEnd w:id="130"/>
      <w:bookmarkEnd w:id="131"/>
      <w:r>
        <w:rPr>
          <w:noProof/>
        </w:rPr>
        <w:t xml:space="preserve"> </w:t>
      </w:r>
    </w:p>
    <w:p w14:paraId="20354404"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There was no clear agreement on the inclusion of installations for the incineration of hazardous waste in the EU ETS, with well over a third of respondents strongly (77 out of 249, 31%) or rather (16; 6%) disagreeing, compared to just over one third strongly (41 respondents, 17%) or rather (41; 17%) agreeing. The distribution of stakeholder groups also shifted compared to the question on the inclusion of MWI. While most NGOs and environmental organisations were also supportive of the inclusion of hazardous waste incineration, companies/businesses and business associations from the manufacturing industry tended more towards opposing the inclusion. Smaller shares were neutral (36 respondents, 14%) or uncertain (38 respondents, 15%). </w:t>
      </w:r>
    </w:p>
    <w:p w14:paraId="367F1B88" w14:textId="77777777" w:rsidR="00A71942" w:rsidRPr="00AA5D61" w:rsidRDefault="00A71942" w:rsidP="00E276C8">
      <w:pPr>
        <w:spacing w:line="240" w:lineRule="auto"/>
        <w:rPr>
          <w:rFonts w:eastAsia="Times New Roman"/>
          <w:noProof/>
          <w:color w:val="242828"/>
        </w:rPr>
      </w:pPr>
      <w:r w:rsidRPr="1FC5E705">
        <w:rPr>
          <w:rFonts w:eastAsia="Times New Roman"/>
          <w:noProof/>
        </w:rPr>
        <w:t>The main arguments against the inclusion of hazardous waste incineration in the EU ETS were the public-service role in safely handling hazardous waste and potential risks to public health and safety, the lack of control over upstream waste generation and limited fuel-switch options due to the need for destruction at high temperatures. Arguments for the inclusion mainly focused on incentivising cleaner technologies and cleaner consumer choices, upholding the polluter pays principle by enhancing coherence and ensuring a level playing field between comparable incineration activities, as well as pointed out that many installations hold permits for both hazardous and municipal waste incineration.</w:t>
      </w:r>
    </w:p>
    <w:p w14:paraId="454FEE39" w14:textId="77777777" w:rsidR="00A71942" w:rsidRPr="00AA5D61" w:rsidRDefault="00A71942" w:rsidP="00E276C8">
      <w:pPr>
        <w:spacing w:line="240" w:lineRule="auto"/>
        <w:rPr>
          <w:rFonts w:eastAsia="Times New Roman"/>
          <w:noProof/>
          <w:color w:val="242828"/>
        </w:rPr>
      </w:pPr>
      <w:r w:rsidRPr="1FC5E705">
        <w:rPr>
          <w:rFonts w:eastAsia="Times New Roman"/>
          <w:noProof/>
        </w:rPr>
        <w:t>Multiple campaigns coordinated responses to this question. Integrating these responses leads to a clearer outcome, with a majority opposing the inclusion of hazardous waste in the EU ETS (43% against versus 35% in favour, overall). Seven campaigns by companies/businesses and business associations mainly from the waste and waste-to-energy sectors, as well as local public waste management authorities (60 respondents in total) strongly opposed the inclusion, while three campaigns by NGOs and from the cement sector (21 respondents in total) strongly supported it. One campaign (22 respondents in total) by local waste-to-energy companies/businesses located in one Member State expressed conditional support for including installations with double hazardous and MWI activities, but not for installations exclusively incinerating hazardous waste.</w:t>
      </w:r>
    </w:p>
    <w:p w14:paraId="2672D4EE" w14:textId="77777777" w:rsidR="00A71942" w:rsidRPr="00AA5D61" w:rsidRDefault="00A71942" w:rsidP="00E276C8">
      <w:pPr>
        <w:pStyle w:val="Heading4COM"/>
        <w:spacing w:before="120" w:after="120" w:line="240" w:lineRule="auto"/>
        <w:outlineLvl w:val="4"/>
        <w:rPr>
          <w:noProof/>
        </w:rPr>
      </w:pPr>
      <w:bookmarkStart w:id="132" w:name="_Toc232611446"/>
      <w:bookmarkStart w:id="133" w:name="_Toc232758126"/>
      <w:r>
        <w:rPr>
          <w:noProof/>
        </w:rPr>
        <w:t>Other waste management activities</w:t>
      </w:r>
      <w:bookmarkEnd w:id="132"/>
      <w:bookmarkEnd w:id="133"/>
    </w:p>
    <w:p w14:paraId="1E5F683C" w14:textId="77777777" w:rsidR="00A71942" w:rsidRDefault="00A71942" w:rsidP="00E276C8">
      <w:pPr>
        <w:spacing w:line="240" w:lineRule="auto"/>
        <w:rPr>
          <w:rFonts w:eastAsia="Times New Roman"/>
          <w:noProof/>
          <w:color w:val="242828"/>
        </w:rPr>
      </w:pPr>
      <w:r w:rsidRPr="1FC5E705">
        <w:rPr>
          <w:rFonts w:eastAsia="Times New Roman"/>
          <w:noProof/>
        </w:rPr>
        <w:t xml:space="preserve">Overall, relatively few stakeholders provided views on whether additional waste management activities should be included in the EU ETS if waste incineration was to be covered. </w:t>
      </w:r>
    </w:p>
    <w:p w14:paraId="4D2E7AFF" w14:textId="77777777" w:rsidR="00A71942" w:rsidRPr="00AA5D61" w:rsidRDefault="00A71942" w:rsidP="00E276C8">
      <w:pPr>
        <w:spacing w:line="240" w:lineRule="auto"/>
        <w:rPr>
          <w:rFonts w:eastAsia="Times New Roman"/>
          <w:noProof/>
        </w:rPr>
      </w:pPr>
      <w:r w:rsidRPr="1FC5E705">
        <w:rPr>
          <w:rFonts w:eastAsia="Times New Roman"/>
          <w:noProof/>
        </w:rPr>
        <w:t xml:space="preserve"> Stakeholders most frequently addressed the need for appropriate measures to avoid the diversion of waste to landfilling should municipal waste incineration be included in the EU ETS. Views were divided, however, on the preferred measures. Out of 161 respondents addressing this concern, slightly more than half (83 responses; 51.5%) favoured stronger regulatory and fiscal policies, including strengthening the Landfill Directive, advancing landfill bans, or taxation, or generally called for an appropriate tool to be assessed in view of the complexities in terms of measurement and verification of methane emissions, while just below half (78 respondents; 48.5%) supported an inclusion of landfilling in the EU ETS. These responses include seven campaigns primarily by companies/businesses and business associations from the waste and waste-to-energy sectors (73 responses in total) advocating a holistic, sector-wide approach to EU ETS inclusion to ensure a level playing field, primarily for landfilling. Conversely, one campaign by local public waste management authorities located in one Member State (25 responses in total) strongly opposed the inclusion of landfills in the EU ETS on the grounds of already existing taxation. </w:t>
      </w:r>
    </w:p>
    <w:p w14:paraId="0B316121" w14:textId="77777777" w:rsidR="00A71942" w:rsidRPr="001747A7" w:rsidRDefault="00A71942" w:rsidP="00E276C8">
      <w:pPr>
        <w:spacing w:line="240" w:lineRule="auto"/>
        <w:rPr>
          <w:rFonts w:eastAsia="Times New Roman"/>
          <w:noProof/>
        </w:rPr>
      </w:pPr>
      <w:r w:rsidRPr="1FC5E705">
        <w:rPr>
          <w:rFonts w:eastAsia="Times New Roman"/>
          <w:noProof/>
        </w:rPr>
        <w:t>Other waste management activities were mentioned much less frequently, with the majority of those responses opposing the inclusion of mechanical recycling, anaerobic digestion or composting on the grounds that these waste management processes should be incentivised in the waste hierarchy compared to either incineration or landfilling. Views on chemical recycling were more divided. Out of around 30 respondents, one third advocated for the inclusion of all chemical recycling processes in the EU ETS, one third only for the inclusion of recovery or conversion technologies such as pyrolysis and gasification on the grounds that those involve a substantial degree of fossil fuel use and emissions, and one third opposed any inclusion of chemical recycling processes on the grounds of supporting innovative recycling approaches in line with the waste hierarchy.</w:t>
      </w:r>
    </w:p>
    <w:p w14:paraId="0067F653" w14:textId="77777777" w:rsidR="00A71942" w:rsidRPr="00AA5D61" w:rsidRDefault="00A71942" w:rsidP="00E276C8">
      <w:pPr>
        <w:pStyle w:val="Heading3COM"/>
        <w:spacing w:before="120" w:after="120" w:line="240" w:lineRule="auto"/>
        <w:outlineLvl w:val="4"/>
        <w:rPr>
          <w:noProof/>
        </w:rPr>
      </w:pPr>
      <w:bookmarkStart w:id="134" w:name="_Toc211458530"/>
      <w:bookmarkStart w:id="135" w:name="_Toc231304641"/>
      <w:bookmarkStart w:id="136" w:name="_Toc232611447"/>
      <w:bookmarkStart w:id="137" w:name="_Toc232758127"/>
      <w:r>
        <w:rPr>
          <w:noProof/>
        </w:rPr>
        <w:t>20MW Threshold</w:t>
      </w:r>
      <w:bookmarkEnd w:id="134"/>
      <w:bookmarkEnd w:id="135"/>
      <w:bookmarkEnd w:id="136"/>
      <w:bookmarkEnd w:id="137"/>
    </w:p>
    <w:p w14:paraId="2F617EA2"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A majority of respondents opposed lowering the installation capacity threshold to expand the pool of installations covered by the EU ETS. In total, 44% strongly (75 out of 245; 31%) or rather (33; 13%) disagreed, mainly companies/businesses and business associations. Conversely, 27% rather (37; 15%) or strongly (29; 12%) agreed, including most NGOs and environmental organisations. 15% (37 respondents) were neutral and 14% (34 respondents) were uncertain. In addition, four campaigns by companies/businesses and business associations in the manufacturing industry sector and one by local public waste management authorities (46 respondents in total) also opposed lowering the threshold, while two campaigns by NGOs in the waste sector and local waste-to-energy companies located in one Member State (27 respondents in total) supported it. These responses further amplify the results, leading to almost half of respondents (48%) opposing lowering the threshold. </w:t>
      </w:r>
    </w:p>
    <w:p w14:paraId="4A43D456" w14:textId="77777777" w:rsidR="00A71942" w:rsidRPr="00AA5D61" w:rsidRDefault="00A71942" w:rsidP="00E276C8">
      <w:pPr>
        <w:pStyle w:val="Heading3COM"/>
        <w:spacing w:before="120" w:after="120" w:line="240" w:lineRule="auto"/>
        <w:outlineLvl w:val="4"/>
        <w:rPr>
          <w:noProof/>
        </w:rPr>
      </w:pPr>
      <w:bookmarkStart w:id="138" w:name="_Toc211458531"/>
      <w:bookmarkStart w:id="139" w:name="_Toc231304642"/>
      <w:bookmarkStart w:id="140" w:name="_Toc232611448"/>
      <w:bookmarkStart w:id="141" w:name="_Toc232758128"/>
      <w:r>
        <w:rPr>
          <w:noProof/>
        </w:rPr>
        <w:t>Linking</w:t>
      </w:r>
      <w:bookmarkEnd w:id="138"/>
      <w:bookmarkEnd w:id="139"/>
      <w:bookmarkEnd w:id="140"/>
      <w:bookmarkEnd w:id="141"/>
    </w:p>
    <w:p w14:paraId="2735B40C" w14:textId="77777777" w:rsidR="00A71942" w:rsidRPr="00AA5D61" w:rsidRDefault="00A71942" w:rsidP="00E276C8">
      <w:pPr>
        <w:spacing w:line="240" w:lineRule="auto"/>
        <w:rPr>
          <w:rFonts w:eastAsia="Times New Roman"/>
          <w:noProof/>
          <w:color w:val="242828"/>
        </w:rPr>
      </w:pPr>
      <w:r w:rsidRPr="4CC0E199">
        <w:rPr>
          <w:rFonts w:eastAsia="Times New Roman"/>
          <w:noProof/>
          <w:color w:val="242828"/>
        </w:rPr>
        <w:t>A clear majority of respondents (221 out of 265; 83%), across all stakeholder groups, indicated that the EU should pursue further linking opportunities between the EU ETS and other emissions trading systems. Only a small share indicated that no further linking should be pursued (11 responses; 4%) or was uncertain (34 responses; 13%). The most frequently provided motivations</w:t>
      </w:r>
      <w:r w:rsidRPr="1FC5E705">
        <w:rPr>
          <w:rFonts w:eastAsia="Times New Roman"/>
          <w:noProof/>
          <w:vertAlign w:val="superscript"/>
        </w:rPr>
        <w:footnoteReference w:id="23"/>
      </w:r>
      <w:r w:rsidRPr="001747A7">
        <w:rPr>
          <w:rFonts w:eastAsia="Times New Roman"/>
          <w:noProof/>
          <w:color w:val="242828"/>
          <w:vertAlign w:val="superscript"/>
        </w:rPr>
        <w:t xml:space="preserve"> </w:t>
      </w:r>
      <w:r w:rsidRPr="4CC0E199">
        <w:rPr>
          <w:rFonts w:eastAsia="Times New Roman"/>
          <w:noProof/>
          <w:color w:val="242828"/>
        </w:rPr>
        <w:t>were to reduce the risk of carbon leakage (24% of responses), followed by improving the cost-effectiveness of emissions reductions through price convergence (20% of responses) and supporting liquidity in the market (19% of responses), and reinforcing EU leadership on global carbon pricing and climate change mitigation (13% of responses, mainly from NGOs).</w:t>
      </w:r>
    </w:p>
    <w:p w14:paraId="5248EACD" w14:textId="77777777" w:rsidR="00A71942" w:rsidRPr="00AA5D61" w:rsidRDefault="00A71942" w:rsidP="00E276C8">
      <w:pPr>
        <w:pStyle w:val="Heading2COM"/>
        <w:spacing w:before="120" w:after="120" w:line="240" w:lineRule="auto"/>
        <w:outlineLvl w:val="2"/>
        <w15:collapsed w:val="0"/>
        <w:rPr>
          <w:noProof/>
        </w:rPr>
      </w:pPr>
      <w:bookmarkStart w:id="142" w:name="_Toc211458532"/>
      <w:bookmarkStart w:id="143" w:name="_Toc231304643"/>
      <w:bookmarkStart w:id="144" w:name="_Toc232611449"/>
      <w:bookmarkStart w:id="145" w:name="_Toc232758129"/>
      <w:r>
        <w:rPr>
          <w:noProof/>
        </w:rPr>
        <w:t>Position papers</w:t>
      </w:r>
      <w:bookmarkEnd w:id="142"/>
      <w:bookmarkEnd w:id="143"/>
      <w:bookmarkEnd w:id="144"/>
      <w:bookmarkEnd w:id="145"/>
    </w:p>
    <w:p w14:paraId="5264AE63" w14:textId="77777777" w:rsidR="00A71942" w:rsidRPr="00AA5D61" w:rsidRDefault="00A71942" w:rsidP="00E276C8">
      <w:pPr>
        <w:spacing w:line="240" w:lineRule="auto"/>
        <w:rPr>
          <w:rFonts w:eastAsia="Times New Roman"/>
          <w:noProof/>
          <w:color w:val="242828"/>
        </w:rPr>
      </w:pPr>
      <w:r w:rsidRPr="1FC5E705">
        <w:rPr>
          <w:rFonts w:eastAsia="Times New Roman"/>
          <w:noProof/>
        </w:rPr>
        <w:t>A total of 404 contributions were submitted in the form of position papers and/or feedback on the Call for evidence. More than two thirds came from business associations (156; 39%) or companies/businesses (127; 31%), while NGOs accounted for one tenth (42; 10%). Remaining papers included positions from public authorities, academia, environmental organisation, trade unions and others. Most contributions (258; 64%) addressed one or more topics related to stationary installations. 28 contributions (7%) focused exclusively on aviation emissions, 64 (16%) focused solely on maritime emissions, while another 8 contributions (2%) covered both maritime and aviation emissions. Finally, 42 contributions (10%) focused on topics across all sectors. 6 contributions (1%) did not address any of these topics. The majority opinions put forward in the group of stakeholders that submitted position papers were overall aligned with the majority opinions put forward by all stakeholders in the OPC questionnaire.</w:t>
      </w:r>
    </w:p>
    <w:p w14:paraId="7B82E5BA" w14:textId="77777777" w:rsidR="00A71942" w:rsidRPr="00AA5D61" w:rsidRDefault="00A71942" w:rsidP="00E276C8">
      <w:pPr>
        <w:pStyle w:val="Heading3COM"/>
        <w:spacing w:before="120" w:after="120" w:line="240" w:lineRule="auto"/>
        <w:outlineLvl w:val="3"/>
        <w:rPr>
          <w:noProof/>
        </w:rPr>
      </w:pPr>
      <w:bookmarkStart w:id="146" w:name="_Toc231304644"/>
      <w:bookmarkStart w:id="147" w:name="_Toc232611450"/>
      <w:bookmarkStart w:id="148" w:name="_Toc232758130"/>
      <w:r>
        <w:rPr>
          <w:noProof/>
        </w:rPr>
        <w:t>Aviation</w:t>
      </w:r>
      <w:bookmarkEnd w:id="146"/>
      <w:bookmarkEnd w:id="147"/>
      <w:bookmarkEnd w:id="148"/>
    </w:p>
    <w:p w14:paraId="67B401A3" w14:textId="77777777" w:rsidR="00A71942" w:rsidRPr="00AA5D61" w:rsidRDefault="00A71942" w:rsidP="00E276C8">
      <w:pPr>
        <w:spacing w:line="240" w:lineRule="auto"/>
        <w:rPr>
          <w:rFonts w:eastAsia="Times New Roman"/>
          <w:noProof/>
        </w:rPr>
      </w:pPr>
      <w:r w:rsidRPr="1FC5E705">
        <w:rPr>
          <w:rFonts w:eastAsia="Times New Roman"/>
          <w:noProof/>
        </w:rPr>
        <w:t xml:space="preserve">A total of 56 position papers were identified as being relevant to aviation, with 26 papers solely targeting the sector. Submissions came from a broad spectrum of organisations including, among others: business associations (36%), private companies (29%), NGOs (18%), public authorities (7%), and environmental organisations (5%). “Overall scope and adequacy” of CORSIA and ETS (43 papers), “Sustainable aviation fuels” (33 papers) and “Competitiveness, market distortion, and carbon leakage” (31 papers) were the most frequently addressed themes. Business associations, environmental organisations, and public authorities all agreed that ETS revenues should be better utilised to support aviation decarbonisation, despite expressing different objectives and framing on the topic.  Different contributions across highlighted themes reflected the stakeholders’ contrasting priorities. In particular, stakeholders were strongly divided on the suitability of ETS and CORSIA to contribute to the sector’s decarbonisation. Business association and companies expressed strong reservations to expand the ETS scope covering extra-EEA flights, while environmental organisations and NGOs criticised the ETS for its limited geographical coverage. Similarly, business association and companies supported CORSIA as the primary global mechanism to address the sector’s climate impact, while the latter questioned CORSIA’s environmental credibility, especially citing concerns with its reliance on offsetting. Public authorities maintained a more balanced stance, while urging to retain ETS policy ambition to ensure environmental integrity. </w:t>
      </w:r>
    </w:p>
    <w:p w14:paraId="7FAFA7CC" w14:textId="77777777" w:rsidR="00A71942" w:rsidRPr="00AA5D61" w:rsidRDefault="00A71942" w:rsidP="00E276C8">
      <w:pPr>
        <w:pStyle w:val="Heading3COM"/>
        <w:spacing w:before="120" w:after="120" w:line="240" w:lineRule="auto"/>
        <w:outlineLvl w:val="3"/>
        <w:rPr>
          <w:noProof/>
        </w:rPr>
      </w:pPr>
      <w:bookmarkStart w:id="149" w:name="_Toc231304645"/>
      <w:bookmarkStart w:id="150" w:name="_Toc232611451"/>
      <w:bookmarkStart w:id="151" w:name="_Toc232758131"/>
      <w:r>
        <w:rPr>
          <w:noProof/>
        </w:rPr>
        <w:t>Maritime</w:t>
      </w:r>
      <w:bookmarkEnd w:id="149"/>
      <w:bookmarkEnd w:id="150"/>
      <w:bookmarkEnd w:id="151"/>
    </w:p>
    <w:p w14:paraId="10C5384B" w14:textId="77777777" w:rsidR="00A71942" w:rsidRPr="00AA5D61" w:rsidRDefault="00A71942" w:rsidP="00E276C8">
      <w:pPr>
        <w:spacing w:line="240" w:lineRule="auto"/>
        <w:rPr>
          <w:rFonts w:eastAsia="Times New Roman"/>
          <w:noProof/>
          <w:color w:val="242828"/>
        </w:rPr>
      </w:pPr>
      <w:r w:rsidRPr="1FC5E705">
        <w:rPr>
          <w:rFonts w:eastAsia="Times New Roman"/>
          <w:noProof/>
        </w:rPr>
        <w:t>A total of 88 position papers were identified as being relevant to maritime and were reviewed, checking for issues and proposed measures related to the maritime sector. Stakeholders emphasised the need for alignment of EU maritime measures with international frameworks, particularly harmonising the EU ETS, FuelEU Maritime, and IMO NZF. Several proposed legislative updates, international coordination, and potential phase-out of the EU ETS upon IMO NZF adoption. Others called for mechanisms to prevent overlapping regulation, while some supported maintaining a strengthened EU ETS to drive global decarbonisation. To address evasion risks, some stakeholders recommended monitoring measures and adjustments to scope and thresholds. On vessel coverage, many supported lowering the EU ETS threshold to 400 GT, with calls for proportional MRV and clearer ship type definitions. Regarding fuels, stakeholders advocated using EU ETS revenues to bridge clean fuel cost gaps, harmonise reporting, and recognise life-cycle emissions. There was broad support for extending derogations for outermost and peripheral routes and targeted exemptions for specific vessel types. Simplification was commonly highlighted, with strong support for harmonised MRV systems and reduced administrative burden. Clarification of the "shipping company" definition was also sought to streamline compliance. On biofuels, some stakeholders recommended limiting zero-rating to advanced and sustainable fuels. Finally, many called for allocating EU ETS revenues to accelerate GHG mitigation through investments in clean fuels, technologies, and fleet upgrades.</w:t>
      </w:r>
    </w:p>
    <w:p w14:paraId="790D6065" w14:textId="77777777" w:rsidR="00A71942" w:rsidRPr="00AA5D61" w:rsidRDefault="00A71942" w:rsidP="00E276C8">
      <w:pPr>
        <w:pStyle w:val="Heading3COM"/>
        <w:spacing w:before="120" w:after="120" w:line="240" w:lineRule="auto"/>
        <w:outlineLvl w:val="3"/>
        <w:rPr>
          <w:noProof/>
        </w:rPr>
      </w:pPr>
      <w:bookmarkStart w:id="152" w:name="_Toc231304646"/>
      <w:bookmarkStart w:id="153" w:name="_Toc232611452"/>
      <w:bookmarkStart w:id="154" w:name="_Toc232758132"/>
      <w:r>
        <w:rPr>
          <w:noProof/>
        </w:rPr>
        <w:t>Measures to address carbon leakage</w:t>
      </w:r>
      <w:bookmarkEnd w:id="152"/>
      <w:bookmarkEnd w:id="153"/>
      <w:bookmarkEnd w:id="154"/>
    </w:p>
    <w:p w14:paraId="11380A04"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Carbon leakage was a widespread concern among stakeholders. Out of the 47 respondents commenting specifically on this topic, roughly four out of five, mainly companies and business associations, advocated maintaining and improving free allocation, particularly for sectors not covered by the CBAM. A minority (one fifth), mainly NGOs, called for a complete phase-out of free allocation to fully implement the “polluter pays” principle and accelerate decarbonisation. Harmonising ICCC across Member States received support, by 25.5%. The CBAM is widely regarded as a crucial instrument, though a minority, mainly companies, suggest amendments such as simplification and scope extension. </w:t>
      </w:r>
    </w:p>
    <w:p w14:paraId="2DE4F0BB" w14:textId="77777777" w:rsidR="00A71942" w:rsidRPr="00AA5D61" w:rsidRDefault="00A71942" w:rsidP="00E276C8">
      <w:pPr>
        <w:pStyle w:val="Heading3COM"/>
        <w:spacing w:before="120" w:after="120" w:line="240" w:lineRule="auto"/>
        <w:outlineLvl w:val="3"/>
        <w:rPr>
          <w:noProof/>
        </w:rPr>
      </w:pPr>
      <w:bookmarkStart w:id="155" w:name="_Toc231304647"/>
      <w:bookmarkStart w:id="156" w:name="_Toc232611453"/>
      <w:bookmarkStart w:id="157" w:name="_Toc232758133"/>
      <w:r>
        <w:rPr>
          <w:noProof/>
        </w:rPr>
        <w:t>Revenue use</w:t>
      </w:r>
      <w:bookmarkEnd w:id="155"/>
      <w:bookmarkEnd w:id="156"/>
      <w:bookmarkEnd w:id="157"/>
    </w:p>
    <w:p w14:paraId="42F3EF07"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Respondents commenting on revenue use (103) mostly urged to ensure that ETS revenues are reinvested in decarbonisation efforts and industry support (65%). A common suggestion was to increase funding and improve access to instruments such as the Innovation Fund and the Modernisation Fund. Some, from across various stakeholder types, called for strengthening the transparency and accountability of Member States in how ETS revenues are spent (10%). </w:t>
      </w:r>
    </w:p>
    <w:p w14:paraId="2325C91E" w14:textId="77777777" w:rsidR="00A71942" w:rsidRPr="00AA5D61" w:rsidRDefault="00A71942" w:rsidP="00E276C8">
      <w:pPr>
        <w:pStyle w:val="Heading3COM"/>
        <w:spacing w:before="120" w:after="120" w:line="240" w:lineRule="auto"/>
        <w:outlineLvl w:val="3"/>
        <w:rPr>
          <w:noProof/>
        </w:rPr>
      </w:pPr>
      <w:bookmarkStart w:id="158" w:name="_Toc231304648"/>
      <w:bookmarkStart w:id="159" w:name="_Toc232611454"/>
      <w:bookmarkStart w:id="160" w:name="_Toc232758134"/>
      <w:r>
        <w:rPr>
          <w:noProof/>
        </w:rPr>
        <w:t>Market Stability Reserve (MSR)</w:t>
      </w:r>
      <w:bookmarkEnd w:id="158"/>
      <w:bookmarkEnd w:id="159"/>
      <w:bookmarkEnd w:id="160"/>
    </w:p>
    <w:p w14:paraId="7BA15B1D"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Overall, stakeholders consider the MSR to be effective in stabilising the carbon price. However, three quarters of respondents (81) who commented on the MSR, mainly companies and business associations, called for measures to improve predictability, enhance market liquidity, reduce price volatility, and adapt to the declining allowance supply after 2030. Two main proposals emerged to address these challenges: stopping the invalidation of allowances and using allowances held in the MSR to finance industrial decarbonisation efforts. </w:t>
      </w:r>
    </w:p>
    <w:p w14:paraId="783151DB" w14:textId="77777777" w:rsidR="00A71942" w:rsidRPr="00AA5D61" w:rsidRDefault="00A71942" w:rsidP="00E276C8">
      <w:pPr>
        <w:pStyle w:val="Heading3COM"/>
        <w:spacing w:before="120" w:after="120" w:line="240" w:lineRule="auto"/>
        <w:outlineLvl w:val="3"/>
        <w:rPr>
          <w:noProof/>
        </w:rPr>
      </w:pPr>
      <w:bookmarkStart w:id="161" w:name="_Toc231304649"/>
      <w:bookmarkStart w:id="162" w:name="_Toc232611455"/>
      <w:bookmarkStart w:id="163" w:name="_Toc232758135"/>
      <w:r>
        <w:rPr>
          <w:noProof/>
        </w:rPr>
        <w:t>New technologies</w:t>
      </w:r>
      <w:bookmarkEnd w:id="161"/>
      <w:bookmarkEnd w:id="162"/>
      <w:bookmarkEnd w:id="163"/>
    </w:p>
    <w:p w14:paraId="171E352C" w14:textId="77777777" w:rsidR="00A71942" w:rsidRPr="00AA5D61" w:rsidRDefault="00A71942" w:rsidP="00E276C8">
      <w:pPr>
        <w:spacing w:line="240" w:lineRule="auto"/>
        <w:rPr>
          <w:rFonts w:eastAsia="Times New Roman"/>
          <w:noProof/>
          <w:color w:val="242828"/>
        </w:rPr>
      </w:pPr>
      <w:r w:rsidRPr="1FC5E705">
        <w:rPr>
          <w:rFonts w:eastAsia="Times New Roman"/>
          <w:noProof/>
        </w:rPr>
        <w:t>Almost all of the stakeholders who commented on the integration of carbon removals into the EU ETS (94), mainly companies and business associations, support the integration of permanent CDR, particularly CRCF-certified methods such as BECCS and DACCS. They often recommended applying a “like-for-like” principle to ensure that permanent emissions are offset by permanent removals. A phased or cautious approach to integration is also frequently suggested, combined with measures such as the involvement of an intermediary agency or the introduction of volume limits to avoid undermining emission reduction incentives.</w:t>
      </w:r>
    </w:p>
    <w:p w14:paraId="7CEAA123" w14:textId="77777777" w:rsidR="00A71942" w:rsidRPr="00AA5D61" w:rsidRDefault="00A71942" w:rsidP="00E276C8">
      <w:pPr>
        <w:spacing w:line="240" w:lineRule="auto"/>
        <w:rPr>
          <w:rFonts w:eastAsia="Times New Roman"/>
          <w:noProof/>
          <w:color w:val="242828"/>
        </w:rPr>
      </w:pPr>
      <w:r w:rsidRPr="1FC5E705">
        <w:rPr>
          <w:rFonts w:eastAsia="Times New Roman"/>
          <w:noProof/>
        </w:rPr>
        <w:t>Only a small fraction of position papers (34) commented on integration of CCU applications into the ETS. A large share of those (82.4%, 28 stakeholders) supported the integration. Where stakeholders supported adjustments for CCU (roughly one fifth of the 28 stakeholders), they call for clear accounting rules and preferential incentives over fossil feedstocks.</w:t>
      </w:r>
    </w:p>
    <w:p w14:paraId="5034B8D8" w14:textId="77777777" w:rsidR="00A71942" w:rsidRPr="00AA5D61" w:rsidRDefault="00A71942" w:rsidP="00E276C8">
      <w:pPr>
        <w:pStyle w:val="Heading3COM"/>
        <w:spacing w:before="120" w:after="120" w:line="240" w:lineRule="auto"/>
        <w:outlineLvl w:val="3"/>
        <w:rPr>
          <w:noProof/>
        </w:rPr>
      </w:pPr>
      <w:bookmarkStart w:id="164" w:name="_Toc231304650"/>
      <w:bookmarkStart w:id="165" w:name="_Toc232611456"/>
      <w:bookmarkStart w:id="166" w:name="_Toc232758136"/>
      <w:r>
        <w:rPr>
          <w:noProof/>
        </w:rPr>
        <w:t>Potential expansion of the scope of the Directive</w:t>
      </w:r>
      <w:bookmarkEnd w:id="164"/>
      <w:bookmarkEnd w:id="165"/>
      <w:bookmarkEnd w:id="166"/>
    </w:p>
    <w:p w14:paraId="11A41D80"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Many respondents (118) commented on the potential inclusion of MWI in the EU ETS, with most (63 respondents, 53%), mainly companies, business associations and NGOs, supporting the inclusion to incentivise recycling and emission reductions. On the other hand, a smaller minority (55 respondents, 47%), composed of business associations, companies and public authorities, opposed MWI inclusion on the grounds of potential cost increases for citizens and municipalities, as well as the risk of distorting the waste hierarchy through increased landfilling or waste exports. Both sides recommended including landfilling to prevent waste diversion. 7 stakeholders (business associations, companies and public authorities) also suggested exempting hazardous waste incineration from the ETS. </w:t>
      </w:r>
    </w:p>
    <w:p w14:paraId="600C619C" w14:textId="77777777" w:rsidR="00A71942" w:rsidRPr="00AA5D61" w:rsidRDefault="00A71942" w:rsidP="00E276C8">
      <w:pPr>
        <w:pStyle w:val="Heading3COM"/>
        <w:spacing w:before="120" w:after="120" w:line="240" w:lineRule="auto"/>
        <w:outlineLvl w:val="3"/>
        <w:rPr>
          <w:noProof/>
        </w:rPr>
      </w:pPr>
      <w:bookmarkStart w:id="167" w:name="_Toc231304651"/>
      <w:bookmarkStart w:id="168" w:name="_Toc232611457"/>
      <w:bookmarkStart w:id="169" w:name="_Toc232758137"/>
      <w:r>
        <w:rPr>
          <w:noProof/>
        </w:rPr>
        <w:t>20MW threshold</w:t>
      </w:r>
      <w:bookmarkEnd w:id="167"/>
      <w:bookmarkEnd w:id="168"/>
      <w:bookmarkEnd w:id="169"/>
    </w:p>
    <w:p w14:paraId="56097AA8" w14:textId="77777777" w:rsidR="00A71942" w:rsidRPr="00AA5D61" w:rsidRDefault="00A71942" w:rsidP="00E276C8">
      <w:pPr>
        <w:spacing w:line="240" w:lineRule="auto"/>
        <w:rPr>
          <w:rFonts w:eastAsia="Times New Roman"/>
          <w:noProof/>
          <w:color w:val="242828"/>
        </w:rPr>
      </w:pPr>
      <w:r w:rsidRPr="1FC5E705">
        <w:rPr>
          <w:rFonts w:eastAsia="Times New Roman"/>
          <w:noProof/>
        </w:rPr>
        <w:t>The issue of lowering the 20 MW thermal input threshold for stationary installations attracted few comments (29), of whom two thirds (19), mainly business associations and companies, opposed on the grounds of the disproportionate administrative burden on smaller emitters, whereas one third (10), mostly NGOs, argued that lowering the threshold could encourage wider adoption of clean technologies and ensure consistency between ETS1 and ETS2.</w:t>
      </w:r>
    </w:p>
    <w:p w14:paraId="44B368D4" w14:textId="77777777" w:rsidR="00A71942" w:rsidRPr="00AA5D61" w:rsidRDefault="00A71942" w:rsidP="00E276C8">
      <w:pPr>
        <w:pStyle w:val="Heading2COM"/>
        <w:spacing w:before="120" w:after="120" w:line="240" w:lineRule="auto"/>
        <w:outlineLvl w:val="2"/>
        <w15:collapsed w:val="0"/>
        <w:rPr>
          <w:noProof/>
        </w:rPr>
      </w:pPr>
      <w:bookmarkStart w:id="170" w:name="_Toc211458533"/>
      <w:bookmarkStart w:id="171" w:name="_Toc231304652"/>
      <w:bookmarkStart w:id="172" w:name="_Toc232611458"/>
      <w:bookmarkStart w:id="173" w:name="_Toc232758138"/>
      <w:r>
        <w:rPr>
          <w:noProof/>
        </w:rPr>
        <w:t>Interviews</w:t>
      </w:r>
      <w:bookmarkEnd w:id="170"/>
      <w:bookmarkEnd w:id="171"/>
      <w:bookmarkEnd w:id="172"/>
      <w:bookmarkEnd w:id="173"/>
    </w:p>
    <w:p w14:paraId="31C97923" w14:textId="77777777" w:rsidR="00A71942" w:rsidRPr="00AA5D61" w:rsidRDefault="00A71942" w:rsidP="00E276C8">
      <w:pPr>
        <w:spacing w:line="240" w:lineRule="auto"/>
        <w:rPr>
          <w:rFonts w:eastAsia="Times New Roman"/>
          <w:noProof/>
          <w:color w:val="242828"/>
        </w:rPr>
      </w:pPr>
      <w:r w:rsidRPr="1FC5E705">
        <w:rPr>
          <w:rFonts w:eastAsia="Times New Roman"/>
          <w:noProof/>
        </w:rPr>
        <w:t xml:space="preserve">In addition to the open public consultation, stakeholder interviews were conducted to collect further evidence for use in both the evaluation and the impact assessment. The interview process enabled a range of stakeholders to provide more detailed input complementing and expanding on the questions in the OPC. All input and conclusions from the interviews were taken into consideration to inform and complement the quantitative and qualitative research throughout the evaluation and impact assessment.   </w:t>
      </w:r>
    </w:p>
    <w:p w14:paraId="193911AD" w14:textId="77777777" w:rsidR="00A71942" w:rsidRPr="00AA5D61" w:rsidRDefault="00A71942" w:rsidP="00E276C8">
      <w:pPr>
        <w:spacing w:line="240" w:lineRule="auto"/>
        <w:rPr>
          <w:rFonts w:eastAsia="Times New Roman"/>
          <w:noProof/>
          <w:color w:val="242828"/>
        </w:rPr>
      </w:pPr>
      <w:r w:rsidRPr="1FC5E705">
        <w:rPr>
          <w:rFonts w:eastAsia="Times New Roman"/>
          <w:noProof/>
        </w:rPr>
        <w:t>In preparation for each interview, semi-structured questions were sent in advance to each stakeholder to allow for written input to be submitted. Stakeholders engaged constructively in the process providing detailed information that allowed for the interview to focus on the key issues that were identified. Over 50 interviews were conducted by the research team, with considerable efforts made to ensure that there was a balanced representation across sectors when discussing issues related to carbon leakage, the Market Stability Reserve and the options for best accounting for CCU use. In addition, technical experts were also consulted to discuss the more detailed design questions related to the topic of integrating carbon removals into the EU ETS and, given the potential expansion of the ETS scope to include waste activities, a considerable effort was made to interview a range of stakeholders from the waste sector to discuss the potential impact.</w:t>
      </w:r>
    </w:p>
    <w:p w14:paraId="3D67EB25" w14:textId="77777777" w:rsidR="00A71942" w:rsidRPr="00AA5D61" w:rsidRDefault="00A71942" w:rsidP="00E276C8">
      <w:pPr>
        <w:spacing w:line="240" w:lineRule="auto"/>
        <w:rPr>
          <w:noProof/>
        </w:rPr>
      </w:pPr>
    </w:p>
    <w:p w14:paraId="56B4C75A" w14:textId="77777777" w:rsidR="00A71942" w:rsidRDefault="00A71942" w:rsidP="00E276C8">
      <w:pPr>
        <w:spacing w:line="240" w:lineRule="auto"/>
        <w:rPr>
          <w:noProof/>
        </w:rPr>
      </w:pPr>
    </w:p>
    <w:p w14:paraId="7050AA86" w14:textId="77777777" w:rsidR="00A71942" w:rsidRDefault="00A71942" w:rsidP="00E276C8">
      <w:pPr>
        <w:spacing w:line="240" w:lineRule="auto"/>
        <w:jc w:val="left"/>
        <w:rPr>
          <w:rFonts w:eastAsia="Times New Roman"/>
          <w:b/>
          <w:bCs/>
          <w:smallCaps/>
          <w:noProof/>
          <w:sz w:val="32"/>
          <w:szCs w:val="32"/>
        </w:rPr>
      </w:pPr>
      <w:bookmarkStart w:id="174" w:name="_Toc212595111"/>
      <w:bookmarkStart w:id="175" w:name="_Toc223012111"/>
      <w:bookmarkStart w:id="176" w:name="_Toc225152954"/>
      <w:r>
        <w:rPr>
          <w:noProof/>
        </w:rPr>
        <w:br w:type="page"/>
      </w:r>
    </w:p>
    <w:p w14:paraId="61AAC6EC" w14:textId="77777777" w:rsidR="00A71942" w:rsidRDefault="00A71942" w:rsidP="00E276C8">
      <w:pPr>
        <w:pStyle w:val="AnnexTitle"/>
        <w:spacing w:before="120" w:after="120" w:line="240" w:lineRule="auto"/>
        <w:rPr>
          <w:noProof/>
        </w:rPr>
      </w:pPr>
      <w:bookmarkStart w:id="177" w:name="_Toc232758139"/>
      <w:r>
        <w:rPr>
          <w:noProof/>
        </w:rPr>
        <w:t>Annex 3: Who is affected by the initiative and how?</w:t>
      </w:r>
      <w:bookmarkEnd w:id="174"/>
      <w:bookmarkEnd w:id="175"/>
      <w:bookmarkEnd w:id="176"/>
      <w:bookmarkEnd w:id="177"/>
    </w:p>
    <w:p w14:paraId="6F9E2978" w14:textId="77777777" w:rsidR="00A71942" w:rsidRDefault="00A71942" w:rsidP="00E276C8">
      <w:pPr>
        <w:pStyle w:val="Heading1COM"/>
        <w:numPr>
          <w:ilvl w:val="0"/>
          <w:numId w:val="89"/>
        </w:numPr>
        <w:spacing w:before="120" w:after="120" w:line="240" w:lineRule="auto"/>
        <w:outlineLvl w:val="1"/>
        <w:rPr>
          <w:noProof/>
        </w:rPr>
      </w:pPr>
      <w:bookmarkStart w:id="178" w:name="_Toc212595112"/>
      <w:bookmarkStart w:id="179" w:name="_Toc225152956"/>
      <w:bookmarkStart w:id="180" w:name="_Toc232611459"/>
      <w:bookmarkStart w:id="181" w:name="_Toc232758140"/>
      <w:r>
        <w:rPr>
          <w:noProof/>
        </w:rPr>
        <w:t>Practical implications of the initiative</w:t>
      </w:r>
      <w:bookmarkEnd w:id="178"/>
      <w:bookmarkEnd w:id="179"/>
      <w:bookmarkEnd w:id="180"/>
      <w:bookmarkEnd w:id="181"/>
    </w:p>
    <w:p w14:paraId="21A9C35A" w14:textId="77777777" w:rsidR="00A71942" w:rsidRPr="00303DB1" w:rsidRDefault="00A71942" w:rsidP="00E276C8">
      <w:pPr>
        <w:spacing w:line="240" w:lineRule="auto"/>
        <w:rPr>
          <w:noProof/>
        </w:rPr>
      </w:pPr>
      <w:r>
        <w:rPr>
          <w:noProof/>
        </w:rPr>
        <w:t>The EU ETS is the European Union’s main instrument for cost-effective emissions reductions. The preferred policy option identified in Section 8 of the main Impact Assessment report for the period 2031-2040 builds on the existing ETS framework, while introducing targeted adjustments to ensure that the system remains aligned with the EU’s 2040 climate target and the pathway towards climate neutrality by 2050. The preferred option combines a series of policy measures identified for each thematic area, aimed at strengthening the environmental effectiveness of the system while maintaining proportionality, regulatory stability, and fairness across sectors.</w:t>
      </w:r>
    </w:p>
    <w:p w14:paraId="08B816C3" w14:textId="77777777" w:rsidR="00A71942" w:rsidRPr="00303DB1" w:rsidRDefault="00A71942" w:rsidP="00E276C8">
      <w:pPr>
        <w:spacing w:line="240" w:lineRule="auto"/>
        <w:rPr>
          <w:noProof/>
        </w:rPr>
      </w:pPr>
      <w:r>
        <w:rPr>
          <w:noProof/>
        </w:rPr>
        <w:t>The proposed reforms maintain the existing compliance framework of the EU ETS, while introducing new obligations and compliance actions on specific groups of operators and administrations during the 2031-2040 period.</w:t>
      </w:r>
    </w:p>
    <w:p w14:paraId="194DD9C2" w14:textId="77777777" w:rsidR="00A71942" w:rsidRPr="0097769D" w:rsidRDefault="00A71942" w:rsidP="00E276C8">
      <w:pPr>
        <w:spacing w:line="240" w:lineRule="auto"/>
        <w:rPr>
          <w:noProof/>
        </w:rPr>
      </w:pPr>
      <w:r>
        <w:rPr>
          <w:noProof/>
        </w:rPr>
        <w:t>Therefore, the preferred option introduces measures that are expected to affect transversely different stakeholders, including industry, SMEs and micro-enterprises, public authorities, and citizens.</w:t>
      </w:r>
    </w:p>
    <w:p w14:paraId="5AA7B3AD" w14:textId="77777777" w:rsidR="00A71942" w:rsidRPr="007A369F" w:rsidRDefault="00A71942" w:rsidP="00E276C8">
      <w:pPr>
        <w:pStyle w:val="Heading2COM"/>
        <w:spacing w:before="120" w:after="120" w:line="240" w:lineRule="auto"/>
        <w:outlineLvl w:val="2"/>
        <w15:collapsed w:val="0"/>
        <w:rPr>
          <w:noProof/>
        </w:rPr>
      </w:pPr>
      <w:bookmarkStart w:id="182" w:name="_Toc225152957"/>
      <w:bookmarkStart w:id="183" w:name="_Toc232611460"/>
      <w:bookmarkStart w:id="184" w:name="_Toc232758141"/>
      <w:r>
        <w:rPr>
          <w:noProof/>
        </w:rPr>
        <w:t>Effects on regulated entities</w:t>
      </w:r>
      <w:bookmarkEnd w:id="182"/>
      <w:bookmarkEnd w:id="183"/>
      <w:bookmarkEnd w:id="184"/>
    </w:p>
    <w:p w14:paraId="6EA4E9A2" w14:textId="77777777" w:rsidR="00A71942" w:rsidRPr="00673AF7" w:rsidRDefault="00A71942" w:rsidP="00E276C8">
      <w:pPr>
        <w:pStyle w:val="Heading3COM"/>
        <w:spacing w:before="120" w:after="120" w:line="240" w:lineRule="auto"/>
        <w:outlineLvl w:val="3"/>
        <w:rPr>
          <w:noProof/>
        </w:rPr>
      </w:pPr>
      <w:bookmarkStart w:id="185" w:name="_Toc212595113"/>
      <w:bookmarkStart w:id="186" w:name="_Toc225152958"/>
      <w:bookmarkStart w:id="187" w:name="_Toc232611461"/>
      <w:bookmarkStart w:id="188" w:name="_Toc232758142"/>
      <w:r>
        <w:rPr>
          <w:noProof/>
        </w:rPr>
        <w:t>Stationary installations</w:t>
      </w:r>
      <w:bookmarkEnd w:id="185"/>
      <w:bookmarkEnd w:id="186"/>
      <w:bookmarkEnd w:id="187"/>
      <w:bookmarkEnd w:id="188"/>
    </w:p>
    <w:p w14:paraId="47A3DA5F" w14:textId="77777777" w:rsidR="00A71942" w:rsidRPr="00303DB1" w:rsidRDefault="00A71942" w:rsidP="00E276C8">
      <w:pPr>
        <w:spacing w:line="240" w:lineRule="auto"/>
        <w:rPr>
          <w:noProof/>
        </w:rPr>
      </w:pPr>
      <w:r>
        <w:rPr>
          <w:noProof/>
        </w:rPr>
        <w:t>Installations already covered by the EU ETS (in sectors such as electricity and heat generation, steel, cement, chemicals, refining, pulp and paper, and other energy-intensive industries) remain the main regulated entities. The measures contained in the preferred option affect them in a number of ways:</w:t>
      </w:r>
    </w:p>
    <w:p w14:paraId="73FD455A" w14:textId="77777777" w:rsidR="00A71942" w:rsidRDefault="00A71942" w:rsidP="00E276C8">
      <w:pPr>
        <w:pStyle w:val="ListParagraph"/>
        <w:numPr>
          <w:ilvl w:val="0"/>
          <w:numId w:val="37"/>
        </w:numPr>
        <w:spacing w:after="120" w:line="240" w:lineRule="auto"/>
        <w:ind w:left="714" w:hanging="357"/>
        <w:rPr>
          <w:noProof/>
        </w:rPr>
      </w:pPr>
      <w:r>
        <w:rPr>
          <w:noProof/>
        </w:rPr>
        <w:t xml:space="preserve">Due to the more gradual reductions in the </w:t>
      </w:r>
      <w:r w:rsidRPr="1FC5E705">
        <w:rPr>
          <w:b/>
          <w:bCs/>
          <w:noProof/>
        </w:rPr>
        <w:t>cap on emissions</w:t>
      </w:r>
      <w:r>
        <w:rPr>
          <w:noProof/>
        </w:rPr>
        <w:t>,</w:t>
      </w:r>
      <w:r w:rsidRPr="1FC5E705">
        <w:rPr>
          <w:b/>
          <w:bCs/>
          <w:noProof/>
        </w:rPr>
        <w:t xml:space="preserve"> </w:t>
      </w:r>
      <w:r>
        <w:rPr>
          <w:noProof/>
        </w:rPr>
        <w:t>in line with a fair contribution of the EU ETS to the economy-wide target for 2040</w:t>
      </w:r>
      <w:r w:rsidRPr="1FC5E705">
        <w:rPr>
          <w:b/>
          <w:bCs/>
          <w:noProof/>
        </w:rPr>
        <w:t xml:space="preserve">, </w:t>
      </w:r>
      <w:r>
        <w:rPr>
          <w:noProof/>
        </w:rPr>
        <w:t>the preferred option exhibits carbon prices that are lower compared to the baseline. Exposure to carbon costs therefore increases more slowly. However, the preferred option is still expected to result in an increasing carbon price signal over time. See Annex 8 – Part I on the emissions cap.</w:t>
      </w:r>
    </w:p>
    <w:p w14:paraId="565A7B8A" w14:textId="06D9B02D" w:rsidR="00A71942" w:rsidRDefault="00A71942" w:rsidP="00E276C8">
      <w:pPr>
        <w:pStyle w:val="ListParagraph"/>
        <w:numPr>
          <w:ilvl w:val="0"/>
          <w:numId w:val="37"/>
        </w:numPr>
        <w:spacing w:after="120" w:line="240" w:lineRule="auto"/>
        <w:rPr>
          <w:noProof/>
        </w:rPr>
      </w:pPr>
      <w:r>
        <w:rPr>
          <w:noProof/>
        </w:rPr>
        <w:t xml:space="preserve">The preferred option on </w:t>
      </w:r>
      <w:r w:rsidRPr="1FC5E705">
        <w:rPr>
          <w:b/>
          <w:bCs/>
          <w:noProof/>
        </w:rPr>
        <w:t>carbon removals</w:t>
      </w:r>
      <w:r>
        <w:rPr>
          <w:noProof/>
        </w:rPr>
        <w:t xml:space="preserve"> (a public purchasing programme) is expected to help contain carbon costs by releasing a predictable amount of additional allowances onto the market (170-330Mt subject to funding and availability of removal units), thereby stimulating carbon removal technology while retaining certainty over the impact on gross and net emissions. See Annex 8 – Part II on carbon removal.</w:t>
      </w:r>
    </w:p>
    <w:p w14:paraId="6842420F" w14:textId="77777777" w:rsidR="00A71942" w:rsidRPr="00303DB1" w:rsidRDefault="00A71942" w:rsidP="00E276C8">
      <w:pPr>
        <w:pStyle w:val="ListParagraph"/>
        <w:numPr>
          <w:ilvl w:val="0"/>
          <w:numId w:val="37"/>
        </w:numPr>
        <w:spacing w:after="120" w:line="240" w:lineRule="auto"/>
        <w:rPr>
          <w:noProof/>
        </w:rPr>
      </w:pPr>
      <w:r>
        <w:rPr>
          <w:noProof/>
        </w:rPr>
        <w:t xml:space="preserve">The revised </w:t>
      </w:r>
      <w:r w:rsidRPr="1FC5E705">
        <w:rPr>
          <w:b/>
          <w:bCs/>
          <w:noProof/>
        </w:rPr>
        <w:t xml:space="preserve">Market Stability Reserve (MSR) </w:t>
      </w:r>
      <w:r>
        <w:rPr>
          <w:noProof/>
        </w:rPr>
        <w:t>parameters</w:t>
      </w:r>
      <w:r w:rsidRPr="1FC5E705">
        <w:rPr>
          <w:b/>
          <w:bCs/>
          <w:noProof/>
        </w:rPr>
        <w:t xml:space="preserve"> </w:t>
      </w:r>
      <w:r>
        <w:rPr>
          <w:noProof/>
        </w:rPr>
        <w:t xml:space="preserve">should ensure that installations face a stable, progressively increasing, carbon price signal driven primarily by supply and demand fundamentals. See Annex 8 – Part III on the MSR. </w:t>
      </w:r>
    </w:p>
    <w:p w14:paraId="50ED2CFD" w14:textId="56EE6E0A" w:rsidR="00A71942" w:rsidRPr="0077587B" w:rsidRDefault="00A71942" w:rsidP="00E276C8">
      <w:pPr>
        <w:pStyle w:val="ListParagraph"/>
        <w:numPr>
          <w:ilvl w:val="0"/>
          <w:numId w:val="37"/>
        </w:numPr>
        <w:spacing w:after="120" w:line="240" w:lineRule="auto"/>
        <w:rPr>
          <w:noProof/>
        </w:rPr>
      </w:pPr>
      <w:r>
        <w:rPr>
          <w:noProof/>
        </w:rPr>
        <w:t xml:space="preserve">The </w:t>
      </w:r>
      <w:r w:rsidR="006F6586">
        <w:rPr>
          <w:noProof/>
        </w:rPr>
        <w:t xml:space="preserve">creation </w:t>
      </w:r>
      <w:r>
        <w:rPr>
          <w:noProof/>
        </w:rPr>
        <w:t xml:space="preserve">of the </w:t>
      </w:r>
      <w:r w:rsidRPr="1FC5E705">
        <w:rPr>
          <w:b/>
          <w:bCs/>
          <w:noProof/>
        </w:rPr>
        <w:t xml:space="preserve">Industrial Decarbonisation Bank (IDB) </w:t>
      </w:r>
      <w:r>
        <w:rPr>
          <w:noProof/>
        </w:rPr>
        <w:t>is expected to improve the business case for investment in the decarbonisation technologies for the stationary industrial installations in the ETS. In practice, the IDB will provide a tangible support (notably in the form of Carbon Fixed Premium and Carbon Contracts for Difference) for projects focused on more mature technologies than those covered by the Innovation Fund. By ensuring the energy intensive industries (EIIs) remain on the net-zero pathway, IDB will also help to limit rising carbon prices. See Annex 9 – Industrial Decarbonisation Bank.</w:t>
      </w:r>
    </w:p>
    <w:p w14:paraId="35E3C332" w14:textId="77777777" w:rsidR="00A71942" w:rsidRDefault="00A71942" w:rsidP="00E276C8">
      <w:pPr>
        <w:pStyle w:val="ListParagraph"/>
        <w:numPr>
          <w:ilvl w:val="0"/>
          <w:numId w:val="37"/>
        </w:numPr>
        <w:spacing w:after="120" w:line="240" w:lineRule="auto"/>
        <w:rPr>
          <w:noProof/>
        </w:rPr>
      </w:pPr>
      <w:r>
        <w:rPr>
          <w:noProof/>
        </w:rPr>
        <w:t xml:space="preserve">In </w:t>
      </w:r>
      <w:r w:rsidRPr="1FC5E705">
        <w:rPr>
          <w:b/>
          <w:bCs/>
          <w:noProof/>
        </w:rPr>
        <w:t>carbon leakage prevention</w:t>
      </w:r>
      <w:r>
        <w:rPr>
          <w:noProof/>
        </w:rPr>
        <w:t>, the increased availability of free allocation compared to the baseline is expected to have a positive impact on installations. This improves their competitiveness and ability to transition to adapt to a low carbon economy. At the same time, the increased use of conditionality in the preferred option, in both free allocation and indirect cost compensation, implies a moderate increase in the administrative effort needed from the beneficiaries (as they would need to demonstrate decarbonisation investment). See Annex 12 – stationary installations.</w:t>
      </w:r>
    </w:p>
    <w:p w14:paraId="7DC43478" w14:textId="77777777" w:rsidR="00A71942" w:rsidRDefault="00A71942" w:rsidP="00E276C8">
      <w:pPr>
        <w:pStyle w:val="ListParagraph"/>
        <w:numPr>
          <w:ilvl w:val="0"/>
          <w:numId w:val="37"/>
        </w:numPr>
        <w:spacing w:after="120" w:line="240" w:lineRule="auto"/>
        <w:rPr>
          <w:noProof/>
        </w:rPr>
      </w:pPr>
      <w:r>
        <w:rPr>
          <w:noProof/>
        </w:rPr>
        <w:t xml:space="preserve">In the </w:t>
      </w:r>
      <w:r w:rsidRPr="1FC5E705">
        <w:rPr>
          <w:b/>
          <w:bCs/>
          <w:noProof/>
        </w:rPr>
        <w:t>waste sector</w:t>
      </w:r>
      <w:r>
        <w:rPr>
          <w:noProof/>
        </w:rPr>
        <w:t xml:space="preserve">, the preferred option implies increased compliance costs related to the allowance surrender obligation for municipal waste incinerators brought into the scope of EU ETS, while compliance costs related to the MRV-system are already in place. On the other hand, the preferred option for </w:t>
      </w:r>
      <w:r w:rsidRPr="1FC5E705">
        <w:rPr>
          <w:b/>
          <w:bCs/>
          <w:noProof/>
        </w:rPr>
        <w:t>Carbon Capture and Utilisation (CCU)</w:t>
      </w:r>
      <w:r>
        <w:rPr>
          <w:noProof/>
        </w:rPr>
        <w:t xml:space="preserve"> will strengthen the business case for this technology by enabling emitters and users of captured carbon to avoid double counting when making use of CO</w:t>
      </w:r>
      <w:r w:rsidRPr="1FC5E705">
        <w:rPr>
          <w:noProof/>
          <w:vertAlign w:val="subscript"/>
        </w:rPr>
        <w:t xml:space="preserve">2 </w:t>
      </w:r>
      <w:r>
        <w:rPr>
          <w:noProof/>
        </w:rPr>
        <w:t>that is captured and stored non-permanently. See Annex 13 – new sectors and technologies, waste and CCU.</w:t>
      </w:r>
    </w:p>
    <w:p w14:paraId="6B1DE198" w14:textId="77777777" w:rsidR="00A71942" w:rsidRPr="00866A3E" w:rsidRDefault="00A71942" w:rsidP="00E276C8">
      <w:pPr>
        <w:spacing w:line="240" w:lineRule="auto"/>
        <w:rPr>
          <w:noProof/>
        </w:rPr>
      </w:pPr>
      <w:r>
        <w:rPr>
          <w:noProof/>
        </w:rPr>
        <w:t>Overall, industries face an increase in certain compliance costs but gain from a more gradual decarbonisation trajectory and free allocation phase-out relative to the baseline, greater policy certainty, targeted innovation support, and a more level playing field for low-carbon investment.</w:t>
      </w:r>
    </w:p>
    <w:p w14:paraId="746463C0" w14:textId="77777777" w:rsidR="00A71942" w:rsidRPr="00303DB1" w:rsidRDefault="00A71942" w:rsidP="00E276C8">
      <w:pPr>
        <w:pStyle w:val="Heading3COM"/>
        <w:spacing w:before="120" w:after="120" w:line="240" w:lineRule="auto"/>
        <w:outlineLvl w:val="3"/>
        <w:rPr>
          <w:noProof/>
        </w:rPr>
      </w:pPr>
      <w:bookmarkStart w:id="189" w:name="_Toc225152959"/>
      <w:bookmarkStart w:id="190" w:name="_Toc232611462"/>
      <w:bookmarkStart w:id="191" w:name="_Toc232758143"/>
      <w:r>
        <w:rPr>
          <w:noProof/>
        </w:rPr>
        <w:t>Aviation and maritime transport</w:t>
      </w:r>
      <w:bookmarkEnd w:id="189"/>
      <w:bookmarkEnd w:id="190"/>
      <w:bookmarkEnd w:id="191"/>
    </w:p>
    <w:p w14:paraId="4A53AD5E" w14:textId="77777777" w:rsidR="00A71942" w:rsidRDefault="00A71942" w:rsidP="00E276C8">
      <w:pPr>
        <w:spacing w:line="240" w:lineRule="auto"/>
        <w:rPr>
          <w:noProof/>
        </w:rPr>
      </w:pPr>
      <w:r>
        <w:rPr>
          <w:noProof/>
        </w:rPr>
        <w:t xml:space="preserve">In </w:t>
      </w:r>
      <w:r w:rsidRPr="1FC5E705">
        <w:rPr>
          <w:b/>
          <w:bCs/>
          <w:noProof/>
        </w:rPr>
        <w:t>aviation,</w:t>
      </w:r>
      <w:r>
        <w:rPr>
          <w:noProof/>
        </w:rPr>
        <w:t xml:space="preserve"> the aircraft operators affected by the preferred option are already included in the EU ETS and remain the main regulated entities. The preferred option proposes the appropriate inclusion of a larger share of emissions (from all outgoing flights). Therefore, administrative costs will not increase for operators, as the amount of action varies, but the tools remain unchanged. Furthermore, the same pool of aircraft operators must comply with EU ETS and CORSIA resulting in low differences of administrative efforts. At the same time, the EU ETS would be extended to include private and business jets. Newly covered aircraft operators will benefit from considerable administrative simplification, and low activity operators already covered from further simplification, which would result in mitigated increased administrative costs. Furthermore, compliance costs are lower in the preferred option compared to the baseline and are mostly channelled back towards climate action. </w:t>
      </w:r>
    </w:p>
    <w:p w14:paraId="072EC94A" w14:textId="140069C6" w:rsidR="00A71942" w:rsidRDefault="00A71942" w:rsidP="00E276C8">
      <w:pPr>
        <w:spacing w:line="240" w:lineRule="auto"/>
        <w:rPr>
          <w:noProof/>
        </w:rPr>
      </w:pPr>
      <w:r w:rsidRPr="1FC5E705">
        <w:rPr>
          <w:b/>
          <w:bCs/>
          <w:noProof/>
        </w:rPr>
        <w:t>Maritime</w:t>
      </w:r>
      <w:r>
        <w:rPr>
          <w:noProof/>
        </w:rPr>
        <w:t xml:space="preserve"> transport operators already covered by the EU ETS, in particular shipping companies operating large vessels, remain the main regulated entities. All shipping companies will receive the opportunity of support for their decarbonisation efforts (in terms of fuels and technologies) by recycling part of the allowances back to them.  From a competitiveness perspective, the preferred options strengthen anti-evasion provisions related to container transhipment, reducing incentives to relocate activities outside the EU and supporting the competitiveness and connectivity of EU ports, support a level playing field for operators of vessels involved in offshore activities. The administrative cost for shipping companies will be reduced by the simplification measures included under the preferred options aiming at aligning requirements across regulatory frameworks, reducing duplications and streamlining compliance processes. Furthermore, the obligations of shipping companies under EU ETS will be reduced by deducting emissions effectively priced by a global measure under IMO, once in place. At the same time the EU ETS would be extended to a limited share of smaller vessels, broadening the regulatory coverage of the maritime sector to smaller ships. This will lead to exposure of more shipping companies to a carbon price signal under EU ETS, providing predictability for investment and operational planning. The extension of the EU ETS to some categories of smaller vessels leads to higher administrative costs for companies operating those </w:t>
      </w:r>
      <w:r w:rsidR="337BA438">
        <w:rPr>
          <w:noProof/>
        </w:rPr>
        <w:t>vessels, linked</w:t>
      </w:r>
      <w:r>
        <w:rPr>
          <w:noProof/>
        </w:rPr>
        <w:t xml:space="preserve"> to compliance with the MRV and ETS requirements. However, some of the additional costs are expected to be passed on to users of maritime transport, with limited indirect effects on trade and transport demand. Overall, the preferred option entails proportionate compliance costs while providing greater regulatory coherence, a gradual decarbonisation pathway and safeguards against competitive distortion</w:t>
      </w:r>
    </w:p>
    <w:p w14:paraId="28ECE311" w14:textId="77777777" w:rsidR="00A71942" w:rsidRDefault="00A71942" w:rsidP="00E276C8">
      <w:pPr>
        <w:pStyle w:val="Heading2COM"/>
        <w:spacing w:before="120" w:after="120" w:line="240" w:lineRule="auto"/>
        <w:outlineLvl w:val="2"/>
        <w15:collapsed w:val="0"/>
        <w:rPr>
          <w:noProof/>
        </w:rPr>
      </w:pPr>
      <w:bookmarkStart w:id="192" w:name="_Toc223012117"/>
      <w:bookmarkStart w:id="193" w:name="_Toc225152960"/>
      <w:bookmarkStart w:id="194" w:name="_Toc232611463"/>
      <w:bookmarkStart w:id="195" w:name="_Toc232758144"/>
      <w:bookmarkEnd w:id="192"/>
      <w:r>
        <w:rPr>
          <w:noProof/>
        </w:rPr>
        <w:t>Effects on other stakeholders</w:t>
      </w:r>
      <w:bookmarkEnd w:id="193"/>
      <w:bookmarkEnd w:id="194"/>
      <w:bookmarkEnd w:id="195"/>
    </w:p>
    <w:p w14:paraId="22CFCC15" w14:textId="77777777" w:rsidR="00A71942" w:rsidRPr="00303DB1" w:rsidRDefault="00A71942" w:rsidP="00E276C8">
      <w:pPr>
        <w:pStyle w:val="Heading3COM"/>
        <w:spacing w:before="120" w:after="120" w:line="240" w:lineRule="auto"/>
        <w:outlineLvl w:val="3"/>
        <w:rPr>
          <w:noProof/>
        </w:rPr>
      </w:pPr>
      <w:bookmarkStart w:id="196" w:name="_Toc212595114"/>
      <w:bookmarkStart w:id="197" w:name="_Toc225152961"/>
      <w:bookmarkStart w:id="198" w:name="_Toc232611464"/>
      <w:bookmarkStart w:id="199" w:name="_Toc232758145"/>
      <w:r>
        <w:rPr>
          <w:noProof/>
        </w:rPr>
        <w:t>SMEs</w:t>
      </w:r>
      <w:bookmarkEnd w:id="196"/>
      <w:bookmarkEnd w:id="197"/>
      <w:bookmarkEnd w:id="198"/>
      <w:bookmarkEnd w:id="199"/>
    </w:p>
    <w:p w14:paraId="18D5115B" w14:textId="77777777" w:rsidR="00A71942" w:rsidRDefault="00A71942" w:rsidP="00E276C8">
      <w:pPr>
        <w:spacing w:line="240" w:lineRule="auto"/>
        <w:rPr>
          <w:noProof/>
        </w:rPr>
      </w:pPr>
      <w:r>
        <w:rPr>
          <w:noProof/>
        </w:rPr>
        <w:t xml:space="preserve">SMEs within the EU ETS scope will be subject to the same requirements as large organisations, although the ETS covers predominantly larger installations (due to thermal capacity thresholds) and larger firms, as measured by the traditional SME metrics of turnover and number of employees (see Annex 6: SME Check). SMEs regulated by the EU ETS can benefit from simplified rules for small emitters, such as standardised and simplified monitoring rules. Moreover, provisions on carbon leakage will be conceived to offer proportional treatment to SMEs: simplified forms of conditionality for free allocation or potential derogations for eligible SMEs. In addition, low emitters continue to benefit from technical guidance and simplified monitoring, reporting and verification rules. Micro-enterprises remain largely outside the ETS coverage. </w:t>
      </w:r>
    </w:p>
    <w:p w14:paraId="41078DBA" w14:textId="77777777" w:rsidR="00A71942" w:rsidRDefault="00A71942" w:rsidP="00E276C8">
      <w:pPr>
        <w:spacing w:line="240" w:lineRule="auto"/>
        <w:rPr>
          <w:noProof/>
        </w:rPr>
      </w:pPr>
      <w:r>
        <w:rPr>
          <w:noProof/>
        </w:rPr>
        <w:t>SMEs that are not directly covered by EU ETS might be affected indirectly by carbon cost pass through, though this effect is moderated by the measures such as the more gradual reduction of the emissions cap and reform of the Market Stability Reserve. Furthermore, predictable carbon pricing and available innovation funding limit the negative impact on competitiveness. Indirect cost effects of scope expansion, such as changes in waste management or energy prices, are expected to be minimal. In the aviation sector, in most EU member states, large enterprises own the majority of aircraft operators, resulting in a small number of SMEs affected by the preferred option.</w:t>
      </w:r>
    </w:p>
    <w:p w14:paraId="59D4DEDA" w14:textId="77777777" w:rsidR="00A71942" w:rsidRPr="00673AF7" w:rsidRDefault="00A71942" w:rsidP="00E276C8">
      <w:pPr>
        <w:spacing w:line="240" w:lineRule="auto"/>
        <w:rPr>
          <w:noProof/>
        </w:rPr>
      </w:pPr>
      <w:r>
        <w:rPr>
          <w:noProof/>
        </w:rPr>
        <w:t>Maritime SMEs, with small market power, may experience limited cost pass-through possibility, but the gradual carbon price trajectory and access to maritime-relevant innovation support are expected to limit the impacts on competitiveness. Very small maritime operators are expected to remain largely outside the ETS scope, as the preferred option does not foresee the inclusion of any type of vessel below 400 gross tonnage. Any indirect effects, such as price changes along the supply chain, are expected to be minimal. While the IDB will mostly target large-scale industrial decarbonisation projects, it could also provide support to smaller projects, especially via the operation of administrative schemes that would offer simplified funding for smaller projects. Building on the experience of the Innovation Fund and national support schemes, a dedicated support for the SMEs could be operationalised under the IDB.</w:t>
      </w:r>
    </w:p>
    <w:p w14:paraId="56763992" w14:textId="77777777" w:rsidR="00A71942" w:rsidRPr="00303DB1" w:rsidRDefault="00A71942" w:rsidP="00E276C8">
      <w:pPr>
        <w:pStyle w:val="Heading3COM"/>
        <w:spacing w:before="120" w:after="120" w:line="240" w:lineRule="auto"/>
        <w:outlineLvl w:val="3"/>
        <w:rPr>
          <w:noProof/>
        </w:rPr>
      </w:pPr>
      <w:bookmarkStart w:id="200" w:name="_Toc212595115"/>
      <w:bookmarkStart w:id="201" w:name="_Toc225152962"/>
      <w:bookmarkStart w:id="202" w:name="_Toc232611465"/>
      <w:bookmarkStart w:id="203" w:name="_Toc232758146"/>
      <w:r>
        <w:rPr>
          <w:noProof/>
        </w:rPr>
        <w:t>Public authorities</w:t>
      </w:r>
      <w:bookmarkEnd w:id="200"/>
      <w:bookmarkEnd w:id="201"/>
      <w:bookmarkEnd w:id="202"/>
      <w:bookmarkEnd w:id="203"/>
    </w:p>
    <w:p w14:paraId="108B70DB" w14:textId="77777777" w:rsidR="00A71942" w:rsidRPr="00303DB1" w:rsidRDefault="00A71942" w:rsidP="00E276C8">
      <w:pPr>
        <w:spacing w:line="240" w:lineRule="auto"/>
        <w:rPr>
          <w:noProof/>
        </w:rPr>
      </w:pPr>
      <w:r>
        <w:rPr>
          <w:noProof/>
        </w:rPr>
        <w:t>Public authorities at the EU, national, and local levels play a key role in implementation and oversight.</w:t>
      </w:r>
    </w:p>
    <w:p w14:paraId="50753ABA" w14:textId="77777777" w:rsidR="00A71942" w:rsidRPr="00303DB1" w:rsidRDefault="00A71942" w:rsidP="00E276C8">
      <w:pPr>
        <w:pStyle w:val="ListParagraph"/>
        <w:numPr>
          <w:ilvl w:val="0"/>
          <w:numId w:val="38"/>
        </w:numPr>
        <w:spacing w:after="120" w:line="240" w:lineRule="auto"/>
        <w:contextualSpacing/>
        <w:rPr>
          <w:noProof/>
        </w:rPr>
      </w:pPr>
      <w:r>
        <w:rPr>
          <w:noProof/>
        </w:rPr>
        <w:t>National competent authorities will expand ETS administrative systems to include new operators (waste, CCU), to administer additional shipping companies and aircraft operators  following extension to cover smaller vessels and business and private jets, update permitting and MRV procedures, and oversee verification of climate-neutral investment plans for conditional free allocation</w:t>
      </w:r>
    </w:p>
    <w:p w14:paraId="3C5AE21D" w14:textId="77777777" w:rsidR="00A71942" w:rsidRDefault="00A71942" w:rsidP="00E276C8">
      <w:pPr>
        <w:pStyle w:val="ListParagraph"/>
        <w:numPr>
          <w:ilvl w:val="0"/>
          <w:numId w:val="38"/>
        </w:numPr>
        <w:spacing w:after="120" w:line="240" w:lineRule="auto"/>
        <w:contextualSpacing/>
        <w:rPr>
          <w:noProof/>
        </w:rPr>
      </w:pPr>
      <w:r>
        <w:rPr>
          <w:noProof/>
        </w:rPr>
        <w:t>EU institutions will update or develop harmonised MRV methodologies for the waste sector and CCU and, where necessary, for carbon removal, update registry infrastructure, and adapt MSR parameters.</w:t>
      </w:r>
    </w:p>
    <w:p w14:paraId="05A145A2" w14:textId="77777777" w:rsidR="00A71942" w:rsidRPr="00D3189A" w:rsidRDefault="00A71942" w:rsidP="00E276C8">
      <w:pPr>
        <w:pStyle w:val="ListParagraph"/>
        <w:numPr>
          <w:ilvl w:val="0"/>
          <w:numId w:val="38"/>
        </w:numPr>
        <w:spacing w:after="120" w:line="240" w:lineRule="auto"/>
        <w:contextualSpacing/>
        <w:rPr>
          <w:noProof/>
        </w:rPr>
      </w:pPr>
      <w:r>
        <w:rPr>
          <w:noProof/>
        </w:rPr>
        <w:t>EU institutions will establish a purchasing programme for carbon removal.</w:t>
      </w:r>
    </w:p>
    <w:p w14:paraId="16F91C30" w14:textId="77777777" w:rsidR="00A71942" w:rsidRPr="00A01D3D" w:rsidRDefault="00A71942" w:rsidP="00E276C8">
      <w:pPr>
        <w:pStyle w:val="ListParagraph"/>
        <w:numPr>
          <w:ilvl w:val="0"/>
          <w:numId w:val="38"/>
        </w:numPr>
        <w:spacing w:after="120" w:line="240" w:lineRule="auto"/>
        <w:contextualSpacing/>
        <w:rPr>
          <w:noProof/>
        </w:rPr>
      </w:pPr>
      <w:r>
        <w:rPr>
          <w:noProof/>
        </w:rPr>
        <w:t xml:space="preserve">EU institutions will modify the rules for prevention of carbon leakage (allocation of free allowances and indirect cost compensation). National competent authorities will implement these rules. Reduction in administrative burden is expected since the carbon leakage list will not be updated for Phase V and the formula for determining free allocation will no longer include the carbon leakage exposure factor. However, the extension of conditionalities for free allocation under PO2 would introduce new administrative requirements. </w:t>
      </w:r>
    </w:p>
    <w:p w14:paraId="6DBB2A16" w14:textId="0E36753B" w:rsidR="00A71942" w:rsidRDefault="00A71942" w:rsidP="00E276C8">
      <w:pPr>
        <w:pStyle w:val="ListParagraph"/>
        <w:numPr>
          <w:ilvl w:val="0"/>
          <w:numId w:val="38"/>
        </w:numPr>
        <w:spacing w:after="120" w:line="240" w:lineRule="auto"/>
        <w:contextualSpacing/>
        <w:rPr>
          <w:noProof/>
        </w:rPr>
      </w:pPr>
      <w:r>
        <w:rPr>
          <w:noProof/>
        </w:rPr>
        <w:t>For the main policy options analysed, the funding mechanisms of the IDB</w:t>
      </w:r>
      <w:r w:rsidR="024220DD">
        <w:rPr>
          <w:noProof/>
        </w:rPr>
        <w:t xml:space="preserve"> </w:t>
      </w:r>
      <w:r>
        <w:rPr>
          <w:noProof/>
        </w:rPr>
        <w:t xml:space="preserve">will be developed on the EU level, so there should not be an additional effort for national authorities. In addition, IDB could have ‘as-a-service’ feature that enables Member States to channel State aid through IDB and thus reduces administrative burden of developing national support schemes. </w:t>
      </w:r>
    </w:p>
    <w:p w14:paraId="404A873A" w14:textId="4BD6B36D" w:rsidR="00A71942" w:rsidRPr="00937E50" w:rsidRDefault="00A71942" w:rsidP="00E276C8">
      <w:pPr>
        <w:pStyle w:val="ListParagraph"/>
        <w:numPr>
          <w:ilvl w:val="0"/>
          <w:numId w:val="38"/>
        </w:numPr>
        <w:spacing w:after="120" w:line="240" w:lineRule="auto"/>
        <w:contextualSpacing/>
        <w:rPr>
          <w:noProof/>
        </w:rPr>
      </w:pPr>
      <w:r>
        <w:rPr>
          <w:noProof/>
        </w:rPr>
        <w:t xml:space="preserve">The beneficiary Member States are responsible for the implementation of the Modernisation </w:t>
      </w:r>
      <w:r w:rsidR="00F514AE">
        <w:rPr>
          <w:noProof/>
        </w:rPr>
        <w:t>Fund,</w:t>
      </w:r>
      <w:r>
        <w:rPr>
          <w:noProof/>
        </w:rPr>
        <w:t xml:space="preserve"> and the appropriate legal and procedural structure is already in place. </w:t>
      </w:r>
    </w:p>
    <w:p w14:paraId="06329204" w14:textId="77777777" w:rsidR="00A71942" w:rsidRPr="00303DB1" w:rsidRDefault="00A71942" w:rsidP="00E276C8">
      <w:pPr>
        <w:pStyle w:val="ListParagraph"/>
        <w:numPr>
          <w:ilvl w:val="0"/>
          <w:numId w:val="38"/>
        </w:numPr>
        <w:spacing w:after="120" w:line="240" w:lineRule="auto"/>
        <w:contextualSpacing/>
        <w:rPr>
          <w:noProof/>
        </w:rPr>
      </w:pPr>
      <w:r>
        <w:rPr>
          <w:noProof/>
        </w:rPr>
        <w:t>Waste disposal authorities, including local and regional authorities, may need to adjust waste management contracts as ETS compliance costs are incurred by waste incineration operators and passed on to waste disposal authorities.</w:t>
      </w:r>
    </w:p>
    <w:p w14:paraId="5D18640A" w14:textId="77777777" w:rsidR="00A71942" w:rsidRPr="00303DB1" w:rsidRDefault="00A71942" w:rsidP="00E276C8">
      <w:pPr>
        <w:pStyle w:val="Heading3COM"/>
        <w:spacing w:before="120" w:after="120" w:line="240" w:lineRule="auto"/>
        <w:outlineLvl w:val="3"/>
        <w:rPr>
          <w:noProof/>
        </w:rPr>
      </w:pPr>
      <w:bookmarkStart w:id="204" w:name="_Toc212595116"/>
      <w:bookmarkStart w:id="205" w:name="_Toc225152963"/>
      <w:bookmarkStart w:id="206" w:name="_Toc232611466"/>
      <w:bookmarkStart w:id="207" w:name="_Toc232758147"/>
      <w:r>
        <w:rPr>
          <w:noProof/>
        </w:rPr>
        <w:t>Citizens</w:t>
      </w:r>
      <w:bookmarkEnd w:id="204"/>
      <w:bookmarkEnd w:id="205"/>
      <w:bookmarkEnd w:id="206"/>
      <w:bookmarkEnd w:id="207"/>
    </w:p>
    <w:p w14:paraId="0BC2C381" w14:textId="77777777" w:rsidR="00A71942" w:rsidRDefault="00A71942" w:rsidP="00E276C8">
      <w:pPr>
        <w:spacing w:line="240" w:lineRule="auto"/>
        <w:rPr>
          <w:noProof/>
        </w:rPr>
      </w:pPr>
      <w:r>
        <w:rPr>
          <w:noProof/>
        </w:rPr>
        <w:t>Citizens are indirectly affected because environmental, health, and economic aspects are at stake. The inclusion of municipal waste incineration (MWI) contributes to the reduction of air-pollutant emissions, especially in urban areas. This improvement is accelerated, compared to the baseline, due to carbon price signal incentivising waste reduction and diversion to recycling at source. From an economic point of view, citizens should be positively affected due to more limited cost pass through in electricity and industrial prices associated with the more gradual trajectory and decarbonisation investments facilitated by the Industrial Decarbonisation Bank. They may be negatively affected by the pass-through of costs associated with waste incineration, however this impact is expected to remain manageable. Citizens may benefit from increased employment compared to the baseline as new workplaces in decarbonised industrial installations can offset the workplaces lost in fossil-fuels based industries. In the long-term, the issue of employment is directly linked to the viability of industrial production in Europe. With this in mind, the preferred option aims to contribute to achieving the EU’s climate neutrality objective, while striking the balance between maintaining carbon price exposure that increases gradually over time, and providing sufficient auction revenues for supporting industrial decarbonisation investments and mitigating distributional impacts.</w:t>
      </w:r>
    </w:p>
    <w:p w14:paraId="49D2E69B" w14:textId="77777777" w:rsidR="00A71942" w:rsidRPr="00303DB1" w:rsidRDefault="00A71942" w:rsidP="00E276C8">
      <w:pPr>
        <w:spacing w:line="240" w:lineRule="auto"/>
        <w:rPr>
          <w:noProof/>
        </w:rPr>
      </w:pPr>
      <w:r>
        <w:rPr>
          <w:noProof/>
        </w:rPr>
        <w:t>In aviation, the effect of the preferred policy option on air travel and employment is expected to be limited but positive compared to the baseline. Without use of sustainable aviation fuels, aviation emissions in EEA countries are expected to increase. With support for the uptake of aviation fuels, citizens may benefit from improved air quality and creation of jobs.</w:t>
      </w:r>
    </w:p>
    <w:p w14:paraId="3AE5B1BC" w14:textId="77777777" w:rsidR="00A71942" w:rsidRDefault="00A71942" w:rsidP="00E276C8">
      <w:pPr>
        <w:spacing w:line="240" w:lineRule="auto"/>
        <w:rPr>
          <w:noProof/>
        </w:rPr>
      </w:pPr>
      <w:bookmarkStart w:id="208" w:name="_Toc223012122"/>
      <w:r>
        <w:rPr>
          <w:noProof/>
        </w:rPr>
        <w:t>In the maritime sector, the preferred policy option is expected to deliver a positive environmental and climate impact, primarily through the reduction of GHG and air pollutant emissions. These measures will contribute not only to climate mitigation objectives but also to improved air quality and thereby creating public health benefits for citizens particularly in coastal and port areas. Regarding economic impacts, further mitigating the transhipment relocation risks, the wider social impacts of possible transhipment relocation for EU ports and their hinterlands are likely to be reduced. The inclusion of some types of smaller vessels within the scope of the EU ETS may lead to limited indirect impacts on shipping costs and employment. However, these impacts are expected to remain negligible and are likely to be offset by efficiency gains and cost reductions stemming from the promotion of innovation and uptake of cleaned technologies including electrification.</w:t>
      </w:r>
      <w:bookmarkEnd w:id="208"/>
      <w:r>
        <w:rPr>
          <w:noProof/>
        </w:rPr>
        <w:t xml:space="preserve">  </w:t>
      </w:r>
      <w:bookmarkStart w:id="209" w:name="_Toc212595117"/>
    </w:p>
    <w:p w14:paraId="18E04294" w14:textId="77777777" w:rsidR="00A71942" w:rsidRPr="009D5EA4" w:rsidRDefault="00A71942" w:rsidP="00E276C8">
      <w:pPr>
        <w:pStyle w:val="Heading1COM"/>
        <w:spacing w:before="120" w:after="120" w:line="240" w:lineRule="auto"/>
        <w:outlineLvl w:val="1"/>
        <w:rPr>
          <w:noProof/>
        </w:rPr>
      </w:pPr>
      <w:bookmarkStart w:id="210" w:name="_Toc225152964"/>
      <w:bookmarkStart w:id="211" w:name="_Toc232611467"/>
      <w:bookmarkStart w:id="212" w:name="_Toc232758148"/>
      <w:r>
        <w:rPr>
          <w:noProof/>
        </w:rPr>
        <w:t>Summary of costs and benefits</w:t>
      </w:r>
      <w:bookmarkEnd w:id="209"/>
      <w:bookmarkEnd w:id="210"/>
      <w:bookmarkEnd w:id="211"/>
      <w:bookmarkEnd w:id="212"/>
    </w:p>
    <w:p w14:paraId="6E66F3F7" w14:textId="77777777" w:rsidR="00A71942" w:rsidRDefault="00A71942" w:rsidP="00E276C8">
      <w:pPr>
        <w:spacing w:line="240" w:lineRule="auto"/>
        <w:rPr>
          <w:noProof/>
        </w:rPr>
      </w:pPr>
      <w:r>
        <w:rPr>
          <w:noProof/>
        </w:rPr>
        <w:t xml:space="preserve">The preferred policy option consists of a combination of policy measures, identified in Section 8.1 of the main impact assessment report, which are considered to be the optimal choice, individually and collectively, for revising EU ETS. </w:t>
      </w:r>
    </w:p>
    <w:p w14:paraId="0299D08C" w14:textId="77777777" w:rsidR="001F4051" w:rsidRDefault="00A71942" w:rsidP="00975687">
      <w:pPr>
        <w:spacing w:line="240" w:lineRule="auto"/>
        <w:rPr>
          <w:noProof/>
        </w:rPr>
      </w:pPr>
      <w:r>
        <w:rPr>
          <w:noProof/>
        </w:rPr>
        <w:t xml:space="preserve">Taken as a whole, the preferred option is designed to strengthen the environmental effectiveness of the system while maintaining proportionality, regulatory stability, and fairness across sectors, and safeguarding competitiveness. </w:t>
      </w:r>
    </w:p>
    <w:p w14:paraId="399E3A6C" w14:textId="199FEEFB" w:rsidR="001F4051" w:rsidRDefault="001F4051" w:rsidP="00975687">
      <w:pPr>
        <w:spacing w:line="240" w:lineRule="auto"/>
        <w:rPr>
          <w:noProof/>
        </w:rPr>
      </w:pPr>
      <w:r>
        <w:rPr>
          <w:noProof/>
        </w:rPr>
        <w:t xml:space="preserve">A </w:t>
      </w:r>
      <w:r w:rsidR="00DC36BF">
        <w:rPr>
          <w:noProof/>
        </w:rPr>
        <w:t xml:space="preserve">quantitative </w:t>
      </w:r>
      <w:r>
        <w:rPr>
          <w:noProof/>
        </w:rPr>
        <w:t>comparison of the costs and benefits of the policy options, per theme, is provided in Section</w:t>
      </w:r>
      <w:r w:rsidR="00DC36BF">
        <w:rPr>
          <w:noProof/>
        </w:rPr>
        <w:t xml:space="preserve"> 7.2 of the main report (on efficiency).</w:t>
      </w:r>
    </w:p>
    <w:p w14:paraId="7EAA4084" w14:textId="0F653B3D" w:rsidR="00A71942" w:rsidRDefault="00A71942" w:rsidP="00E276C8">
      <w:pPr>
        <w:spacing w:line="240" w:lineRule="auto"/>
        <w:rPr>
          <w:noProof/>
        </w:rPr>
      </w:pPr>
      <w:r>
        <w:rPr>
          <w:noProof/>
        </w:rPr>
        <w:t>The tables below identify the key benefits and costs of the measures under the preferred option, and the affected stakeholders. They are presented at the level of individual measures in order to display the relationship between each measure and its cost/ benefit impacts transparently.</w:t>
      </w:r>
    </w:p>
    <w:p w14:paraId="6479F678" w14:textId="77777777" w:rsidR="00A71942" w:rsidRPr="006E7431" w:rsidRDefault="00A71942" w:rsidP="00E276C8">
      <w:pPr>
        <w:spacing w:line="240" w:lineRule="auto"/>
        <w:rPr>
          <w:noProof/>
        </w:rPr>
      </w:pPr>
      <w:r>
        <w:rPr>
          <w:noProof/>
        </w:rPr>
        <w:t>In line with the principle of proportionality and burden minimisation, the One in One out table is compiled, outlining the new administrative burden and the ones that have been removed. Finally, this section provides an overview of the key Sustainable Development Goals (SDGs) addressed by the proposed intervention.</w:t>
      </w:r>
    </w:p>
    <w:p w14:paraId="35F156CD" w14:textId="77777777" w:rsidR="00A71942" w:rsidRDefault="00A71942" w:rsidP="00E276C8">
      <w:pPr>
        <w:spacing w:line="240" w:lineRule="auto"/>
        <w:rPr>
          <w:noProof/>
        </w:rPr>
        <w:sectPr w:rsidR="00A71942" w:rsidSect="00A7194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601" w:footer="1077" w:gutter="0"/>
          <w:cols w:space="720"/>
          <w:titlePg/>
          <w:docGrid w:linePitch="326"/>
        </w:sectPr>
      </w:pPr>
    </w:p>
    <w:p w14:paraId="069BBDF5" w14:textId="77777777" w:rsidR="00A71942" w:rsidRDefault="00A71942" w:rsidP="00E276C8">
      <w:pPr>
        <w:spacing w:line="240" w:lineRule="auto"/>
        <w:rPr>
          <w:noProof/>
        </w:rPr>
      </w:pPr>
    </w:p>
    <w:p w14:paraId="1FD31E6C" w14:textId="77777777" w:rsidR="00A71942" w:rsidRPr="00142775" w:rsidRDefault="00A71942" w:rsidP="00E276C8">
      <w:pPr>
        <w:pStyle w:val="Heading2COM"/>
        <w:spacing w:before="120" w:after="120" w:line="240" w:lineRule="auto"/>
        <w:outlineLvl w:val="2"/>
        <w15:collapsed w:val="0"/>
        <w:rPr>
          <w:noProof/>
        </w:rPr>
      </w:pPr>
      <w:r>
        <w:rPr>
          <w:noProof/>
        </w:rPr>
        <w:t xml:space="preserve"> </w:t>
      </w:r>
      <w:bookmarkStart w:id="213" w:name="_Toc232611468"/>
      <w:bookmarkStart w:id="214" w:name="_Toc232758149"/>
      <w:r>
        <w:rPr>
          <w:noProof/>
        </w:rPr>
        <w:t>Overview of benefits – preferred option</w:t>
      </w:r>
      <w:bookmarkEnd w:id="213"/>
      <w:bookmarkEnd w:id="214"/>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5201"/>
        <w:gridCol w:w="5935"/>
      </w:tblGrid>
      <w:tr w:rsidR="00A71942" w14:paraId="7BDE0B7B" w14:textId="77777777" w:rsidTr="1FC5E705">
        <w:tc>
          <w:tcPr>
            <w:tcW w:w="5000" w:type="pct"/>
            <w:gridSpan w:val="3"/>
            <w:shd w:val="clear" w:color="auto" w:fill="A8C7FF"/>
          </w:tcPr>
          <w:p w14:paraId="0142D47A" w14:textId="77777777" w:rsidR="00A71942" w:rsidRPr="00767347" w:rsidRDefault="00A71942" w:rsidP="00E276C8">
            <w:pPr>
              <w:spacing w:after="120"/>
              <w:rPr>
                <w:b/>
                <w:bCs/>
                <w:i/>
                <w:iCs/>
                <w:noProof/>
                <w:sz w:val="22"/>
                <w:szCs w:val="22"/>
              </w:rPr>
            </w:pPr>
            <w:r w:rsidRPr="1FC5E705">
              <w:rPr>
                <w:b/>
                <w:bCs/>
                <w:noProof/>
                <w:sz w:val="22"/>
                <w:szCs w:val="22"/>
              </w:rPr>
              <w:t>Overview of Benefits (total for all provisions) – Preferred Option</w:t>
            </w:r>
          </w:p>
        </w:tc>
      </w:tr>
      <w:tr w:rsidR="00A71942" w14:paraId="725C28F8" w14:textId="77777777" w:rsidTr="1FC5E705">
        <w:tc>
          <w:tcPr>
            <w:tcW w:w="874" w:type="pct"/>
            <w:shd w:val="clear" w:color="auto" w:fill="A8C7FF"/>
          </w:tcPr>
          <w:p w14:paraId="106B729C" w14:textId="77777777" w:rsidR="00A71942" w:rsidRPr="00767347" w:rsidRDefault="00A71942" w:rsidP="00E276C8">
            <w:pPr>
              <w:spacing w:after="120"/>
              <w:rPr>
                <w:b/>
                <w:bCs/>
                <w:i/>
                <w:iCs/>
                <w:noProof/>
                <w:sz w:val="22"/>
                <w:szCs w:val="22"/>
              </w:rPr>
            </w:pPr>
            <w:r w:rsidRPr="1FC5E705">
              <w:rPr>
                <w:b/>
                <w:bCs/>
                <w:i/>
                <w:iCs/>
                <w:noProof/>
                <w:sz w:val="22"/>
                <w:szCs w:val="22"/>
              </w:rPr>
              <w:t>Description</w:t>
            </w:r>
          </w:p>
        </w:tc>
        <w:tc>
          <w:tcPr>
            <w:tcW w:w="1927" w:type="pct"/>
            <w:shd w:val="clear" w:color="auto" w:fill="A8C7FF"/>
          </w:tcPr>
          <w:p w14:paraId="05189288" w14:textId="77777777" w:rsidR="00A71942" w:rsidRPr="00767347" w:rsidRDefault="00A71942" w:rsidP="00E276C8">
            <w:pPr>
              <w:spacing w:after="120"/>
              <w:rPr>
                <w:b/>
                <w:bCs/>
                <w:i/>
                <w:iCs/>
                <w:noProof/>
                <w:sz w:val="22"/>
                <w:szCs w:val="22"/>
              </w:rPr>
            </w:pPr>
            <w:r w:rsidRPr="1FC5E705">
              <w:rPr>
                <w:b/>
                <w:bCs/>
                <w:i/>
                <w:iCs/>
                <w:noProof/>
                <w:sz w:val="22"/>
                <w:szCs w:val="22"/>
              </w:rPr>
              <w:t>Amount</w:t>
            </w:r>
          </w:p>
        </w:tc>
        <w:tc>
          <w:tcPr>
            <w:tcW w:w="2199" w:type="pct"/>
            <w:shd w:val="clear" w:color="auto" w:fill="A8C7FF"/>
          </w:tcPr>
          <w:p w14:paraId="1ABA264D" w14:textId="77777777" w:rsidR="00A71942" w:rsidRPr="00767347" w:rsidRDefault="00A71942" w:rsidP="00E276C8">
            <w:pPr>
              <w:spacing w:after="120"/>
              <w:rPr>
                <w:b/>
                <w:bCs/>
                <w:i/>
                <w:iCs/>
                <w:noProof/>
                <w:sz w:val="22"/>
                <w:szCs w:val="22"/>
              </w:rPr>
            </w:pPr>
            <w:r w:rsidRPr="1FC5E705">
              <w:rPr>
                <w:b/>
                <w:bCs/>
                <w:i/>
                <w:iCs/>
                <w:noProof/>
                <w:sz w:val="22"/>
                <w:szCs w:val="22"/>
              </w:rPr>
              <w:t>Comments</w:t>
            </w:r>
          </w:p>
        </w:tc>
      </w:tr>
      <w:tr w:rsidR="00A71942" w14:paraId="16B96A17" w14:textId="77777777" w:rsidTr="1FC5E705">
        <w:tc>
          <w:tcPr>
            <w:tcW w:w="5000" w:type="pct"/>
            <w:gridSpan w:val="3"/>
          </w:tcPr>
          <w:p w14:paraId="549C997E" w14:textId="77777777" w:rsidR="00A71942" w:rsidRPr="00767347" w:rsidRDefault="00A71942" w:rsidP="00E276C8">
            <w:pPr>
              <w:spacing w:after="120"/>
              <w:rPr>
                <w:noProof/>
                <w:sz w:val="22"/>
                <w:szCs w:val="22"/>
              </w:rPr>
            </w:pPr>
            <w:r w:rsidRPr="1FC5E705">
              <w:rPr>
                <w:i/>
                <w:iCs/>
                <w:noProof/>
                <w:sz w:val="22"/>
                <w:szCs w:val="22"/>
              </w:rPr>
              <w:t xml:space="preserve">Environmental benefits </w:t>
            </w:r>
            <w:r w:rsidRPr="1FC5E705">
              <w:rPr>
                <w:noProof/>
                <w:sz w:val="22"/>
                <w:szCs w:val="22"/>
              </w:rPr>
              <w:t>(See Section 6.1 of impact assessment)</w:t>
            </w:r>
          </w:p>
        </w:tc>
      </w:tr>
      <w:tr w:rsidR="00A71942" w14:paraId="6AE8D553" w14:textId="77777777" w:rsidTr="1FC5E705">
        <w:tc>
          <w:tcPr>
            <w:tcW w:w="874" w:type="pct"/>
          </w:tcPr>
          <w:p w14:paraId="6227BCBC" w14:textId="77777777" w:rsidR="00A71942" w:rsidRPr="004E676E" w:rsidRDefault="00A71942" w:rsidP="00E276C8">
            <w:pPr>
              <w:spacing w:after="120"/>
              <w:rPr>
                <w:noProof/>
                <w:sz w:val="22"/>
                <w:szCs w:val="22"/>
              </w:rPr>
            </w:pPr>
            <w:r w:rsidRPr="1FC5E705">
              <w:rPr>
                <w:noProof/>
                <w:sz w:val="22"/>
                <w:szCs w:val="22"/>
              </w:rPr>
              <w:t>GHG emissions reduction</w:t>
            </w:r>
          </w:p>
        </w:tc>
        <w:tc>
          <w:tcPr>
            <w:tcW w:w="1927" w:type="pct"/>
          </w:tcPr>
          <w:p w14:paraId="298063F8" w14:textId="77777777" w:rsidR="00A71942" w:rsidRPr="004E676E" w:rsidRDefault="00A71942" w:rsidP="00E276C8">
            <w:pPr>
              <w:spacing w:after="120"/>
              <w:rPr>
                <w:noProof/>
                <w:sz w:val="22"/>
                <w:szCs w:val="22"/>
              </w:rPr>
            </w:pPr>
            <w:r w:rsidRPr="1FC5E705">
              <w:rPr>
                <w:noProof/>
                <w:sz w:val="22"/>
                <w:szCs w:val="22"/>
              </w:rPr>
              <w:t>Achieves 85% emission reduction by 2040 (~-62% by 2030 compared to 2005 levels) (6.1.1.1).</w:t>
            </w:r>
          </w:p>
          <w:p w14:paraId="3D87FB9C" w14:textId="77777777" w:rsidR="00A71942" w:rsidRPr="004E676E" w:rsidRDefault="00A71942" w:rsidP="00E276C8">
            <w:pPr>
              <w:spacing w:after="120"/>
              <w:rPr>
                <w:noProof/>
                <w:sz w:val="22"/>
                <w:szCs w:val="22"/>
              </w:rPr>
            </w:pPr>
            <w:r w:rsidRPr="1FC5E705">
              <w:rPr>
                <w:noProof/>
                <w:sz w:val="22"/>
                <w:szCs w:val="22"/>
              </w:rPr>
              <w:t xml:space="preserve">The preferred option for </w:t>
            </w:r>
            <w:r w:rsidRPr="1FC5E705">
              <w:rPr>
                <w:b/>
                <w:bCs/>
                <w:noProof/>
                <w:sz w:val="22"/>
                <w:szCs w:val="22"/>
              </w:rPr>
              <w:t>MSR</w:t>
            </w:r>
            <w:r w:rsidRPr="1FC5E705">
              <w:rPr>
                <w:noProof/>
                <w:sz w:val="22"/>
                <w:szCs w:val="22"/>
              </w:rPr>
              <w:t xml:space="preserve"> is expected to deliver a slightly lower cumulative emissions comparatively with other options whilst maintaining better economic performance (6.1.1.3)</w:t>
            </w:r>
          </w:p>
          <w:p w14:paraId="24CC5356" w14:textId="76361EAF" w:rsidR="00A71942" w:rsidRPr="004E676E" w:rsidRDefault="00A71942" w:rsidP="00E276C8">
            <w:pPr>
              <w:spacing w:after="120"/>
              <w:rPr>
                <w:noProof/>
                <w:sz w:val="22"/>
                <w:szCs w:val="22"/>
              </w:rPr>
            </w:pPr>
            <w:r w:rsidRPr="1FC5E705">
              <w:rPr>
                <w:noProof/>
                <w:sz w:val="22"/>
                <w:szCs w:val="22"/>
              </w:rPr>
              <w:t xml:space="preserve">Regarding </w:t>
            </w:r>
            <w:r w:rsidRPr="1FC5E705">
              <w:rPr>
                <w:b/>
                <w:bCs/>
                <w:noProof/>
                <w:sz w:val="22"/>
                <w:szCs w:val="22"/>
              </w:rPr>
              <w:t>carbon removal</w:t>
            </w:r>
            <w:r w:rsidRPr="1FC5E705">
              <w:rPr>
                <w:noProof/>
                <w:sz w:val="22"/>
                <w:szCs w:val="22"/>
              </w:rPr>
              <w:t>, the preferred option is expected to lead to 175-330 MtCO2 removal through a public purchasing programme (6.1.1.2).</w:t>
            </w:r>
          </w:p>
          <w:p w14:paraId="4DA5BE8B" w14:textId="77777777" w:rsidR="00A71942" w:rsidRPr="004E676E" w:rsidRDefault="00A71942" w:rsidP="00E276C8">
            <w:pPr>
              <w:spacing w:after="120"/>
              <w:rPr>
                <w:noProof/>
                <w:sz w:val="22"/>
                <w:szCs w:val="22"/>
              </w:rPr>
            </w:pPr>
            <w:r w:rsidRPr="1FC5E705">
              <w:rPr>
                <w:noProof/>
                <w:sz w:val="22"/>
                <w:szCs w:val="22"/>
              </w:rPr>
              <w:t xml:space="preserve">Including emissions from municipal </w:t>
            </w:r>
            <w:r w:rsidRPr="1FC5E705">
              <w:rPr>
                <w:b/>
                <w:bCs/>
                <w:noProof/>
                <w:sz w:val="22"/>
                <w:szCs w:val="22"/>
              </w:rPr>
              <w:t>waste incineration in the ETS</w:t>
            </w:r>
            <w:r w:rsidRPr="1FC5E705">
              <w:rPr>
                <w:noProof/>
                <w:sz w:val="22"/>
                <w:szCs w:val="22"/>
              </w:rPr>
              <w:t xml:space="preserve"> is expected to reduce cumulative emissions from municipal waste incineration by –53 MtCO2 or -22% over 2031-40 compared to the baseline (6.1.1.8). </w:t>
            </w:r>
          </w:p>
          <w:p w14:paraId="6A8BAC17" w14:textId="77777777" w:rsidR="00A71942" w:rsidRPr="004E676E" w:rsidRDefault="00A71942" w:rsidP="00E276C8">
            <w:pPr>
              <w:spacing w:after="120"/>
              <w:rPr>
                <w:noProof/>
                <w:sz w:val="22"/>
                <w:szCs w:val="22"/>
              </w:rPr>
            </w:pPr>
            <w:r w:rsidRPr="1FC5E705">
              <w:rPr>
                <w:noProof/>
                <w:sz w:val="22"/>
                <w:szCs w:val="22"/>
              </w:rPr>
              <w:t xml:space="preserve">The </w:t>
            </w:r>
            <w:r w:rsidRPr="1FC5E705">
              <w:rPr>
                <w:b/>
                <w:bCs/>
                <w:noProof/>
                <w:sz w:val="22"/>
                <w:szCs w:val="22"/>
              </w:rPr>
              <w:t>Modernisation Fund</w:t>
            </w:r>
            <w:r w:rsidRPr="1FC5E705">
              <w:rPr>
                <w:noProof/>
                <w:sz w:val="22"/>
                <w:szCs w:val="22"/>
              </w:rPr>
              <w:t xml:space="preserve"> is expected to continue delivering annual emission reductions of around 85 MtCO2e (6.1.1.4). Actual GHG emissions reductions will depend on what sectors Member States decide to spend their envelope. </w:t>
            </w:r>
          </w:p>
          <w:p w14:paraId="0B55E725" w14:textId="045230FA" w:rsidR="00A71942" w:rsidRPr="004E676E" w:rsidRDefault="00A71942" w:rsidP="00E276C8">
            <w:pPr>
              <w:spacing w:after="120"/>
              <w:rPr>
                <w:noProof/>
                <w:sz w:val="22"/>
                <w:szCs w:val="22"/>
              </w:rPr>
            </w:pPr>
            <w:r w:rsidRPr="1FC5E705">
              <w:rPr>
                <w:noProof/>
                <w:sz w:val="22"/>
                <w:szCs w:val="22"/>
              </w:rPr>
              <w:t xml:space="preserve">The </w:t>
            </w:r>
            <w:r w:rsidRPr="1FC5E705">
              <w:rPr>
                <w:b/>
                <w:bCs/>
                <w:noProof/>
                <w:sz w:val="22"/>
                <w:szCs w:val="22"/>
              </w:rPr>
              <w:t>IDB</w:t>
            </w:r>
            <w:r w:rsidRPr="1FC5E705">
              <w:rPr>
                <w:noProof/>
                <w:sz w:val="22"/>
                <w:szCs w:val="22"/>
              </w:rPr>
              <w:t xml:space="preserve"> can deliver over 1,</w:t>
            </w:r>
            <w:r w:rsidR="496C5E99" w:rsidRPr="1FC5E705">
              <w:rPr>
                <w:noProof/>
                <w:sz w:val="22"/>
                <w:szCs w:val="22"/>
              </w:rPr>
              <w:t>630</w:t>
            </w:r>
            <w:r w:rsidRPr="1FC5E705">
              <w:rPr>
                <w:noProof/>
                <w:sz w:val="22"/>
                <w:szCs w:val="22"/>
              </w:rPr>
              <w:t xml:space="preserve"> Mt of CO</w:t>
            </w:r>
            <w:r w:rsidRPr="1FC5E705">
              <w:rPr>
                <w:noProof/>
                <w:sz w:val="22"/>
                <w:szCs w:val="22"/>
                <w:vertAlign w:val="subscript"/>
              </w:rPr>
              <w:t>2</w:t>
            </w:r>
            <w:r w:rsidRPr="1FC5E705">
              <w:rPr>
                <w:noProof/>
                <w:sz w:val="22"/>
                <w:szCs w:val="22"/>
              </w:rPr>
              <w:t xml:space="preserve"> abatement (over 10 years of operation of the awarded projects) and thus address </w:t>
            </w:r>
            <w:r w:rsidR="41E18C06" w:rsidRPr="1FC5E705">
              <w:rPr>
                <w:noProof/>
                <w:sz w:val="22"/>
                <w:szCs w:val="22"/>
              </w:rPr>
              <w:t xml:space="preserve">large share </w:t>
            </w:r>
            <w:r w:rsidRPr="1FC5E705">
              <w:rPr>
                <w:noProof/>
                <w:sz w:val="22"/>
                <w:szCs w:val="22"/>
              </w:rPr>
              <w:t>of the emissions in the EII sectors.</w:t>
            </w:r>
          </w:p>
          <w:p w14:paraId="7991226C" w14:textId="77777777" w:rsidR="00A71942" w:rsidRPr="004E676E" w:rsidDel="00F23EC4" w:rsidRDefault="00A71942" w:rsidP="00E276C8">
            <w:pPr>
              <w:spacing w:after="120"/>
              <w:rPr>
                <w:noProof/>
                <w:sz w:val="22"/>
                <w:szCs w:val="22"/>
              </w:rPr>
            </w:pPr>
            <w:r w:rsidRPr="1FC5E705">
              <w:rPr>
                <w:noProof/>
                <w:sz w:val="22"/>
                <w:szCs w:val="22"/>
              </w:rPr>
              <w:t xml:space="preserve">In </w:t>
            </w:r>
            <w:r w:rsidRPr="1FC5E705">
              <w:rPr>
                <w:b/>
                <w:bCs/>
                <w:noProof/>
                <w:sz w:val="22"/>
                <w:szCs w:val="22"/>
              </w:rPr>
              <w:t>aviation</w:t>
            </w:r>
            <w:r w:rsidRPr="1FC5E705">
              <w:rPr>
                <w:noProof/>
                <w:sz w:val="22"/>
                <w:szCs w:val="22"/>
              </w:rPr>
              <w:t>, greater uptake of sustainable aviation fuel  is expected to reduce emissions covered by ETS allowances by 131 MtCO2 (6.1.1.5).</w:t>
            </w:r>
          </w:p>
          <w:p w14:paraId="4FE27AFA" w14:textId="77777777" w:rsidR="00A71942" w:rsidRPr="004E676E" w:rsidRDefault="00A71942" w:rsidP="00E276C8">
            <w:pPr>
              <w:spacing w:after="120"/>
              <w:rPr>
                <w:noProof/>
                <w:sz w:val="22"/>
                <w:szCs w:val="22"/>
              </w:rPr>
            </w:pPr>
            <w:r w:rsidRPr="1FC5E705">
              <w:rPr>
                <w:noProof/>
                <w:sz w:val="22"/>
                <w:szCs w:val="22"/>
              </w:rPr>
              <w:t xml:space="preserve">In </w:t>
            </w:r>
            <w:r w:rsidRPr="1FC5E705">
              <w:rPr>
                <w:b/>
                <w:bCs/>
                <w:noProof/>
                <w:sz w:val="22"/>
                <w:szCs w:val="22"/>
              </w:rPr>
              <w:t>maritime</w:t>
            </w:r>
            <w:r w:rsidRPr="1FC5E705">
              <w:rPr>
                <w:noProof/>
                <w:sz w:val="22"/>
                <w:szCs w:val="22"/>
              </w:rPr>
              <w:t>, extending the ETS scope to smaller vessels reduces cumulative emissions by around 5% over 2030-2050, compared to the baseline (6.1.1.6). Uptake of renewable fuels increases by 2-3% in 2040 and 5-6% in 2050 (6.2.3.5).</w:t>
            </w:r>
          </w:p>
        </w:tc>
        <w:tc>
          <w:tcPr>
            <w:tcW w:w="2199" w:type="pct"/>
          </w:tcPr>
          <w:p w14:paraId="3E949878" w14:textId="77777777" w:rsidR="00A71942" w:rsidRPr="004E676E" w:rsidRDefault="00A71942" w:rsidP="00E276C8">
            <w:pPr>
              <w:spacing w:after="120"/>
              <w:rPr>
                <w:b/>
                <w:bCs/>
                <w:noProof/>
                <w:sz w:val="22"/>
                <w:szCs w:val="22"/>
              </w:rPr>
            </w:pPr>
            <w:r w:rsidRPr="1FC5E705">
              <w:rPr>
                <w:noProof/>
                <w:sz w:val="22"/>
                <w:szCs w:val="22"/>
              </w:rPr>
              <w:t xml:space="preserve">Main beneficiary: society at large. </w:t>
            </w:r>
          </w:p>
          <w:p w14:paraId="65AA10A7" w14:textId="77777777" w:rsidR="00A71942" w:rsidRPr="004E676E" w:rsidRDefault="00A71942" w:rsidP="00E276C8">
            <w:pPr>
              <w:spacing w:after="120"/>
              <w:rPr>
                <w:noProof/>
                <w:sz w:val="22"/>
                <w:szCs w:val="22"/>
              </w:rPr>
            </w:pPr>
          </w:p>
          <w:p w14:paraId="484DC76F" w14:textId="77777777" w:rsidR="00A71942" w:rsidRPr="004E676E" w:rsidRDefault="00A71942" w:rsidP="00E276C8">
            <w:pPr>
              <w:spacing w:after="120"/>
              <w:rPr>
                <w:noProof/>
                <w:sz w:val="22"/>
                <w:szCs w:val="22"/>
              </w:rPr>
            </w:pPr>
            <w:r w:rsidRPr="1FC5E705">
              <w:rPr>
                <w:noProof/>
                <w:sz w:val="22"/>
                <w:szCs w:val="22"/>
              </w:rPr>
              <w:t xml:space="preserve">Driven by declining emissions in line with ETS contribution to economy-wide climate target. </w:t>
            </w:r>
          </w:p>
        </w:tc>
      </w:tr>
      <w:tr w:rsidR="00A71942" w14:paraId="5A816C9B" w14:textId="77777777" w:rsidTr="1FC5E705">
        <w:tc>
          <w:tcPr>
            <w:tcW w:w="874" w:type="pct"/>
          </w:tcPr>
          <w:p w14:paraId="014CAF7E" w14:textId="77777777" w:rsidR="00A71942" w:rsidRPr="004E676E" w:rsidRDefault="00A71942" w:rsidP="00E276C8">
            <w:pPr>
              <w:spacing w:after="120"/>
              <w:rPr>
                <w:noProof/>
                <w:sz w:val="22"/>
                <w:szCs w:val="22"/>
              </w:rPr>
            </w:pPr>
            <w:r w:rsidRPr="1FC5E705">
              <w:rPr>
                <w:noProof/>
                <w:sz w:val="22"/>
                <w:szCs w:val="22"/>
              </w:rPr>
              <w:t>Incentivising innovative forms of decarbonisation</w:t>
            </w:r>
          </w:p>
        </w:tc>
        <w:tc>
          <w:tcPr>
            <w:tcW w:w="1927" w:type="pct"/>
          </w:tcPr>
          <w:p w14:paraId="75F51C42" w14:textId="77777777" w:rsidR="00A71942" w:rsidRPr="004E676E" w:rsidRDefault="00A71942" w:rsidP="00E276C8">
            <w:pPr>
              <w:spacing w:after="120"/>
              <w:rPr>
                <w:noProof/>
                <w:sz w:val="22"/>
                <w:szCs w:val="22"/>
                <w:lang w:val="en-IE"/>
              </w:rPr>
            </w:pPr>
            <w:r w:rsidRPr="1FC5E705">
              <w:rPr>
                <w:noProof/>
                <w:sz w:val="22"/>
                <w:szCs w:val="22"/>
              </w:rPr>
              <w:t xml:space="preserve">The technologies of </w:t>
            </w:r>
            <w:r w:rsidRPr="1FC5E705">
              <w:rPr>
                <w:b/>
                <w:bCs/>
                <w:noProof/>
                <w:sz w:val="22"/>
                <w:szCs w:val="22"/>
              </w:rPr>
              <w:t xml:space="preserve">Carbon Removal </w:t>
            </w:r>
            <w:r w:rsidRPr="1FC5E705">
              <w:rPr>
                <w:noProof/>
                <w:sz w:val="22"/>
                <w:szCs w:val="22"/>
              </w:rPr>
              <w:t>(6.1.1.1)</w:t>
            </w:r>
            <w:r w:rsidRPr="1FC5E705">
              <w:rPr>
                <w:b/>
                <w:bCs/>
                <w:noProof/>
                <w:sz w:val="22"/>
                <w:szCs w:val="22"/>
              </w:rPr>
              <w:t xml:space="preserve"> </w:t>
            </w:r>
            <w:r w:rsidRPr="1FC5E705">
              <w:rPr>
                <w:noProof/>
                <w:sz w:val="22"/>
                <w:szCs w:val="22"/>
              </w:rPr>
              <w:t xml:space="preserve">and </w:t>
            </w:r>
            <w:r w:rsidRPr="1FC5E705">
              <w:rPr>
                <w:b/>
                <w:bCs/>
                <w:noProof/>
                <w:sz w:val="22"/>
                <w:szCs w:val="22"/>
              </w:rPr>
              <w:t>Carbon Capture and Utilisation</w:t>
            </w:r>
            <w:r w:rsidRPr="1FC5E705">
              <w:rPr>
                <w:noProof/>
                <w:sz w:val="22"/>
                <w:szCs w:val="22"/>
              </w:rPr>
              <w:t xml:space="preserve"> (6.1.1.9) are incentivised, thereby boosting the market for captured and/or stored CO2, reducing both GHG emissions reliance on virgin fossil-based fuel and feedstock. </w:t>
            </w:r>
          </w:p>
          <w:p w14:paraId="574A059D" w14:textId="77777777" w:rsidR="00A71942" w:rsidRPr="004E676E" w:rsidRDefault="00A71942" w:rsidP="00E276C8">
            <w:pPr>
              <w:spacing w:after="120"/>
              <w:rPr>
                <w:noProof/>
                <w:sz w:val="22"/>
                <w:szCs w:val="22"/>
              </w:rPr>
            </w:pPr>
            <w:r w:rsidRPr="1FC5E705">
              <w:rPr>
                <w:noProof/>
                <w:sz w:val="22"/>
                <w:szCs w:val="22"/>
              </w:rPr>
              <w:t xml:space="preserve">Industrial decarbonisation supported through the </w:t>
            </w:r>
            <w:r w:rsidRPr="1FC5E705">
              <w:rPr>
                <w:b/>
                <w:bCs/>
                <w:noProof/>
                <w:sz w:val="22"/>
                <w:szCs w:val="22"/>
              </w:rPr>
              <w:t>IDB</w:t>
            </w:r>
            <w:r w:rsidRPr="1FC5E705">
              <w:rPr>
                <w:noProof/>
                <w:sz w:val="22"/>
                <w:szCs w:val="22"/>
              </w:rPr>
              <w:t xml:space="preserve"> deploying EUR 100 bn over 10 years to decarbonise industry at scale and facilitate modernising the EU economy — in addition to continuation of the existing Innovation Fund and targeted improvements to the Modernisation Fund (6.1.1.4).</w:t>
            </w:r>
          </w:p>
          <w:p w14:paraId="4DC64428" w14:textId="77777777" w:rsidR="00A71942" w:rsidRPr="004E676E" w:rsidDel="00F23EC4" w:rsidRDefault="00A71942" w:rsidP="00E276C8">
            <w:pPr>
              <w:spacing w:after="120"/>
              <w:rPr>
                <w:noProof/>
                <w:sz w:val="22"/>
                <w:szCs w:val="22"/>
              </w:rPr>
            </w:pPr>
            <w:r w:rsidRPr="1FC5E705">
              <w:rPr>
                <w:noProof/>
                <w:sz w:val="22"/>
                <w:szCs w:val="22"/>
              </w:rPr>
              <w:t xml:space="preserve">Greater uptake of sustainable propulsion technologies in </w:t>
            </w:r>
            <w:r w:rsidRPr="1FC5E705">
              <w:rPr>
                <w:b/>
                <w:bCs/>
                <w:noProof/>
                <w:sz w:val="22"/>
                <w:szCs w:val="22"/>
              </w:rPr>
              <w:t>aviation</w:t>
            </w:r>
            <w:r w:rsidRPr="1FC5E705">
              <w:rPr>
                <w:noProof/>
                <w:sz w:val="22"/>
                <w:szCs w:val="22"/>
              </w:rPr>
              <w:t xml:space="preserve"> (6.1.1.5) and </w:t>
            </w:r>
            <w:r w:rsidRPr="1FC5E705">
              <w:rPr>
                <w:b/>
                <w:bCs/>
                <w:noProof/>
                <w:sz w:val="22"/>
                <w:szCs w:val="22"/>
              </w:rPr>
              <w:t>maritime</w:t>
            </w:r>
            <w:r w:rsidRPr="1FC5E705">
              <w:rPr>
                <w:noProof/>
                <w:sz w:val="22"/>
                <w:szCs w:val="22"/>
              </w:rPr>
              <w:t xml:space="preserve"> (6.2.3.5).</w:t>
            </w:r>
          </w:p>
        </w:tc>
        <w:tc>
          <w:tcPr>
            <w:tcW w:w="2199" w:type="pct"/>
          </w:tcPr>
          <w:p w14:paraId="4A31907E" w14:textId="77777777" w:rsidR="00A71942" w:rsidRPr="004E676E" w:rsidRDefault="00A71942" w:rsidP="00E276C8">
            <w:pPr>
              <w:spacing w:after="120"/>
              <w:rPr>
                <w:noProof/>
                <w:sz w:val="22"/>
                <w:szCs w:val="22"/>
              </w:rPr>
            </w:pPr>
            <w:r w:rsidRPr="1FC5E705">
              <w:rPr>
                <w:noProof/>
                <w:sz w:val="22"/>
                <w:szCs w:val="22"/>
              </w:rPr>
              <w:t>Main beneficiary: society at large. Expands options for meeting emission reduction target, improves cost efficiency of abatement options and reducing the cost of climate action.</w:t>
            </w:r>
          </w:p>
          <w:p w14:paraId="6A810312" w14:textId="77777777" w:rsidR="00A71942" w:rsidRPr="004E676E" w:rsidRDefault="00A71942" w:rsidP="00E276C8">
            <w:pPr>
              <w:spacing w:after="120"/>
              <w:rPr>
                <w:noProof/>
                <w:sz w:val="22"/>
                <w:szCs w:val="22"/>
              </w:rPr>
            </w:pPr>
          </w:p>
          <w:p w14:paraId="725FA673" w14:textId="77777777" w:rsidR="00A71942" w:rsidRPr="004E676E" w:rsidRDefault="00A71942" w:rsidP="00E276C8">
            <w:pPr>
              <w:spacing w:after="120"/>
              <w:rPr>
                <w:noProof/>
                <w:sz w:val="22"/>
                <w:szCs w:val="22"/>
              </w:rPr>
            </w:pPr>
            <w:r w:rsidRPr="1FC5E705">
              <w:rPr>
                <w:noProof/>
                <w:sz w:val="22"/>
                <w:szCs w:val="22"/>
              </w:rPr>
              <w:t>Other beneficiaries include developers of climate technologies and sectors with hard-to-abate emissions.</w:t>
            </w:r>
          </w:p>
        </w:tc>
      </w:tr>
      <w:tr w:rsidR="00A71942" w14:paraId="6FA00600" w14:textId="77777777" w:rsidTr="1FC5E705">
        <w:tc>
          <w:tcPr>
            <w:tcW w:w="874" w:type="pct"/>
          </w:tcPr>
          <w:p w14:paraId="323066A1" w14:textId="77777777" w:rsidR="00A71942" w:rsidRPr="004E676E" w:rsidRDefault="00A71942" w:rsidP="00E276C8">
            <w:pPr>
              <w:spacing w:after="120"/>
              <w:rPr>
                <w:noProof/>
                <w:sz w:val="22"/>
                <w:szCs w:val="22"/>
              </w:rPr>
            </w:pPr>
            <w:r w:rsidRPr="1FC5E705">
              <w:rPr>
                <w:noProof/>
                <w:sz w:val="22"/>
                <w:szCs w:val="22"/>
              </w:rPr>
              <w:t>Improved air quality and public health</w:t>
            </w:r>
          </w:p>
        </w:tc>
        <w:tc>
          <w:tcPr>
            <w:tcW w:w="1927" w:type="pct"/>
          </w:tcPr>
          <w:p w14:paraId="05DDECAF" w14:textId="77777777" w:rsidR="00A71942" w:rsidRPr="004E676E" w:rsidRDefault="00A71942" w:rsidP="00E276C8">
            <w:pPr>
              <w:spacing w:after="120"/>
              <w:rPr>
                <w:noProof/>
                <w:sz w:val="22"/>
                <w:szCs w:val="22"/>
              </w:rPr>
            </w:pPr>
            <w:r w:rsidRPr="1FC5E705">
              <w:rPr>
                <w:noProof/>
                <w:sz w:val="22"/>
                <w:szCs w:val="22"/>
              </w:rPr>
              <w:t>Reductions in PM, NO</w:t>
            </w:r>
            <w:r w:rsidRPr="1FC5E705">
              <w:rPr>
                <w:noProof/>
                <w:sz w:val="22"/>
                <w:szCs w:val="22"/>
                <w:vertAlign w:val="subscript"/>
              </w:rPr>
              <w:t>X</w:t>
            </w:r>
            <w:r w:rsidRPr="1FC5E705">
              <w:rPr>
                <w:noProof/>
                <w:sz w:val="22"/>
                <w:szCs w:val="22"/>
              </w:rPr>
              <w:t>, SO</w:t>
            </w:r>
            <w:r w:rsidRPr="1FC5E705">
              <w:rPr>
                <w:noProof/>
                <w:sz w:val="22"/>
                <w:szCs w:val="22"/>
                <w:vertAlign w:val="subscript"/>
              </w:rPr>
              <w:t>2</w:t>
            </w:r>
            <w:r w:rsidRPr="1FC5E705">
              <w:rPr>
                <w:noProof/>
                <w:sz w:val="22"/>
                <w:szCs w:val="22"/>
              </w:rPr>
              <w:t xml:space="preserve"> from industry and waste. </w:t>
            </w:r>
          </w:p>
          <w:p w14:paraId="2DCD9FE9" w14:textId="77777777" w:rsidR="00A71942" w:rsidRPr="004E676E" w:rsidRDefault="00A71942" w:rsidP="00E276C8">
            <w:pPr>
              <w:spacing w:after="120"/>
              <w:rPr>
                <w:noProof/>
                <w:sz w:val="22"/>
                <w:szCs w:val="22"/>
              </w:rPr>
            </w:pPr>
            <w:r w:rsidRPr="1FC5E705">
              <w:rPr>
                <w:noProof/>
                <w:sz w:val="22"/>
                <w:szCs w:val="22"/>
              </w:rPr>
              <w:t>Achieved from:</w:t>
            </w:r>
          </w:p>
          <w:p w14:paraId="447C792C" w14:textId="77777777" w:rsidR="00A71942" w:rsidRPr="004E676E" w:rsidRDefault="00A71942" w:rsidP="00E276C8">
            <w:pPr>
              <w:spacing w:after="120"/>
              <w:rPr>
                <w:noProof/>
                <w:sz w:val="22"/>
                <w:szCs w:val="22"/>
              </w:rPr>
            </w:pPr>
            <w:r w:rsidRPr="1FC5E705">
              <w:rPr>
                <w:noProof/>
                <w:sz w:val="22"/>
                <w:szCs w:val="22"/>
              </w:rPr>
              <w:t xml:space="preserve">phase-out of </w:t>
            </w:r>
            <w:r w:rsidRPr="1FC5E705">
              <w:rPr>
                <w:b/>
                <w:bCs/>
                <w:noProof/>
                <w:sz w:val="22"/>
                <w:szCs w:val="22"/>
              </w:rPr>
              <w:t>Modernisation Fund</w:t>
            </w:r>
            <w:r w:rsidRPr="1FC5E705">
              <w:rPr>
                <w:noProof/>
                <w:sz w:val="22"/>
                <w:szCs w:val="22"/>
              </w:rPr>
              <w:t xml:space="preserve"> support to fossil fuels and waste-to-energy (6.1.2.2).</w:t>
            </w:r>
          </w:p>
          <w:p w14:paraId="76416A6B" w14:textId="77777777" w:rsidR="00A71942" w:rsidRPr="004E676E" w:rsidRDefault="00A71942" w:rsidP="00E276C8">
            <w:pPr>
              <w:spacing w:after="120"/>
              <w:rPr>
                <w:noProof/>
                <w:sz w:val="22"/>
                <w:szCs w:val="22"/>
              </w:rPr>
            </w:pPr>
            <w:r w:rsidRPr="1FC5E705">
              <w:rPr>
                <w:noProof/>
                <w:sz w:val="22"/>
                <w:szCs w:val="22"/>
              </w:rPr>
              <w:t xml:space="preserve">lower air pollution in the </w:t>
            </w:r>
            <w:r w:rsidRPr="1FC5E705">
              <w:rPr>
                <w:b/>
                <w:bCs/>
                <w:noProof/>
                <w:sz w:val="22"/>
                <w:szCs w:val="22"/>
              </w:rPr>
              <w:t>maritime</w:t>
            </w:r>
            <w:r w:rsidRPr="1FC5E705">
              <w:rPr>
                <w:noProof/>
                <w:sz w:val="22"/>
                <w:szCs w:val="22"/>
              </w:rPr>
              <w:t xml:space="preserve"> sector, with social net present value of EUR 22 million (6.2.1.5).</w:t>
            </w:r>
          </w:p>
          <w:p w14:paraId="469C781E" w14:textId="77777777" w:rsidR="00A71942" w:rsidRPr="004E676E" w:rsidDel="00F23EC4" w:rsidRDefault="00A71942" w:rsidP="00E276C8">
            <w:pPr>
              <w:spacing w:after="120"/>
              <w:rPr>
                <w:noProof/>
                <w:sz w:val="22"/>
                <w:szCs w:val="22"/>
              </w:rPr>
            </w:pPr>
            <w:r w:rsidRPr="1FC5E705">
              <w:rPr>
                <w:b/>
                <w:bCs/>
                <w:noProof/>
                <w:sz w:val="22"/>
                <w:szCs w:val="22"/>
              </w:rPr>
              <w:t>waste</w:t>
            </w:r>
            <w:r w:rsidRPr="1FC5E705">
              <w:rPr>
                <w:noProof/>
                <w:sz w:val="22"/>
                <w:szCs w:val="22"/>
              </w:rPr>
              <w:t xml:space="preserve"> reduction, prevention and recycling (6.2.1.7).</w:t>
            </w:r>
          </w:p>
        </w:tc>
        <w:tc>
          <w:tcPr>
            <w:tcW w:w="2199" w:type="pct"/>
          </w:tcPr>
          <w:p w14:paraId="7BB8EA71" w14:textId="77777777" w:rsidR="00A71942" w:rsidRPr="004E676E" w:rsidRDefault="00A71942" w:rsidP="00E276C8">
            <w:pPr>
              <w:spacing w:after="120"/>
              <w:rPr>
                <w:b/>
                <w:bCs/>
                <w:noProof/>
                <w:sz w:val="22"/>
                <w:szCs w:val="22"/>
              </w:rPr>
            </w:pPr>
            <w:r w:rsidRPr="1FC5E705">
              <w:rPr>
                <w:noProof/>
                <w:sz w:val="22"/>
                <w:szCs w:val="22"/>
              </w:rPr>
              <w:t>Main beneficiaries: citizens, urban communities, coastal communities, islands.</w:t>
            </w:r>
          </w:p>
          <w:p w14:paraId="0006DF33" w14:textId="77777777" w:rsidR="00A71942" w:rsidRPr="004E676E" w:rsidRDefault="00A71942" w:rsidP="00E276C8">
            <w:pPr>
              <w:spacing w:after="120"/>
              <w:rPr>
                <w:noProof/>
                <w:sz w:val="22"/>
                <w:szCs w:val="22"/>
              </w:rPr>
            </w:pPr>
          </w:p>
          <w:p w14:paraId="22AD5B9B" w14:textId="77777777" w:rsidR="00A71942" w:rsidRPr="004E676E" w:rsidRDefault="00A71942" w:rsidP="00E276C8">
            <w:pPr>
              <w:spacing w:after="120"/>
              <w:rPr>
                <w:noProof/>
                <w:sz w:val="22"/>
                <w:szCs w:val="22"/>
              </w:rPr>
            </w:pPr>
          </w:p>
        </w:tc>
      </w:tr>
      <w:tr w:rsidR="00A71942" w14:paraId="1CE974C8" w14:textId="77777777" w:rsidTr="1FC5E705">
        <w:tc>
          <w:tcPr>
            <w:tcW w:w="5000" w:type="pct"/>
            <w:gridSpan w:val="3"/>
          </w:tcPr>
          <w:p w14:paraId="69131A6B" w14:textId="77777777" w:rsidR="00A71942" w:rsidRPr="004E676E" w:rsidRDefault="00A71942" w:rsidP="00E276C8">
            <w:pPr>
              <w:spacing w:after="120"/>
              <w:rPr>
                <w:i/>
                <w:iCs/>
                <w:noProof/>
                <w:sz w:val="22"/>
                <w:szCs w:val="22"/>
              </w:rPr>
            </w:pPr>
            <w:r w:rsidRPr="1FC5E705">
              <w:rPr>
                <w:i/>
                <w:iCs/>
                <w:noProof/>
                <w:sz w:val="22"/>
                <w:szCs w:val="22"/>
              </w:rPr>
              <w:t>Economic benefits</w:t>
            </w:r>
          </w:p>
        </w:tc>
      </w:tr>
      <w:tr w:rsidR="00A71942" w14:paraId="328FC337" w14:textId="77777777" w:rsidTr="1FC5E705">
        <w:tc>
          <w:tcPr>
            <w:tcW w:w="874" w:type="pct"/>
          </w:tcPr>
          <w:p w14:paraId="4331E470" w14:textId="77777777" w:rsidR="00A71942" w:rsidRPr="004E676E" w:rsidRDefault="00A71942" w:rsidP="00E276C8">
            <w:pPr>
              <w:spacing w:after="120"/>
              <w:rPr>
                <w:noProof/>
                <w:sz w:val="22"/>
                <w:szCs w:val="22"/>
              </w:rPr>
            </w:pPr>
            <w:r w:rsidRPr="1FC5E705">
              <w:rPr>
                <w:noProof/>
                <w:sz w:val="22"/>
                <w:szCs w:val="22"/>
              </w:rPr>
              <w:t>More gradual decarbonisation trajectory for industry</w:t>
            </w:r>
          </w:p>
        </w:tc>
        <w:tc>
          <w:tcPr>
            <w:tcW w:w="1927" w:type="pct"/>
          </w:tcPr>
          <w:p w14:paraId="6C1576F9" w14:textId="77777777" w:rsidR="00A71942" w:rsidRPr="004E676E" w:rsidRDefault="00A71942" w:rsidP="00E276C8">
            <w:pPr>
              <w:spacing w:after="120"/>
              <w:rPr>
                <w:noProof/>
                <w:sz w:val="22"/>
                <w:szCs w:val="22"/>
              </w:rPr>
            </w:pPr>
            <w:r w:rsidRPr="1FC5E705">
              <w:rPr>
                <w:noProof/>
                <w:sz w:val="22"/>
                <w:szCs w:val="22"/>
              </w:rPr>
              <w:t>The ETS cap declines more gently compared to the baseline, reducing carbon costs for industry.</w:t>
            </w:r>
          </w:p>
        </w:tc>
        <w:tc>
          <w:tcPr>
            <w:tcW w:w="2199" w:type="pct"/>
          </w:tcPr>
          <w:p w14:paraId="0E8229F1" w14:textId="77777777" w:rsidR="00A71942" w:rsidRPr="004E676E" w:rsidRDefault="00A71942" w:rsidP="00E276C8">
            <w:pPr>
              <w:spacing w:after="120"/>
              <w:rPr>
                <w:noProof/>
                <w:sz w:val="22"/>
                <w:szCs w:val="22"/>
              </w:rPr>
            </w:pPr>
          </w:p>
        </w:tc>
      </w:tr>
      <w:tr w:rsidR="00A71942" w14:paraId="7C249D04" w14:textId="77777777" w:rsidTr="1FC5E705">
        <w:tc>
          <w:tcPr>
            <w:tcW w:w="874" w:type="pct"/>
          </w:tcPr>
          <w:p w14:paraId="5040E574" w14:textId="77777777" w:rsidR="00A71942" w:rsidRPr="004E676E" w:rsidRDefault="00A71942" w:rsidP="00E276C8">
            <w:pPr>
              <w:spacing w:after="120"/>
              <w:rPr>
                <w:noProof/>
                <w:sz w:val="22"/>
                <w:szCs w:val="22"/>
              </w:rPr>
            </w:pPr>
            <w:r w:rsidRPr="1FC5E705">
              <w:rPr>
                <w:noProof/>
                <w:sz w:val="22"/>
                <w:szCs w:val="22"/>
              </w:rPr>
              <w:t>Greater stability in carbon market and lower compliance costs</w:t>
            </w:r>
          </w:p>
        </w:tc>
        <w:tc>
          <w:tcPr>
            <w:tcW w:w="1927" w:type="pct"/>
          </w:tcPr>
          <w:p w14:paraId="64AF7020" w14:textId="77777777" w:rsidR="00A71942" w:rsidRPr="004E676E" w:rsidDel="00F23EC4" w:rsidRDefault="00A71942" w:rsidP="00E276C8">
            <w:pPr>
              <w:spacing w:after="120"/>
              <w:rPr>
                <w:noProof/>
                <w:sz w:val="22"/>
                <w:szCs w:val="22"/>
              </w:rPr>
            </w:pPr>
            <w:r w:rsidRPr="1FC5E705">
              <w:rPr>
                <w:noProof/>
                <w:sz w:val="22"/>
                <w:szCs w:val="22"/>
              </w:rPr>
              <w:t xml:space="preserve">Achieved through </w:t>
            </w:r>
            <w:r w:rsidRPr="1FC5E705">
              <w:rPr>
                <w:b/>
                <w:bCs/>
                <w:noProof/>
                <w:sz w:val="22"/>
                <w:szCs w:val="22"/>
              </w:rPr>
              <w:t>MSR</w:t>
            </w:r>
            <w:r w:rsidRPr="1FC5E705">
              <w:rPr>
                <w:noProof/>
                <w:sz w:val="22"/>
                <w:szCs w:val="22"/>
              </w:rPr>
              <w:t xml:space="preserve"> reform, the preferred design option leads to a gradual and more stable EUA price evolution and a more liquid market, resulting in stable signal for investment and business planning certainty (6.2.1.2).</w:t>
            </w:r>
          </w:p>
        </w:tc>
        <w:tc>
          <w:tcPr>
            <w:tcW w:w="2199" w:type="pct"/>
          </w:tcPr>
          <w:p w14:paraId="396D656D" w14:textId="77777777" w:rsidR="00A71942" w:rsidRPr="004E676E" w:rsidRDefault="00A71942" w:rsidP="00E276C8">
            <w:pPr>
              <w:spacing w:after="120"/>
              <w:rPr>
                <w:b/>
                <w:bCs/>
                <w:noProof/>
                <w:sz w:val="22"/>
                <w:szCs w:val="22"/>
              </w:rPr>
            </w:pPr>
            <w:r w:rsidRPr="1FC5E705">
              <w:rPr>
                <w:noProof/>
                <w:sz w:val="22"/>
                <w:szCs w:val="22"/>
              </w:rPr>
              <w:t>Main beneficiaries: ETS operators, investors.</w:t>
            </w:r>
          </w:p>
          <w:p w14:paraId="34D8CC5B" w14:textId="77777777" w:rsidR="00A71942" w:rsidRPr="004E676E" w:rsidRDefault="00A71942" w:rsidP="00E276C8">
            <w:pPr>
              <w:spacing w:after="120"/>
              <w:rPr>
                <w:noProof/>
                <w:sz w:val="22"/>
                <w:szCs w:val="22"/>
              </w:rPr>
            </w:pPr>
            <w:r w:rsidRPr="1FC5E705">
              <w:rPr>
                <w:noProof/>
                <w:sz w:val="22"/>
                <w:szCs w:val="22"/>
              </w:rPr>
              <w:t>Driven by MSR reform which ensures smoother price trajectory.</w:t>
            </w:r>
          </w:p>
        </w:tc>
      </w:tr>
      <w:tr w:rsidR="00A71942" w14:paraId="1B111C1C" w14:textId="77777777" w:rsidTr="1FC5E705">
        <w:tc>
          <w:tcPr>
            <w:tcW w:w="874" w:type="pct"/>
          </w:tcPr>
          <w:p w14:paraId="23A89A1E" w14:textId="77777777" w:rsidR="00A71942" w:rsidRPr="004E676E" w:rsidRDefault="00A71942" w:rsidP="00E276C8">
            <w:pPr>
              <w:spacing w:after="120"/>
              <w:jc w:val="left"/>
              <w:rPr>
                <w:noProof/>
                <w:sz w:val="22"/>
                <w:szCs w:val="22"/>
              </w:rPr>
            </w:pPr>
            <w:r w:rsidRPr="1FC5E705">
              <w:rPr>
                <w:noProof/>
                <w:sz w:val="22"/>
                <w:szCs w:val="22"/>
              </w:rPr>
              <w:t>Support to deployment of carbon removals and innovative mitigation technologies and markets.</w:t>
            </w:r>
          </w:p>
        </w:tc>
        <w:tc>
          <w:tcPr>
            <w:tcW w:w="1927" w:type="pct"/>
          </w:tcPr>
          <w:p w14:paraId="162D2786" w14:textId="77777777" w:rsidR="00A71942" w:rsidRPr="002A2B55" w:rsidRDefault="00A71942" w:rsidP="00E276C8">
            <w:pPr>
              <w:spacing w:after="120"/>
              <w:rPr>
                <w:noProof/>
                <w:sz w:val="22"/>
                <w:szCs w:val="22"/>
              </w:rPr>
            </w:pPr>
            <w:r w:rsidRPr="002A2B55">
              <w:rPr>
                <w:noProof/>
                <w:sz w:val="22"/>
                <w:szCs w:val="22"/>
              </w:rPr>
              <w:t xml:space="preserve">Due to </w:t>
            </w:r>
            <w:r w:rsidRPr="002A2B55">
              <w:rPr>
                <w:b/>
                <w:bCs/>
                <w:noProof/>
                <w:sz w:val="22"/>
                <w:szCs w:val="22"/>
              </w:rPr>
              <w:t>carbon removal</w:t>
            </w:r>
            <w:r w:rsidRPr="002A2B55">
              <w:rPr>
                <w:noProof/>
                <w:sz w:val="22"/>
                <w:szCs w:val="22"/>
              </w:rPr>
              <w:t xml:space="preserve"> integration through the public purchasing programme (6.2.1.1).</w:t>
            </w:r>
          </w:p>
          <w:p w14:paraId="5D52031D" w14:textId="77777777" w:rsidR="00A71942" w:rsidRPr="002A2B55" w:rsidRDefault="00A71942" w:rsidP="00E276C8">
            <w:pPr>
              <w:spacing w:after="120"/>
              <w:rPr>
                <w:noProof/>
                <w:sz w:val="22"/>
                <w:szCs w:val="22"/>
              </w:rPr>
            </w:pPr>
            <w:r w:rsidRPr="002A2B55">
              <w:rPr>
                <w:noProof/>
                <w:sz w:val="22"/>
                <w:szCs w:val="22"/>
              </w:rPr>
              <w:t>Fostering permanent</w:t>
            </w:r>
            <w:r w:rsidRPr="002A2B55">
              <w:rPr>
                <w:b/>
                <w:bCs/>
                <w:noProof/>
                <w:sz w:val="22"/>
                <w:szCs w:val="22"/>
              </w:rPr>
              <w:t xml:space="preserve"> carbon removals</w:t>
            </w:r>
            <w:r w:rsidRPr="002A2B55">
              <w:rPr>
                <w:noProof/>
                <w:sz w:val="22"/>
                <w:szCs w:val="22"/>
              </w:rPr>
              <w:t xml:space="preserve"> </w:t>
            </w:r>
            <w:r w:rsidRPr="002A2B55">
              <w:rPr>
                <w:b/>
                <w:bCs/>
                <w:noProof/>
                <w:sz w:val="22"/>
                <w:szCs w:val="22"/>
              </w:rPr>
              <w:t xml:space="preserve">from biogenic emissions </w:t>
            </w:r>
            <w:r w:rsidRPr="002A2B55">
              <w:rPr>
                <w:noProof/>
                <w:sz w:val="22"/>
                <w:szCs w:val="22"/>
              </w:rPr>
              <w:t>in municipal waste incineration, supporting economy-wide decarbonisation (6.1.1.8.).</w:t>
            </w:r>
          </w:p>
          <w:p w14:paraId="2E4E5BA8" w14:textId="77777777" w:rsidR="00A71942" w:rsidRPr="002A2B55" w:rsidRDefault="00A71942" w:rsidP="00E276C8">
            <w:pPr>
              <w:spacing w:after="120"/>
              <w:rPr>
                <w:noProof/>
                <w:sz w:val="22"/>
                <w:szCs w:val="22"/>
              </w:rPr>
            </w:pPr>
            <w:r w:rsidRPr="002A2B55">
              <w:rPr>
                <w:noProof/>
                <w:sz w:val="22"/>
                <w:szCs w:val="22"/>
              </w:rPr>
              <w:t xml:space="preserve">Increased investment due to support of the </w:t>
            </w:r>
            <w:r w:rsidRPr="002A2B55">
              <w:rPr>
                <w:b/>
                <w:bCs/>
                <w:noProof/>
                <w:sz w:val="22"/>
                <w:szCs w:val="22"/>
              </w:rPr>
              <w:t>Industrial Decarbonisation Bank</w:t>
            </w:r>
            <w:r w:rsidRPr="002A2B55">
              <w:rPr>
                <w:noProof/>
                <w:sz w:val="22"/>
                <w:szCs w:val="22"/>
              </w:rPr>
              <w:t>, EUR 100bn with average direct leverage effect estimated at 45%</w:t>
            </w:r>
            <w:r w:rsidRPr="002A2B55">
              <w:rPr>
                <w:rStyle w:val="FootnoteReference"/>
                <w:rFonts w:eastAsia="MS Gothic"/>
                <w:noProof/>
                <w:sz w:val="22"/>
                <w:szCs w:val="22"/>
              </w:rPr>
              <w:footnoteReference w:id="24"/>
            </w:r>
            <w:r w:rsidRPr="002A2B55">
              <w:rPr>
                <w:noProof/>
                <w:sz w:val="22"/>
                <w:szCs w:val="22"/>
              </w:rPr>
              <w:t xml:space="preserve"> (6.2.3.3).</w:t>
            </w:r>
          </w:p>
          <w:p w14:paraId="0F1F19FF" w14:textId="33A617DB" w:rsidR="00A71942" w:rsidRPr="002A2B55" w:rsidRDefault="00A71942" w:rsidP="00E276C8">
            <w:pPr>
              <w:spacing w:after="120"/>
              <w:rPr>
                <w:noProof/>
                <w:sz w:val="22"/>
                <w:szCs w:val="22"/>
              </w:rPr>
            </w:pPr>
            <w:r w:rsidRPr="002A2B55">
              <w:rPr>
                <w:noProof/>
                <w:sz w:val="22"/>
                <w:szCs w:val="22"/>
              </w:rPr>
              <w:t xml:space="preserve">Investment estimated at EUR </w:t>
            </w:r>
            <w:r w:rsidR="002A2B55" w:rsidRPr="002A2B55">
              <w:rPr>
                <w:noProof/>
                <w:sz w:val="22"/>
                <w:szCs w:val="22"/>
              </w:rPr>
              <w:t>50</w:t>
            </w:r>
            <w:r w:rsidRPr="002A2B55">
              <w:rPr>
                <w:noProof/>
                <w:sz w:val="22"/>
                <w:szCs w:val="22"/>
              </w:rPr>
              <w:t>-</w:t>
            </w:r>
            <w:r w:rsidR="002A2B55" w:rsidRPr="002A2B55">
              <w:rPr>
                <w:noProof/>
                <w:sz w:val="22"/>
                <w:szCs w:val="22"/>
              </w:rPr>
              <w:t>90</w:t>
            </w:r>
            <w:r w:rsidRPr="002A2B55">
              <w:rPr>
                <w:noProof/>
                <w:sz w:val="22"/>
                <w:szCs w:val="22"/>
              </w:rPr>
              <w:t xml:space="preserve"> billion over 2031-2040 due to </w:t>
            </w:r>
            <w:r w:rsidRPr="002A2B55">
              <w:rPr>
                <w:b/>
                <w:bCs/>
                <w:noProof/>
                <w:sz w:val="22"/>
                <w:szCs w:val="22"/>
              </w:rPr>
              <w:t>conditional free allocation</w:t>
            </w:r>
            <w:r w:rsidRPr="002A2B55">
              <w:rPr>
                <w:noProof/>
                <w:sz w:val="22"/>
                <w:szCs w:val="22"/>
              </w:rPr>
              <w:t xml:space="preserve"> (6.2.1.6)</w:t>
            </w:r>
          </w:p>
          <w:p w14:paraId="3734F692" w14:textId="77777777" w:rsidR="00A71942" w:rsidRPr="002A2B55" w:rsidDel="00F23EC4" w:rsidRDefault="00A71942" w:rsidP="00E276C8">
            <w:pPr>
              <w:spacing w:after="120"/>
              <w:rPr>
                <w:noProof/>
                <w:sz w:val="22"/>
                <w:szCs w:val="22"/>
              </w:rPr>
            </w:pPr>
            <w:r w:rsidRPr="002A2B55">
              <w:rPr>
                <w:noProof/>
                <w:sz w:val="22"/>
                <w:szCs w:val="22"/>
              </w:rPr>
              <w:t xml:space="preserve">Improved business case for </w:t>
            </w:r>
            <w:r w:rsidRPr="002A2B55">
              <w:rPr>
                <w:b/>
                <w:bCs/>
                <w:noProof/>
                <w:sz w:val="22"/>
                <w:szCs w:val="22"/>
              </w:rPr>
              <w:t>carbon capture and utilisation</w:t>
            </w:r>
            <w:r w:rsidRPr="002A2B55">
              <w:rPr>
                <w:noProof/>
                <w:sz w:val="22"/>
                <w:szCs w:val="22"/>
              </w:rPr>
              <w:t xml:space="preserve"> due to accounting change and inclusion of waste incineration (6.2.1.8, 6.2.3.7 &amp; 6.2.3.8)</w:t>
            </w:r>
          </w:p>
        </w:tc>
        <w:tc>
          <w:tcPr>
            <w:tcW w:w="2199" w:type="pct"/>
          </w:tcPr>
          <w:p w14:paraId="05E41BF4" w14:textId="77777777" w:rsidR="00A71942" w:rsidRPr="004E676E" w:rsidRDefault="00A71942" w:rsidP="00E276C8">
            <w:pPr>
              <w:spacing w:after="120"/>
              <w:rPr>
                <w:b/>
                <w:bCs/>
                <w:noProof/>
                <w:sz w:val="22"/>
                <w:szCs w:val="22"/>
              </w:rPr>
            </w:pPr>
            <w:r w:rsidRPr="1FC5E705">
              <w:rPr>
                <w:noProof/>
                <w:sz w:val="22"/>
                <w:szCs w:val="22"/>
              </w:rPr>
              <w:t xml:space="preserve">Main beneficiaries: ETS operators, consumers, industrial operators, developers of relevant technologies (e.g. carbon removal, e-fuel producers). </w:t>
            </w:r>
          </w:p>
        </w:tc>
      </w:tr>
      <w:tr w:rsidR="00A71942" w14:paraId="70CE7670" w14:textId="77777777" w:rsidTr="1FC5E705">
        <w:tc>
          <w:tcPr>
            <w:tcW w:w="874" w:type="pct"/>
          </w:tcPr>
          <w:p w14:paraId="7A70280C" w14:textId="77777777" w:rsidR="00A71942" w:rsidRPr="004E676E" w:rsidRDefault="00A71942" w:rsidP="00E276C8">
            <w:pPr>
              <w:spacing w:after="120"/>
              <w:rPr>
                <w:noProof/>
                <w:sz w:val="22"/>
                <w:szCs w:val="22"/>
              </w:rPr>
            </w:pPr>
            <w:r w:rsidRPr="1FC5E705">
              <w:rPr>
                <w:noProof/>
                <w:sz w:val="22"/>
                <w:szCs w:val="22"/>
              </w:rPr>
              <w:t>Reduction in carbon leakage rates</w:t>
            </w:r>
          </w:p>
        </w:tc>
        <w:tc>
          <w:tcPr>
            <w:tcW w:w="1927" w:type="pct"/>
          </w:tcPr>
          <w:p w14:paraId="3BBD584F" w14:textId="77777777" w:rsidR="00A71942" w:rsidRPr="004E676E" w:rsidRDefault="00A71942" w:rsidP="00E276C8">
            <w:pPr>
              <w:spacing w:after="120"/>
              <w:rPr>
                <w:noProof/>
                <w:sz w:val="22"/>
                <w:szCs w:val="22"/>
              </w:rPr>
            </w:pPr>
            <w:r w:rsidRPr="1FC5E705">
              <w:rPr>
                <w:noProof/>
                <w:sz w:val="22"/>
                <w:szCs w:val="22"/>
              </w:rPr>
              <w:t>Less carbon leakage compared to baseline (6.2.3, Annex 12 Section 1.4.4.1). Increased free allocation of 42%-47% over 2031-2040 (Annex 12, Table 12).</w:t>
            </w:r>
          </w:p>
        </w:tc>
        <w:tc>
          <w:tcPr>
            <w:tcW w:w="2199" w:type="pct"/>
          </w:tcPr>
          <w:p w14:paraId="69F1A397" w14:textId="77777777" w:rsidR="00A71942" w:rsidRPr="004E676E" w:rsidRDefault="00A71942" w:rsidP="00E276C8">
            <w:pPr>
              <w:spacing w:after="120"/>
              <w:rPr>
                <w:b/>
                <w:bCs/>
                <w:noProof/>
                <w:sz w:val="22"/>
                <w:szCs w:val="22"/>
              </w:rPr>
            </w:pPr>
            <w:r w:rsidRPr="1FC5E705">
              <w:rPr>
                <w:noProof/>
                <w:sz w:val="22"/>
                <w:szCs w:val="22"/>
              </w:rPr>
              <w:t>Main beneficiaries: industries exposed to the risk of carbon leakage.</w:t>
            </w:r>
          </w:p>
          <w:p w14:paraId="761DD056" w14:textId="77777777" w:rsidR="00A71942" w:rsidRPr="004E676E" w:rsidRDefault="00A71942" w:rsidP="00E276C8">
            <w:pPr>
              <w:spacing w:after="120"/>
              <w:rPr>
                <w:noProof/>
                <w:sz w:val="22"/>
                <w:szCs w:val="22"/>
              </w:rPr>
            </w:pPr>
            <w:r w:rsidRPr="1FC5E705">
              <w:rPr>
                <w:noProof/>
                <w:sz w:val="22"/>
                <w:szCs w:val="22"/>
              </w:rPr>
              <w:t>Driven by more gradual cap tightening than baseline combined with investments facilitated by ETS revenues and conditionality in free allocation.</w:t>
            </w:r>
          </w:p>
        </w:tc>
      </w:tr>
      <w:tr w:rsidR="00A71942" w14:paraId="1B47CDA0" w14:textId="77777777" w:rsidTr="1FC5E705">
        <w:trPr>
          <w:trHeight w:val="300"/>
        </w:trPr>
        <w:tc>
          <w:tcPr>
            <w:tcW w:w="874" w:type="pct"/>
          </w:tcPr>
          <w:p w14:paraId="3BA2A8FD" w14:textId="77777777" w:rsidR="00A71942" w:rsidRPr="004E676E" w:rsidRDefault="00A71942" w:rsidP="00E276C8">
            <w:pPr>
              <w:spacing w:after="120"/>
              <w:rPr>
                <w:noProof/>
                <w:sz w:val="22"/>
                <w:szCs w:val="22"/>
              </w:rPr>
            </w:pPr>
            <w:r w:rsidRPr="1FC5E705">
              <w:rPr>
                <w:noProof/>
                <w:sz w:val="22"/>
                <w:szCs w:val="22"/>
              </w:rPr>
              <w:t>Circular economy incentive</w:t>
            </w:r>
          </w:p>
        </w:tc>
        <w:tc>
          <w:tcPr>
            <w:tcW w:w="1927" w:type="pct"/>
          </w:tcPr>
          <w:p w14:paraId="6A39C6F4" w14:textId="77777777" w:rsidR="00A71942" w:rsidRPr="004E676E" w:rsidRDefault="00A71942" w:rsidP="00E276C8">
            <w:pPr>
              <w:spacing w:after="120"/>
              <w:rPr>
                <w:noProof/>
                <w:sz w:val="22"/>
                <w:szCs w:val="22"/>
              </w:rPr>
            </w:pPr>
            <w:r w:rsidRPr="1FC5E705">
              <w:rPr>
                <w:noProof/>
                <w:sz w:val="22"/>
                <w:szCs w:val="22"/>
              </w:rPr>
              <w:t xml:space="preserve">Inclusion of </w:t>
            </w:r>
            <w:r w:rsidRPr="1FC5E705">
              <w:rPr>
                <w:b/>
                <w:bCs/>
                <w:noProof/>
                <w:sz w:val="22"/>
                <w:szCs w:val="22"/>
              </w:rPr>
              <w:t>waste incineration</w:t>
            </w:r>
            <w:r w:rsidRPr="1FC5E705">
              <w:rPr>
                <w:noProof/>
                <w:sz w:val="22"/>
                <w:szCs w:val="22"/>
              </w:rPr>
              <w:t xml:space="preserve"> incentivising circular economy for materials, reducing GHG emissions from waste disposal, and generating recycled materials displacing more carbon-intensive virgin materials (6.1.2.5.).</w:t>
            </w:r>
          </w:p>
        </w:tc>
        <w:tc>
          <w:tcPr>
            <w:tcW w:w="2199" w:type="pct"/>
          </w:tcPr>
          <w:p w14:paraId="45925EB3" w14:textId="77777777" w:rsidR="00A71942" w:rsidRPr="004E676E" w:rsidRDefault="00A71942" w:rsidP="00E276C8">
            <w:pPr>
              <w:spacing w:after="120"/>
              <w:rPr>
                <w:noProof/>
                <w:sz w:val="22"/>
                <w:szCs w:val="22"/>
              </w:rPr>
            </w:pPr>
          </w:p>
        </w:tc>
      </w:tr>
      <w:tr w:rsidR="00A71942" w14:paraId="1693E41D" w14:textId="77777777" w:rsidTr="1FC5E705">
        <w:trPr>
          <w:trHeight w:val="300"/>
        </w:trPr>
        <w:tc>
          <w:tcPr>
            <w:tcW w:w="874" w:type="pct"/>
          </w:tcPr>
          <w:p w14:paraId="2CA82960" w14:textId="77777777" w:rsidR="00A71942" w:rsidRPr="004E676E" w:rsidRDefault="00A71942" w:rsidP="00E276C8">
            <w:pPr>
              <w:spacing w:after="120"/>
              <w:rPr>
                <w:noProof/>
                <w:sz w:val="22"/>
                <w:szCs w:val="22"/>
              </w:rPr>
            </w:pPr>
            <w:r w:rsidRPr="1FC5E705">
              <w:rPr>
                <w:noProof/>
                <w:sz w:val="22"/>
                <w:szCs w:val="22"/>
              </w:rPr>
              <w:t>Improved functioning of internal market for waste</w:t>
            </w:r>
          </w:p>
        </w:tc>
        <w:tc>
          <w:tcPr>
            <w:tcW w:w="1927" w:type="pct"/>
          </w:tcPr>
          <w:p w14:paraId="4A480ED5" w14:textId="77777777" w:rsidR="00A71942" w:rsidRPr="004E676E" w:rsidRDefault="00A71942" w:rsidP="00E276C8">
            <w:pPr>
              <w:spacing w:after="120"/>
              <w:rPr>
                <w:noProof/>
                <w:sz w:val="22"/>
                <w:szCs w:val="22"/>
              </w:rPr>
            </w:pPr>
            <w:r w:rsidRPr="1FC5E705">
              <w:rPr>
                <w:noProof/>
                <w:sz w:val="22"/>
                <w:szCs w:val="22"/>
              </w:rPr>
              <w:t>Level playing field between sectors, within sector and between Member States through harmonised carbon price signal (6.2.6.3.).</w:t>
            </w:r>
          </w:p>
        </w:tc>
        <w:tc>
          <w:tcPr>
            <w:tcW w:w="2199" w:type="pct"/>
          </w:tcPr>
          <w:p w14:paraId="496DDBBE" w14:textId="77777777" w:rsidR="00A71942" w:rsidRPr="004E676E" w:rsidRDefault="00A71942" w:rsidP="00E276C8">
            <w:pPr>
              <w:spacing w:after="120"/>
              <w:rPr>
                <w:noProof/>
                <w:sz w:val="22"/>
                <w:szCs w:val="22"/>
              </w:rPr>
            </w:pPr>
          </w:p>
        </w:tc>
      </w:tr>
      <w:tr w:rsidR="00A71942" w14:paraId="37E8DC58" w14:textId="77777777" w:rsidTr="1FC5E705">
        <w:tc>
          <w:tcPr>
            <w:tcW w:w="874" w:type="pct"/>
          </w:tcPr>
          <w:p w14:paraId="42A2E914" w14:textId="77777777" w:rsidR="00A71942" w:rsidRPr="004E676E" w:rsidRDefault="00A71942" w:rsidP="00E276C8">
            <w:pPr>
              <w:spacing w:after="120"/>
              <w:rPr>
                <w:noProof/>
                <w:sz w:val="22"/>
                <w:szCs w:val="22"/>
              </w:rPr>
            </w:pPr>
            <w:r w:rsidRPr="1FC5E705">
              <w:rPr>
                <w:noProof/>
                <w:sz w:val="22"/>
                <w:szCs w:val="22"/>
              </w:rPr>
              <w:t>Lower compliance costs in aviation</w:t>
            </w:r>
          </w:p>
        </w:tc>
        <w:tc>
          <w:tcPr>
            <w:tcW w:w="1927" w:type="pct"/>
          </w:tcPr>
          <w:p w14:paraId="7ED4751C" w14:textId="77777777" w:rsidR="00A71942" w:rsidRPr="004E676E" w:rsidRDefault="00A71942" w:rsidP="00E276C8">
            <w:pPr>
              <w:spacing w:after="120"/>
              <w:rPr>
                <w:noProof/>
                <w:sz w:val="22"/>
                <w:szCs w:val="22"/>
              </w:rPr>
            </w:pPr>
            <w:r w:rsidRPr="1FC5E705">
              <w:rPr>
                <w:noProof/>
                <w:sz w:val="22"/>
                <w:szCs w:val="22"/>
              </w:rPr>
              <w:t>Compliance costs are significantly lower compared to the baseline (36% lower in 2035) due to narrower ETS scope (Annex 10, Table 13).</w:t>
            </w:r>
          </w:p>
        </w:tc>
        <w:tc>
          <w:tcPr>
            <w:tcW w:w="2199" w:type="pct"/>
          </w:tcPr>
          <w:p w14:paraId="379DB300" w14:textId="77777777" w:rsidR="00A71942" w:rsidRPr="004E676E" w:rsidRDefault="00A71942" w:rsidP="00E276C8">
            <w:pPr>
              <w:spacing w:after="120"/>
              <w:rPr>
                <w:noProof/>
                <w:sz w:val="22"/>
                <w:szCs w:val="22"/>
              </w:rPr>
            </w:pPr>
            <w:r w:rsidRPr="1FC5E705">
              <w:rPr>
                <w:noProof/>
                <w:sz w:val="22"/>
                <w:szCs w:val="22"/>
              </w:rPr>
              <w:t xml:space="preserve">Main beneficiaries: aircraft operators, passengers. </w:t>
            </w:r>
          </w:p>
        </w:tc>
      </w:tr>
      <w:tr w:rsidR="00ED6016" w14:paraId="4AC61E44" w14:textId="77777777" w:rsidTr="1FC5E705">
        <w:trPr>
          <w:trHeight w:val="300"/>
        </w:trPr>
        <w:tc>
          <w:tcPr>
            <w:tcW w:w="874" w:type="pct"/>
          </w:tcPr>
          <w:p w14:paraId="414E7C79" w14:textId="50EF1FC9" w:rsidR="00ED6016" w:rsidRPr="1FC5E705" w:rsidRDefault="00ED6016" w:rsidP="00975687">
            <w:pPr>
              <w:jc w:val="left"/>
              <w:rPr>
                <w:noProof/>
                <w:sz w:val="22"/>
                <w:szCs w:val="22"/>
              </w:rPr>
            </w:pPr>
            <w:r>
              <w:rPr>
                <w:noProof/>
                <w:sz w:val="22"/>
                <w:szCs w:val="22"/>
              </w:rPr>
              <w:t>O</w:t>
            </w:r>
            <w:r w:rsidR="00D236AF">
              <w:rPr>
                <w:noProof/>
                <w:sz w:val="22"/>
                <w:szCs w:val="22"/>
              </w:rPr>
              <w:t>verall net benefit (maritime)</w:t>
            </w:r>
          </w:p>
        </w:tc>
        <w:tc>
          <w:tcPr>
            <w:tcW w:w="1927" w:type="pct"/>
          </w:tcPr>
          <w:p w14:paraId="7B0A1415" w14:textId="254C03F1" w:rsidR="00ED6016" w:rsidRPr="1FC5E705" w:rsidRDefault="002A62AF" w:rsidP="00975687">
            <w:pPr>
              <w:rPr>
                <w:noProof/>
                <w:sz w:val="22"/>
                <w:szCs w:val="22"/>
              </w:rPr>
            </w:pPr>
            <w:r>
              <w:rPr>
                <w:noProof/>
                <w:sz w:val="22"/>
                <w:szCs w:val="22"/>
              </w:rPr>
              <w:t xml:space="preserve">Maritime policy options </w:t>
            </w:r>
            <w:r w:rsidR="002936E2">
              <w:rPr>
                <w:noProof/>
                <w:sz w:val="22"/>
                <w:szCs w:val="22"/>
              </w:rPr>
              <w:t xml:space="preserve">are expected to yield a net benefit of EUR 7bn </w:t>
            </w:r>
            <w:r w:rsidR="00035689">
              <w:rPr>
                <w:noProof/>
                <w:sz w:val="22"/>
                <w:szCs w:val="22"/>
              </w:rPr>
              <w:t xml:space="preserve">in the preferred option </w:t>
            </w:r>
            <w:r w:rsidR="002936E2">
              <w:rPr>
                <w:noProof/>
                <w:sz w:val="22"/>
                <w:szCs w:val="22"/>
              </w:rPr>
              <w:t>(7.2)</w:t>
            </w:r>
          </w:p>
        </w:tc>
        <w:tc>
          <w:tcPr>
            <w:tcW w:w="2199" w:type="pct"/>
          </w:tcPr>
          <w:p w14:paraId="4CB15992" w14:textId="79913F04" w:rsidR="00ED6016" w:rsidRPr="1FC5E705" w:rsidRDefault="00944631" w:rsidP="00975687">
            <w:pPr>
              <w:rPr>
                <w:noProof/>
                <w:sz w:val="22"/>
                <w:szCs w:val="22"/>
              </w:rPr>
            </w:pPr>
            <w:r>
              <w:rPr>
                <w:rFonts w:eastAsia="Times New Roman"/>
                <w:noProof/>
              </w:rPr>
              <w:t xml:space="preserve">Analysis combining </w:t>
            </w:r>
            <w:r w:rsidRPr="001F5833">
              <w:rPr>
                <w:rFonts w:eastAsia="Times New Roman"/>
                <w:noProof/>
              </w:rPr>
              <w:t>discounted benefits of emission savings against discounted abatement costs and administrative costs</w:t>
            </w:r>
          </w:p>
        </w:tc>
      </w:tr>
      <w:tr w:rsidR="00A71942" w14:paraId="189AC4F5" w14:textId="77777777" w:rsidTr="1FC5E705">
        <w:trPr>
          <w:trHeight w:val="300"/>
        </w:trPr>
        <w:tc>
          <w:tcPr>
            <w:tcW w:w="874" w:type="pct"/>
          </w:tcPr>
          <w:p w14:paraId="7B59F189" w14:textId="77777777" w:rsidR="00A71942" w:rsidRPr="004E676E" w:rsidRDefault="00A71942" w:rsidP="00E276C8">
            <w:pPr>
              <w:spacing w:after="120"/>
              <w:jc w:val="left"/>
              <w:rPr>
                <w:noProof/>
                <w:sz w:val="22"/>
                <w:szCs w:val="22"/>
              </w:rPr>
            </w:pPr>
            <w:r w:rsidRPr="1FC5E705">
              <w:rPr>
                <w:noProof/>
                <w:sz w:val="22"/>
                <w:szCs w:val="22"/>
              </w:rPr>
              <w:t>Avoiding double pricing of GHG emissions priced upon implementation of the global measure CORSIA</w:t>
            </w:r>
          </w:p>
        </w:tc>
        <w:tc>
          <w:tcPr>
            <w:tcW w:w="1927" w:type="pct"/>
          </w:tcPr>
          <w:p w14:paraId="4493FF3E" w14:textId="77777777" w:rsidR="00A71942" w:rsidRPr="004E676E" w:rsidRDefault="00A71942" w:rsidP="00E276C8">
            <w:pPr>
              <w:spacing w:after="120"/>
              <w:rPr>
                <w:noProof/>
                <w:sz w:val="22"/>
                <w:szCs w:val="22"/>
              </w:rPr>
            </w:pPr>
            <w:r w:rsidRPr="1FC5E705">
              <w:rPr>
                <w:noProof/>
                <w:sz w:val="22"/>
                <w:szCs w:val="22"/>
              </w:rPr>
              <w:t xml:space="preserve">Depends on the participation to CORSIA by third countries (6.1.1.5). </w:t>
            </w:r>
          </w:p>
        </w:tc>
        <w:tc>
          <w:tcPr>
            <w:tcW w:w="2199" w:type="pct"/>
          </w:tcPr>
          <w:p w14:paraId="7CB3CBB4" w14:textId="77777777" w:rsidR="00A71942" w:rsidRPr="004E676E" w:rsidRDefault="00A71942" w:rsidP="00E276C8">
            <w:pPr>
              <w:spacing w:after="120"/>
              <w:rPr>
                <w:noProof/>
                <w:sz w:val="22"/>
                <w:szCs w:val="22"/>
              </w:rPr>
            </w:pPr>
            <w:r w:rsidRPr="1FC5E705">
              <w:rPr>
                <w:noProof/>
                <w:sz w:val="22"/>
                <w:szCs w:val="22"/>
              </w:rPr>
              <w:t xml:space="preserve">Main beneficiaries: aircraft operators operating international flights. </w:t>
            </w:r>
          </w:p>
        </w:tc>
      </w:tr>
      <w:tr w:rsidR="00A71942" w14:paraId="5B94FAAD" w14:textId="77777777" w:rsidTr="1FC5E705">
        <w:trPr>
          <w:trHeight w:val="300"/>
        </w:trPr>
        <w:tc>
          <w:tcPr>
            <w:tcW w:w="874" w:type="pct"/>
          </w:tcPr>
          <w:p w14:paraId="0482BB8E" w14:textId="77777777" w:rsidR="00A71942" w:rsidRPr="004E676E" w:rsidRDefault="00A71942" w:rsidP="00E276C8">
            <w:pPr>
              <w:spacing w:after="120"/>
              <w:jc w:val="left"/>
              <w:rPr>
                <w:noProof/>
                <w:sz w:val="22"/>
                <w:szCs w:val="22"/>
              </w:rPr>
            </w:pPr>
            <w:r w:rsidRPr="1FC5E705">
              <w:rPr>
                <w:noProof/>
                <w:sz w:val="22"/>
                <w:szCs w:val="22"/>
              </w:rPr>
              <w:t xml:space="preserve">Avoiding of double pricing of GHG emissions priced under a global measure, once adopted, at IMO </w:t>
            </w:r>
          </w:p>
        </w:tc>
        <w:tc>
          <w:tcPr>
            <w:tcW w:w="1927" w:type="pct"/>
          </w:tcPr>
          <w:p w14:paraId="2661F42E" w14:textId="77777777" w:rsidR="00A71942" w:rsidRPr="004E676E" w:rsidRDefault="00A71942" w:rsidP="00E276C8">
            <w:pPr>
              <w:spacing w:after="120"/>
              <w:rPr>
                <w:noProof/>
                <w:sz w:val="22"/>
                <w:szCs w:val="22"/>
              </w:rPr>
            </w:pPr>
            <w:r w:rsidRPr="1FC5E705">
              <w:rPr>
                <w:noProof/>
                <w:sz w:val="22"/>
                <w:szCs w:val="22"/>
              </w:rPr>
              <w:t>Depends on emissions of each ship 6.2.1.5</w:t>
            </w:r>
          </w:p>
        </w:tc>
        <w:tc>
          <w:tcPr>
            <w:tcW w:w="2199" w:type="pct"/>
          </w:tcPr>
          <w:p w14:paraId="16E14807" w14:textId="77777777" w:rsidR="00A71942" w:rsidRPr="004E676E" w:rsidRDefault="00A71942" w:rsidP="00E276C8">
            <w:pPr>
              <w:spacing w:after="120"/>
              <w:rPr>
                <w:noProof/>
                <w:sz w:val="22"/>
                <w:szCs w:val="22"/>
              </w:rPr>
            </w:pPr>
            <w:r w:rsidRPr="1FC5E705">
              <w:rPr>
                <w:noProof/>
                <w:sz w:val="22"/>
                <w:szCs w:val="22"/>
              </w:rPr>
              <w:t xml:space="preserve">Main beneficiaries: shipping companies that face payments at IMO and under EU ETS for emissions of their ships. </w:t>
            </w:r>
          </w:p>
        </w:tc>
      </w:tr>
      <w:tr w:rsidR="00A71942" w14:paraId="3BD6F867" w14:textId="77777777" w:rsidTr="1FC5E705">
        <w:tc>
          <w:tcPr>
            <w:tcW w:w="874" w:type="pct"/>
          </w:tcPr>
          <w:p w14:paraId="7D619948" w14:textId="77777777" w:rsidR="00A71942" w:rsidRPr="004E676E" w:rsidRDefault="00A71942" w:rsidP="00E276C8">
            <w:pPr>
              <w:spacing w:after="120"/>
              <w:rPr>
                <w:noProof/>
                <w:sz w:val="22"/>
                <w:szCs w:val="22"/>
              </w:rPr>
            </w:pPr>
            <w:r w:rsidRPr="1FC5E705">
              <w:rPr>
                <w:noProof/>
                <w:sz w:val="22"/>
                <w:szCs w:val="22"/>
              </w:rPr>
              <w:t>Decarbonisation support in maritime</w:t>
            </w:r>
          </w:p>
        </w:tc>
        <w:tc>
          <w:tcPr>
            <w:tcW w:w="1927" w:type="pct"/>
          </w:tcPr>
          <w:p w14:paraId="24426894" w14:textId="00FB8018" w:rsidR="00A71942" w:rsidRPr="004E676E" w:rsidRDefault="00A71942" w:rsidP="00E276C8">
            <w:pPr>
              <w:spacing w:after="120"/>
              <w:rPr>
                <w:noProof/>
                <w:sz w:val="22"/>
                <w:szCs w:val="22"/>
              </w:rPr>
            </w:pPr>
            <w:r w:rsidRPr="1FC5E705">
              <w:rPr>
                <w:noProof/>
                <w:sz w:val="22"/>
                <w:szCs w:val="22"/>
              </w:rPr>
              <w:t xml:space="preserve">Due to support mechanism for Sustainable Maritime </w:t>
            </w:r>
            <w:r w:rsidR="5F186851" w:rsidRPr="1EBCE3BD">
              <w:rPr>
                <w:noProof/>
                <w:sz w:val="22"/>
                <w:szCs w:val="22"/>
              </w:rPr>
              <w:t xml:space="preserve">Alternative </w:t>
            </w:r>
            <w:r w:rsidRPr="1FC5E705">
              <w:rPr>
                <w:noProof/>
                <w:sz w:val="22"/>
                <w:szCs w:val="22"/>
              </w:rPr>
              <w:t>Propulsion (SMAP) (6.2.1.5).</w:t>
            </w:r>
          </w:p>
        </w:tc>
        <w:tc>
          <w:tcPr>
            <w:tcW w:w="2199" w:type="pct"/>
          </w:tcPr>
          <w:p w14:paraId="22B2AE57" w14:textId="77777777" w:rsidR="00A71942" w:rsidRPr="004E676E" w:rsidRDefault="00A71942" w:rsidP="00E276C8">
            <w:pPr>
              <w:spacing w:after="120"/>
              <w:rPr>
                <w:noProof/>
                <w:sz w:val="22"/>
                <w:szCs w:val="22"/>
              </w:rPr>
            </w:pPr>
            <w:r w:rsidRPr="1FC5E705">
              <w:rPr>
                <w:noProof/>
                <w:sz w:val="22"/>
                <w:szCs w:val="22"/>
              </w:rPr>
              <w:t>Shipping companies using sustainable fuels and propulsion technologies like wind and electricity</w:t>
            </w:r>
          </w:p>
        </w:tc>
      </w:tr>
      <w:tr w:rsidR="00A71942" w14:paraId="3259F10B" w14:textId="77777777" w:rsidTr="1FC5E705">
        <w:tc>
          <w:tcPr>
            <w:tcW w:w="874" w:type="pct"/>
          </w:tcPr>
          <w:p w14:paraId="4104551E" w14:textId="77777777" w:rsidR="00A71942" w:rsidRPr="004E676E" w:rsidRDefault="00A71942" w:rsidP="00E276C8">
            <w:pPr>
              <w:spacing w:after="120"/>
              <w:rPr>
                <w:noProof/>
                <w:sz w:val="22"/>
                <w:szCs w:val="22"/>
              </w:rPr>
            </w:pPr>
            <w:r w:rsidRPr="1FC5E705">
              <w:rPr>
                <w:noProof/>
                <w:sz w:val="22"/>
                <w:szCs w:val="22"/>
              </w:rPr>
              <w:t>Increased economic activity in some port areas</w:t>
            </w:r>
          </w:p>
        </w:tc>
        <w:tc>
          <w:tcPr>
            <w:tcW w:w="1927" w:type="pct"/>
          </w:tcPr>
          <w:p w14:paraId="5E424799" w14:textId="77777777" w:rsidR="00A71942" w:rsidRPr="004E676E" w:rsidRDefault="00A71942" w:rsidP="00E276C8">
            <w:pPr>
              <w:spacing w:after="120"/>
              <w:rPr>
                <w:noProof/>
                <w:sz w:val="22"/>
                <w:szCs w:val="22"/>
              </w:rPr>
            </w:pPr>
            <w:r w:rsidRPr="1FC5E705">
              <w:rPr>
                <w:noProof/>
                <w:sz w:val="22"/>
                <w:szCs w:val="22"/>
              </w:rPr>
              <w:t>Due to addressing the risk of relocation of container transhipment activity from EU to non-EU ports and ensuring a level playing field for vessels performing offshore activities (6.2.3.5).</w:t>
            </w:r>
          </w:p>
        </w:tc>
        <w:tc>
          <w:tcPr>
            <w:tcW w:w="2199" w:type="pct"/>
          </w:tcPr>
          <w:p w14:paraId="2FC1A168" w14:textId="77777777" w:rsidR="00A71942" w:rsidRPr="004E676E" w:rsidRDefault="00A71942" w:rsidP="00E276C8">
            <w:pPr>
              <w:spacing w:after="120"/>
              <w:rPr>
                <w:noProof/>
                <w:sz w:val="22"/>
                <w:szCs w:val="22"/>
              </w:rPr>
            </w:pPr>
            <w:r w:rsidRPr="1FC5E705">
              <w:rPr>
                <w:noProof/>
                <w:sz w:val="22"/>
                <w:szCs w:val="22"/>
              </w:rPr>
              <w:t>Local economies in port areas.</w:t>
            </w:r>
          </w:p>
        </w:tc>
      </w:tr>
      <w:tr w:rsidR="00A71942" w14:paraId="3C641847" w14:textId="77777777" w:rsidTr="1FC5E705">
        <w:tc>
          <w:tcPr>
            <w:tcW w:w="874" w:type="pct"/>
          </w:tcPr>
          <w:p w14:paraId="3F80F9CE" w14:textId="77777777" w:rsidR="00A71942" w:rsidRPr="004E676E" w:rsidRDefault="00A71942" w:rsidP="00E276C8">
            <w:pPr>
              <w:spacing w:after="120"/>
              <w:rPr>
                <w:noProof/>
                <w:sz w:val="22"/>
                <w:szCs w:val="22"/>
              </w:rPr>
            </w:pPr>
            <w:r w:rsidRPr="1FC5E705">
              <w:rPr>
                <w:noProof/>
                <w:sz w:val="22"/>
                <w:szCs w:val="22"/>
              </w:rPr>
              <w:t>Increased auction revenues to public authorities</w:t>
            </w:r>
          </w:p>
        </w:tc>
        <w:tc>
          <w:tcPr>
            <w:tcW w:w="1927" w:type="pct"/>
          </w:tcPr>
          <w:p w14:paraId="51FC2043" w14:textId="0FD13B3D" w:rsidR="00A71942" w:rsidRPr="004E676E" w:rsidRDefault="00A71942" w:rsidP="00E276C8">
            <w:pPr>
              <w:spacing w:after="120"/>
              <w:rPr>
                <w:noProof/>
                <w:sz w:val="22"/>
                <w:szCs w:val="22"/>
              </w:rPr>
            </w:pPr>
            <w:r w:rsidRPr="1FC5E705">
              <w:rPr>
                <w:noProof/>
                <w:sz w:val="22"/>
                <w:szCs w:val="22"/>
              </w:rPr>
              <w:t>Higher auction revenues (+137% - 146 %) compared to baseline (</w:t>
            </w:r>
            <w:r w:rsidR="00DC74D9">
              <w:rPr>
                <w:noProof/>
                <w:sz w:val="22"/>
                <w:szCs w:val="22"/>
              </w:rPr>
              <w:t>Table 16 of main Impact Assessment</w:t>
            </w:r>
            <w:r w:rsidR="006F34C8">
              <w:rPr>
                <w:noProof/>
                <w:sz w:val="22"/>
                <w:szCs w:val="22"/>
              </w:rPr>
              <w:t xml:space="preserve">, </w:t>
            </w:r>
            <w:r w:rsidRPr="1FC5E705">
              <w:rPr>
                <w:noProof/>
                <w:sz w:val="22"/>
                <w:szCs w:val="22"/>
              </w:rPr>
              <w:t>Annex 12, Table 21).</w:t>
            </w:r>
          </w:p>
        </w:tc>
        <w:tc>
          <w:tcPr>
            <w:tcW w:w="2199" w:type="pct"/>
          </w:tcPr>
          <w:p w14:paraId="506E8EAB" w14:textId="77777777" w:rsidR="00A71942" w:rsidRPr="004E676E" w:rsidRDefault="00A71942" w:rsidP="00E276C8">
            <w:pPr>
              <w:spacing w:after="120"/>
              <w:rPr>
                <w:noProof/>
                <w:sz w:val="22"/>
                <w:szCs w:val="22"/>
              </w:rPr>
            </w:pPr>
          </w:p>
        </w:tc>
      </w:tr>
      <w:tr w:rsidR="00A71942" w14:paraId="19EEB27F" w14:textId="77777777" w:rsidTr="1FC5E705">
        <w:tc>
          <w:tcPr>
            <w:tcW w:w="874" w:type="pct"/>
          </w:tcPr>
          <w:p w14:paraId="670433AF" w14:textId="77777777" w:rsidR="00A71942" w:rsidRPr="004E676E" w:rsidRDefault="00A71942" w:rsidP="00E276C8">
            <w:pPr>
              <w:spacing w:after="120"/>
              <w:rPr>
                <w:noProof/>
                <w:sz w:val="22"/>
                <w:szCs w:val="22"/>
              </w:rPr>
            </w:pPr>
            <w:r w:rsidRPr="1FC5E705">
              <w:rPr>
                <w:noProof/>
                <w:sz w:val="22"/>
                <w:szCs w:val="22"/>
              </w:rPr>
              <w:t>Lower administration costs for public authorities (free allocation)</w:t>
            </w:r>
          </w:p>
        </w:tc>
        <w:tc>
          <w:tcPr>
            <w:tcW w:w="1927" w:type="pct"/>
          </w:tcPr>
          <w:p w14:paraId="273F9CE3" w14:textId="77777777" w:rsidR="00A71942" w:rsidRPr="004E676E" w:rsidRDefault="00A71942" w:rsidP="00E276C8">
            <w:pPr>
              <w:spacing w:after="120"/>
              <w:rPr>
                <w:noProof/>
                <w:sz w:val="22"/>
                <w:szCs w:val="22"/>
              </w:rPr>
            </w:pPr>
            <w:r w:rsidRPr="1FC5E705">
              <w:rPr>
                <w:noProof/>
                <w:sz w:val="22"/>
                <w:szCs w:val="22"/>
              </w:rPr>
              <w:t>Due to not updating carbon leakage list for ETS Phase V (6.2.2.5).</w:t>
            </w:r>
          </w:p>
        </w:tc>
        <w:tc>
          <w:tcPr>
            <w:tcW w:w="2199" w:type="pct"/>
          </w:tcPr>
          <w:p w14:paraId="4E7281E9" w14:textId="77777777" w:rsidR="00A71942" w:rsidRPr="004E676E" w:rsidRDefault="00A71942" w:rsidP="00E276C8">
            <w:pPr>
              <w:spacing w:after="120"/>
              <w:rPr>
                <w:noProof/>
                <w:sz w:val="22"/>
                <w:szCs w:val="22"/>
              </w:rPr>
            </w:pPr>
          </w:p>
        </w:tc>
      </w:tr>
      <w:tr w:rsidR="00A71942" w14:paraId="7CC1FE02" w14:textId="77777777" w:rsidTr="1FC5E705">
        <w:tc>
          <w:tcPr>
            <w:tcW w:w="874" w:type="pct"/>
          </w:tcPr>
          <w:p w14:paraId="7542665C" w14:textId="77777777" w:rsidR="00A71942" w:rsidRPr="004E676E" w:rsidRDefault="00A71942" w:rsidP="00E276C8">
            <w:pPr>
              <w:spacing w:after="120"/>
              <w:rPr>
                <w:noProof/>
                <w:sz w:val="22"/>
                <w:szCs w:val="22"/>
              </w:rPr>
            </w:pPr>
            <w:r w:rsidRPr="1FC5E705">
              <w:rPr>
                <w:noProof/>
                <w:sz w:val="22"/>
                <w:szCs w:val="22"/>
              </w:rPr>
              <w:t>Employment</w:t>
            </w:r>
          </w:p>
        </w:tc>
        <w:tc>
          <w:tcPr>
            <w:tcW w:w="1927" w:type="pct"/>
          </w:tcPr>
          <w:p w14:paraId="0F5DC86B" w14:textId="77777777" w:rsidR="00A71942" w:rsidRPr="004E676E" w:rsidRDefault="00A71942" w:rsidP="00E276C8">
            <w:pPr>
              <w:spacing w:after="120"/>
              <w:rPr>
                <w:b/>
                <w:bCs/>
                <w:noProof/>
                <w:sz w:val="22"/>
                <w:szCs w:val="22"/>
              </w:rPr>
            </w:pPr>
            <w:r w:rsidRPr="1FC5E705">
              <w:rPr>
                <w:noProof/>
                <w:sz w:val="22"/>
                <w:szCs w:val="22"/>
              </w:rPr>
              <w:t>Sectoral employment gains occur in chemicals and non-metallic minerals sector, which also records the highest production increase by 2040. Across sectors and policy measures, the overall employment impact ranges from -0.56% to 1.76 (6.3.1.6)</w:t>
            </w:r>
          </w:p>
          <w:p w14:paraId="1BDE610D" w14:textId="77777777" w:rsidR="00A71942" w:rsidRPr="004E676E" w:rsidRDefault="00A71942" w:rsidP="00E276C8">
            <w:pPr>
              <w:spacing w:after="120"/>
              <w:rPr>
                <w:noProof/>
                <w:sz w:val="22"/>
                <w:szCs w:val="22"/>
              </w:rPr>
            </w:pPr>
            <w:r w:rsidRPr="1FC5E705">
              <w:rPr>
                <w:noProof/>
                <w:sz w:val="22"/>
                <w:szCs w:val="22"/>
              </w:rPr>
              <w:t>Creation of new employment opportunities in new removals market (6.3.1.2) and projects benefiting from the IDB support (6.3.1.3).</w:t>
            </w:r>
          </w:p>
          <w:p w14:paraId="3D3E01B2" w14:textId="77777777" w:rsidR="00A71942" w:rsidRPr="004E676E" w:rsidRDefault="00A71942" w:rsidP="00E276C8">
            <w:pPr>
              <w:spacing w:after="120"/>
              <w:rPr>
                <w:noProof/>
                <w:sz w:val="22"/>
                <w:szCs w:val="22"/>
              </w:rPr>
            </w:pPr>
            <w:r w:rsidRPr="1FC5E705">
              <w:rPr>
                <w:noProof/>
                <w:sz w:val="22"/>
                <w:szCs w:val="22"/>
              </w:rPr>
              <w:t>Positive employment impact in aviation (6.3.1.4).</w:t>
            </w:r>
          </w:p>
          <w:p w14:paraId="0ED3D891" w14:textId="77777777" w:rsidR="00A71942" w:rsidRPr="004E676E" w:rsidRDefault="00A71942" w:rsidP="00E276C8">
            <w:pPr>
              <w:spacing w:after="120"/>
              <w:rPr>
                <w:noProof/>
                <w:sz w:val="22"/>
                <w:szCs w:val="22"/>
              </w:rPr>
            </w:pPr>
            <w:r w:rsidRPr="1FC5E705">
              <w:rPr>
                <w:noProof/>
                <w:sz w:val="22"/>
                <w:szCs w:val="22"/>
              </w:rPr>
              <w:t>Possible positive employment impact in ports and their hinterland and negligible employment impact concerning smaller vessels (6.3.1.5)</w:t>
            </w:r>
          </w:p>
          <w:p w14:paraId="7027F06A" w14:textId="77777777" w:rsidR="00A71942" w:rsidRPr="004E676E" w:rsidRDefault="00A71942" w:rsidP="00E276C8">
            <w:pPr>
              <w:spacing w:after="120"/>
              <w:rPr>
                <w:noProof/>
                <w:sz w:val="22"/>
                <w:szCs w:val="22"/>
              </w:rPr>
            </w:pPr>
            <w:r w:rsidRPr="1FC5E705">
              <w:rPr>
                <w:noProof/>
                <w:sz w:val="22"/>
                <w:szCs w:val="22"/>
              </w:rPr>
              <w:t>Positive employment impact in waste due to increased recycling and circular economy activities (6.3.1.7)</w:t>
            </w:r>
          </w:p>
        </w:tc>
        <w:tc>
          <w:tcPr>
            <w:tcW w:w="2199" w:type="pct"/>
          </w:tcPr>
          <w:p w14:paraId="473F061F" w14:textId="77777777" w:rsidR="00A71942" w:rsidRPr="004E676E" w:rsidRDefault="00A71942" w:rsidP="00E276C8">
            <w:pPr>
              <w:spacing w:after="120"/>
              <w:rPr>
                <w:b/>
                <w:bCs/>
                <w:noProof/>
                <w:sz w:val="22"/>
                <w:szCs w:val="22"/>
              </w:rPr>
            </w:pPr>
            <w:r w:rsidRPr="1FC5E705">
              <w:rPr>
                <w:noProof/>
                <w:sz w:val="22"/>
                <w:szCs w:val="22"/>
              </w:rPr>
              <w:t>Main beneficiaries: citizens, society at large</w:t>
            </w:r>
          </w:p>
          <w:p w14:paraId="57DAB797" w14:textId="77777777" w:rsidR="00A71942" w:rsidRPr="004E676E" w:rsidRDefault="00A71942" w:rsidP="00E276C8">
            <w:pPr>
              <w:spacing w:after="120"/>
              <w:rPr>
                <w:noProof/>
                <w:sz w:val="22"/>
                <w:szCs w:val="22"/>
              </w:rPr>
            </w:pPr>
            <w:r w:rsidRPr="1FC5E705">
              <w:rPr>
                <w:noProof/>
                <w:sz w:val="22"/>
                <w:szCs w:val="22"/>
              </w:rPr>
              <w:t>Follows estimated increase in production</w:t>
            </w:r>
          </w:p>
        </w:tc>
      </w:tr>
      <w:tr w:rsidR="00A71942" w14:paraId="65FA759C" w14:textId="77777777" w:rsidTr="1FC5E705">
        <w:trPr>
          <w:trHeight w:val="1490"/>
        </w:trPr>
        <w:tc>
          <w:tcPr>
            <w:tcW w:w="874" w:type="pct"/>
          </w:tcPr>
          <w:p w14:paraId="393A90FB" w14:textId="77777777" w:rsidR="00A71942" w:rsidRPr="004E676E" w:rsidRDefault="00A71942" w:rsidP="00E276C8">
            <w:pPr>
              <w:spacing w:after="120"/>
              <w:rPr>
                <w:noProof/>
                <w:sz w:val="22"/>
                <w:szCs w:val="22"/>
              </w:rPr>
            </w:pPr>
            <w:r w:rsidRPr="1FC5E705">
              <w:rPr>
                <w:noProof/>
                <w:sz w:val="22"/>
                <w:szCs w:val="22"/>
              </w:rPr>
              <w:t>Distributional effects</w:t>
            </w:r>
          </w:p>
        </w:tc>
        <w:tc>
          <w:tcPr>
            <w:tcW w:w="1927" w:type="pct"/>
          </w:tcPr>
          <w:p w14:paraId="16D8C993" w14:textId="77777777" w:rsidR="00A71942" w:rsidRPr="004E676E" w:rsidRDefault="00A71942" w:rsidP="00E276C8">
            <w:pPr>
              <w:spacing w:after="120"/>
              <w:rPr>
                <w:noProof/>
                <w:sz w:val="22"/>
                <w:szCs w:val="22"/>
              </w:rPr>
            </w:pPr>
            <w:r w:rsidRPr="1FC5E705">
              <w:rPr>
                <w:noProof/>
                <w:sz w:val="22"/>
                <w:szCs w:val="22"/>
              </w:rPr>
              <w:t>Qualitative assessment</w:t>
            </w:r>
          </w:p>
        </w:tc>
        <w:tc>
          <w:tcPr>
            <w:tcW w:w="2199" w:type="pct"/>
          </w:tcPr>
          <w:p w14:paraId="15B9BE75" w14:textId="77777777" w:rsidR="00A71942" w:rsidRPr="004E676E" w:rsidRDefault="00A71942" w:rsidP="00E276C8">
            <w:pPr>
              <w:spacing w:after="120"/>
              <w:rPr>
                <w:noProof/>
                <w:sz w:val="22"/>
                <w:szCs w:val="22"/>
              </w:rPr>
            </w:pPr>
            <w:r w:rsidRPr="1FC5E705">
              <w:rPr>
                <w:noProof/>
                <w:sz w:val="22"/>
                <w:szCs w:val="22"/>
              </w:rPr>
              <w:t xml:space="preserve">Compared to the baseline, lower income households are expected to benefit from a more gradual ramp-up of carbon prices and associated cost pass through, as well as positive economic and employment outcomes, but may on the other hand be affected by the new carbon price on waste disposal and associated cost pass through. </w:t>
            </w:r>
          </w:p>
          <w:p w14:paraId="11CC4EDF" w14:textId="77777777" w:rsidR="00A71942" w:rsidRPr="004E676E" w:rsidRDefault="00A71942" w:rsidP="00E276C8">
            <w:pPr>
              <w:spacing w:after="120"/>
              <w:rPr>
                <w:noProof/>
                <w:sz w:val="22"/>
                <w:szCs w:val="22"/>
              </w:rPr>
            </w:pPr>
          </w:p>
        </w:tc>
      </w:tr>
    </w:tbl>
    <w:p w14:paraId="1FDD8061" w14:textId="77777777" w:rsidR="00A71942" w:rsidRPr="00142775" w:rsidRDefault="00A71942" w:rsidP="00E276C8">
      <w:pPr>
        <w:pStyle w:val="Heading2COM"/>
        <w:spacing w:before="120" w:after="120" w:line="240" w:lineRule="auto"/>
        <w:outlineLvl w:val="2"/>
        <w15:collapsed w:val="0"/>
        <w:rPr>
          <w:noProof/>
        </w:rPr>
      </w:pPr>
      <w:bookmarkStart w:id="215" w:name="_Toc232611469"/>
      <w:bookmarkStart w:id="216" w:name="_Toc232758150"/>
      <w:r>
        <w:rPr>
          <w:noProof/>
        </w:rPr>
        <w:t>Overview of costs – preferred option</w:t>
      </w:r>
      <w:bookmarkEnd w:id="215"/>
      <w:bookmarkEnd w:id="216"/>
    </w:p>
    <w:p w14:paraId="0F92DD16" w14:textId="77777777" w:rsidR="00A71942" w:rsidRPr="005F5D11" w:rsidRDefault="00A71942" w:rsidP="00E276C8">
      <w:pPr>
        <w:spacing w:line="240" w:lineRule="auto"/>
        <w:rPr>
          <w:noProof/>
        </w:rPr>
      </w:pPr>
      <w:r>
        <w:rPr>
          <w:noProof/>
        </w:rPr>
        <w:t>Separate cost overviews are provided for each topic.</w:t>
      </w:r>
    </w:p>
    <w:p w14:paraId="10385249" w14:textId="77777777" w:rsidR="00A71942" w:rsidRDefault="00A71942" w:rsidP="00E276C8">
      <w:pPr>
        <w:spacing w:line="240" w:lineRule="auto"/>
        <w:rPr>
          <w:b/>
          <w:bCs/>
          <w:noProof/>
        </w:rPr>
      </w:pPr>
      <w:r w:rsidRPr="1FC5E705">
        <w:rPr>
          <w:b/>
          <w:bCs/>
          <w:noProof/>
        </w:rPr>
        <w:t>ETS cap and Market Stability Reserve</w:t>
      </w:r>
    </w:p>
    <w:p w14:paraId="5BB98453" w14:textId="77777777" w:rsidR="00A71942" w:rsidRDefault="00A71942" w:rsidP="00E276C8">
      <w:pPr>
        <w:pStyle w:val="ListParagraph"/>
        <w:numPr>
          <w:ilvl w:val="0"/>
          <w:numId w:val="41"/>
        </w:numPr>
        <w:spacing w:after="120" w:line="240" w:lineRule="auto"/>
        <w:contextualSpacing/>
        <w:jc w:val="left"/>
        <w:rPr>
          <w:noProof/>
        </w:rPr>
      </w:pPr>
      <w:r>
        <w:rPr>
          <w:noProof/>
        </w:rPr>
        <w:t>Measures regarding the ETS cap, its adjustment trajectory, and the adjustment of the Market Stability Reserve (MSR) are expected to reduce, not increase, costs compared to the baseline.</w:t>
      </w:r>
    </w:p>
    <w:p w14:paraId="77163AC4" w14:textId="77777777" w:rsidR="00A71942" w:rsidRDefault="00A71942" w:rsidP="00E276C8">
      <w:pPr>
        <w:pStyle w:val="ListParagraph"/>
        <w:numPr>
          <w:ilvl w:val="0"/>
          <w:numId w:val="41"/>
        </w:numPr>
        <w:spacing w:after="120" w:line="240" w:lineRule="auto"/>
        <w:contextualSpacing/>
        <w:jc w:val="left"/>
        <w:rPr>
          <w:noProof/>
        </w:rPr>
      </w:pPr>
      <w:r>
        <w:rPr>
          <w:noProof/>
        </w:rPr>
        <w:t>The cap adjustment results in a gentler decarbonisation trajectory for stationary ETS installations and operators, which lowers costs (see tables below for aviation, maritime and waste sectors).</w:t>
      </w:r>
    </w:p>
    <w:p w14:paraId="2AD97082" w14:textId="77777777" w:rsidR="00A71942" w:rsidRDefault="00A71942" w:rsidP="00E276C8">
      <w:pPr>
        <w:pStyle w:val="ListParagraph"/>
        <w:numPr>
          <w:ilvl w:val="0"/>
          <w:numId w:val="41"/>
        </w:numPr>
        <w:spacing w:after="120" w:line="240" w:lineRule="auto"/>
        <w:contextualSpacing/>
        <w:jc w:val="left"/>
        <w:rPr>
          <w:noProof/>
        </w:rPr>
      </w:pPr>
      <w:r>
        <w:rPr>
          <w:noProof/>
        </w:rPr>
        <w:t xml:space="preserve">The MSR adjustment is expected to ensure a steady increase in the price of ETS allowances, compared to other options that exhibit greater variability (6.2.1.2). It also maintains a greater reserve for potential activation during the 2030s and 2040s (Annex 8, Section 1.4.3). These attributes are expected to improve the functioning of the carbon market compared to continuing with Market Stability Reserve parameters closer to the baseline. </w:t>
      </w:r>
    </w:p>
    <w:p w14:paraId="7C9648B6" w14:textId="77777777" w:rsidR="00A71942" w:rsidRDefault="00A71942" w:rsidP="00E276C8">
      <w:pPr>
        <w:spacing w:line="240" w:lineRule="auto"/>
        <w:rPr>
          <w:b/>
          <w:bCs/>
          <w:noProof/>
        </w:rPr>
      </w:pPr>
      <w:r w:rsidRPr="1FC5E705">
        <w:rPr>
          <w:b/>
          <w:bCs/>
          <w:noProof/>
        </w:rPr>
        <w:t>Carbon removal</w:t>
      </w:r>
    </w:p>
    <w:p w14:paraId="2C705A3E" w14:textId="77777777" w:rsidR="00A71942" w:rsidRDefault="00A71942" w:rsidP="00E276C8">
      <w:pPr>
        <w:pStyle w:val="ListParagraph"/>
        <w:numPr>
          <w:ilvl w:val="0"/>
          <w:numId w:val="41"/>
        </w:numPr>
        <w:spacing w:after="120" w:line="240" w:lineRule="auto"/>
        <w:contextualSpacing/>
        <w:jc w:val="left"/>
        <w:rPr>
          <w:noProof/>
        </w:rPr>
      </w:pPr>
      <w:r>
        <w:rPr>
          <w:noProof/>
        </w:rPr>
        <w:t>The preferred option (a public purchasing programme) has lower expected transaction costs for carbon removal operators compared to other options (direct integration of removals into the ETS) (6.2.2.1).</w:t>
      </w:r>
    </w:p>
    <w:p w14:paraId="6D42B431" w14:textId="77777777" w:rsidR="00A71942" w:rsidRPr="00772699" w:rsidRDefault="00A71942" w:rsidP="00E276C8">
      <w:pPr>
        <w:pStyle w:val="ListParagraph"/>
        <w:numPr>
          <w:ilvl w:val="0"/>
          <w:numId w:val="41"/>
        </w:numPr>
        <w:spacing w:after="120" w:line="240" w:lineRule="auto"/>
        <w:contextualSpacing/>
        <w:jc w:val="left"/>
        <w:rPr>
          <w:noProof/>
        </w:rPr>
      </w:pPr>
      <w:r>
        <w:rPr>
          <w:noProof/>
        </w:rPr>
        <w:t>By definition, the preferred option increases public costs related to carbon removal compared to the baseline (no carbon removal integration). However, these costs are necessary to deliver the measure’s benefits, namely lower ETS allowance costs, additional mitigation options for the hardest emissions to abate and support to development of innovative technology.</w:t>
      </w:r>
    </w:p>
    <w:tbl>
      <w:tblPr>
        <w:tblStyle w:val="CV11"/>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8"/>
        <w:gridCol w:w="1919"/>
        <w:gridCol w:w="962"/>
        <w:gridCol w:w="1099"/>
        <w:gridCol w:w="1644"/>
        <w:gridCol w:w="1919"/>
        <w:gridCol w:w="2334"/>
        <w:gridCol w:w="3339"/>
      </w:tblGrid>
      <w:tr w:rsidR="00A71942" w:rsidRPr="00F92EAE" w14:paraId="4A87E6E7" w14:textId="77777777" w:rsidTr="1FC5E705">
        <w:tc>
          <w:tcPr>
            <w:tcW w:w="5000" w:type="pct"/>
            <w:gridSpan w:val="8"/>
            <w:shd w:val="clear" w:color="auto" w:fill="BAD2FF" w:themeFill="text2" w:themeFillTint="33"/>
            <w:tcMar>
              <w:top w:w="57" w:type="dxa"/>
              <w:left w:w="57" w:type="dxa"/>
              <w:bottom w:w="57" w:type="dxa"/>
              <w:right w:w="57" w:type="dxa"/>
            </w:tcMar>
          </w:tcPr>
          <w:p w14:paraId="3307BA6E"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60F2F6FC" w14:textId="77777777" w:rsidTr="1FC5E705">
        <w:tc>
          <w:tcPr>
            <w:tcW w:w="808"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5AB1F6B2" w14:textId="77777777" w:rsidR="00A71942" w:rsidRPr="005E22CD" w:rsidRDefault="00A71942" w:rsidP="00E276C8">
            <w:pPr>
              <w:spacing w:after="120"/>
              <w:rPr>
                <w:b/>
                <w:bCs/>
                <w:noProof/>
                <w:sz w:val="22"/>
                <w:szCs w:val="22"/>
              </w:rPr>
            </w:pPr>
          </w:p>
        </w:tc>
        <w:tc>
          <w:tcPr>
            <w:tcW w:w="765" w:type="pct"/>
            <w:gridSpan w:val="2"/>
            <w:tcBorders>
              <w:left w:val="double" w:sz="4" w:space="0" w:color="auto"/>
            </w:tcBorders>
            <w:tcMar>
              <w:top w:w="57" w:type="dxa"/>
              <w:left w:w="57" w:type="dxa"/>
              <w:bottom w:w="57" w:type="dxa"/>
              <w:right w:w="57" w:type="dxa"/>
            </w:tcMar>
          </w:tcPr>
          <w:p w14:paraId="7851EF24"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1322" w:type="pct"/>
            <w:gridSpan w:val="2"/>
            <w:tcMar>
              <w:top w:w="57" w:type="dxa"/>
              <w:left w:w="57" w:type="dxa"/>
              <w:bottom w:w="57" w:type="dxa"/>
              <w:right w:w="57" w:type="dxa"/>
            </w:tcMar>
          </w:tcPr>
          <w:p w14:paraId="7A50282B"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2105" w:type="pct"/>
            <w:gridSpan w:val="2"/>
            <w:tcMar>
              <w:top w:w="57" w:type="dxa"/>
              <w:left w:w="57" w:type="dxa"/>
              <w:bottom w:w="57" w:type="dxa"/>
              <w:right w:w="57" w:type="dxa"/>
            </w:tcMar>
          </w:tcPr>
          <w:p w14:paraId="7021EFA1"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07038AC6" w14:textId="77777777" w:rsidTr="1FC5E705">
        <w:tc>
          <w:tcPr>
            <w:tcW w:w="808" w:type="pct"/>
            <w:gridSpan w:val="2"/>
            <w:vMerge/>
            <w:tcBorders>
              <w:tl2br w:val="double" w:sz="4" w:space="0" w:color="auto"/>
            </w:tcBorders>
            <w:tcMar>
              <w:top w:w="57" w:type="dxa"/>
              <w:left w:w="57" w:type="dxa"/>
              <w:bottom w:w="57" w:type="dxa"/>
              <w:right w:w="57" w:type="dxa"/>
            </w:tcMar>
          </w:tcPr>
          <w:p w14:paraId="63FA195B" w14:textId="77777777" w:rsidR="00A71942" w:rsidRPr="005E22CD" w:rsidRDefault="00A71942" w:rsidP="00E276C8">
            <w:pPr>
              <w:spacing w:after="120"/>
              <w:rPr>
                <w:b/>
                <w:noProof/>
                <w:sz w:val="22"/>
                <w:szCs w:val="22"/>
              </w:rPr>
            </w:pPr>
          </w:p>
        </w:tc>
        <w:tc>
          <w:tcPr>
            <w:tcW w:w="357" w:type="pct"/>
            <w:tcBorders>
              <w:left w:val="double" w:sz="4" w:space="0" w:color="auto"/>
              <w:bottom w:val="double" w:sz="4" w:space="0" w:color="auto"/>
            </w:tcBorders>
            <w:tcMar>
              <w:top w:w="57" w:type="dxa"/>
              <w:left w:w="57" w:type="dxa"/>
              <w:bottom w:w="57" w:type="dxa"/>
              <w:right w:w="57" w:type="dxa"/>
            </w:tcMar>
          </w:tcPr>
          <w:p w14:paraId="0CABA2E9"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408" w:type="pct"/>
            <w:tcBorders>
              <w:bottom w:val="double" w:sz="4" w:space="0" w:color="auto"/>
            </w:tcBorders>
            <w:tcMar>
              <w:top w:w="57" w:type="dxa"/>
              <w:left w:w="57" w:type="dxa"/>
              <w:bottom w:w="57" w:type="dxa"/>
              <w:right w:w="57" w:type="dxa"/>
            </w:tcMar>
          </w:tcPr>
          <w:p w14:paraId="2F9578DF"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610" w:type="pct"/>
            <w:tcBorders>
              <w:bottom w:val="double" w:sz="4" w:space="0" w:color="auto"/>
            </w:tcBorders>
            <w:tcMar>
              <w:top w:w="57" w:type="dxa"/>
              <w:left w:w="57" w:type="dxa"/>
              <w:bottom w:w="57" w:type="dxa"/>
              <w:right w:w="57" w:type="dxa"/>
            </w:tcMar>
          </w:tcPr>
          <w:p w14:paraId="144ACDA5"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712" w:type="pct"/>
            <w:tcBorders>
              <w:bottom w:val="double" w:sz="4" w:space="0" w:color="auto"/>
            </w:tcBorders>
            <w:tcMar>
              <w:top w:w="57" w:type="dxa"/>
              <w:left w:w="57" w:type="dxa"/>
              <w:bottom w:w="57" w:type="dxa"/>
              <w:right w:w="57" w:type="dxa"/>
            </w:tcMar>
          </w:tcPr>
          <w:p w14:paraId="14BFE320"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866" w:type="pct"/>
            <w:tcBorders>
              <w:bottom w:val="double" w:sz="4" w:space="0" w:color="auto"/>
            </w:tcBorders>
            <w:tcMar>
              <w:top w:w="57" w:type="dxa"/>
              <w:left w:w="57" w:type="dxa"/>
              <w:bottom w:w="57" w:type="dxa"/>
              <w:right w:w="57" w:type="dxa"/>
            </w:tcMar>
          </w:tcPr>
          <w:p w14:paraId="2078EE3C"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1239" w:type="pct"/>
            <w:tcBorders>
              <w:bottom w:val="double" w:sz="4" w:space="0" w:color="auto"/>
            </w:tcBorders>
            <w:tcMar>
              <w:top w:w="57" w:type="dxa"/>
              <w:left w:w="57" w:type="dxa"/>
              <w:bottom w:w="57" w:type="dxa"/>
              <w:right w:w="57" w:type="dxa"/>
            </w:tcMar>
          </w:tcPr>
          <w:p w14:paraId="5A5842B2"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7F0C18CB" w14:textId="77777777" w:rsidTr="1FC5E705">
        <w:trPr>
          <w:trHeight w:val="307"/>
        </w:trPr>
        <w:tc>
          <w:tcPr>
            <w:tcW w:w="96" w:type="pct"/>
            <w:vMerge w:val="restart"/>
            <w:tcMar>
              <w:top w:w="57" w:type="dxa"/>
              <w:left w:w="57" w:type="dxa"/>
              <w:bottom w:w="57" w:type="dxa"/>
              <w:right w:w="57" w:type="dxa"/>
            </w:tcMar>
            <w:vAlign w:val="center"/>
          </w:tcPr>
          <w:p w14:paraId="2DEF74D2" w14:textId="77777777" w:rsidR="00A71942" w:rsidRPr="00F92EAE" w:rsidRDefault="00A71942" w:rsidP="00E276C8">
            <w:pPr>
              <w:spacing w:after="120"/>
              <w:rPr>
                <w:noProof/>
                <w:sz w:val="20"/>
                <w:szCs w:val="20"/>
              </w:rPr>
            </w:pPr>
          </w:p>
        </w:tc>
        <w:tc>
          <w:tcPr>
            <w:tcW w:w="712" w:type="pct"/>
            <w:tcBorders>
              <w:right w:val="double" w:sz="4" w:space="0" w:color="auto"/>
            </w:tcBorders>
            <w:tcMar>
              <w:top w:w="57" w:type="dxa"/>
              <w:left w:w="57" w:type="dxa"/>
              <w:bottom w:w="57" w:type="dxa"/>
              <w:right w:w="57" w:type="dxa"/>
            </w:tcMar>
            <w:vAlign w:val="center"/>
          </w:tcPr>
          <w:p w14:paraId="56615A2E" w14:textId="77777777" w:rsidR="00A71942" w:rsidRPr="005E22CD" w:rsidRDefault="00A71942" w:rsidP="00E276C8">
            <w:pPr>
              <w:spacing w:after="120"/>
              <w:rPr>
                <w:noProof/>
                <w:sz w:val="22"/>
                <w:szCs w:val="22"/>
              </w:rPr>
            </w:pPr>
            <w:r w:rsidRPr="1FC5E705">
              <w:rPr>
                <w:noProof/>
                <w:sz w:val="22"/>
                <w:szCs w:val="22"/>
              </w:rPr>
              <w:t>Direct adjustment costs</w:t>
            </w:r>
          </w:p>
        </w:tc>
        <w:tc>
          <w:tcPr>
            <w:tcW w:w="357" w:type="pct"/>
            <w:tcBorders>
              <w:left w:val="double" w:sz="4" w:space="0" w:color="auto"/>
            </w:tcBorders>
            <w:tcMar>
              <w:top w:w="57" w:type="dxa"/>
              <w:left w:w="57" w:type="dxa"/>
              <w:bottom w:w="57" w:type="dxa"/>
              <w:right w:w="57" w:type="dxa"/>
            </w:tcMar>
            <w:vAlign w:val="center"/>
          </w:tcPr>
          <w:p w14:paraId="6FCD71E5" w14:textId="77777777" w:rsidR="00A71942" w:rsidRPr="005E22CD" w:rsidRDefault="00A71942" w:rsidP="00E276C8">
            <w:pPr>
              <w:spacing w:after="120"/>
              <w:rPr>
                <w:noProof/>
                <w:sz w:val="22"/>
                <w:szCs w:val="22"/>
              </w:rPr>
            </w:pPr>
            <w:r w:rsidRPr="1FC5E705">
              <w:rPr>
                <w:noProof/>
                <w:sz w:val="22"/>
                <w:szCs w:val="22"/>
              </w:rPr>
              <w:t>N/A</w:t>
            </w:r>
          </w:p>
        </w:tc>
        <w:tc>
          <w:tcPr>
            <w:tcW w:w="408" w:type="pct"/>
            <w:tcMar>
              <w:top w:w="57" w:type="dxa"/>
              <w:left w:w="57" w:type="dxa"/>
              <w:bottom w:w="57" w:type="dxa"/>
              <w:right w:w="57" w:type="dxa"/>
            </w:tcMar>
            <w:vAlign w:val="center"/>
          </w:tcPr>
          <w:p w14:paraId="37976091" w14:textId="77777777" w:rsidR="00A71942" w:rsidRPr="005E22CD" w:rsidRDefault="00A71942" w:rsidP="00E276C8">
            <w:pPr>
              <w:spacing w:after="120"/>
              <w:rPr>
                <w:noProof/>
                <w:sz w:val="22"/>
                <w:szCs w:val="22"/>
              </w:rPr>
            </w:pPr>
            <w:r w:rsidRPr="1FC5E705">
              <w:rPr>
                <w:noProof/>
                <w:sz w:val="22"/>
                <w:szCs w:val="22"/>
              </w:rPr>
              <w:t>N/A</w:t>
            </w:r>
          </w:p>
        </w:tc>
        <w:tc>
          <w:tcPr>
            <w:tcW w:w="610" w:type="pct"/>
            <w:tcMar>
              <w:top w:w="57" w:type="dxa"/>
              <w:left w:w="57" w:type="dxa"/>
              <w:bottom w:w="57" w:type="dxa"/>
              <w:right w:w="57" w:type="dxa"/>
            </w:tcMar>
            <w:vAlign w:val="center"/>
          </w:tcPr>
          <w:p w14:paraId="4560769D" w14:textId="77777777" w:rsidR="00A71942" w:rsidRPr="005E22CD" w:rsidRDefault="00A71942" w:rsidP="00E276C8">
            <w:pPr>
              <w:spacing w:after="120"/>
              <w:rPr>
                <w:noProof/>
                <w:sz w:val="22"/>
                <w:szCs w:val="22"/>
              </w:rPr>
            </w:pPr>
            <w:r w:rsidRPr="1FC5E705">
              <w:rPr>
                <w:noProof/>
                <w:sz w:val="22"/>
                <w:szCs w:val="22"/>
              </w:rPr>
              <w:t>N/A</w:t>
            </w:r>
          </w:p>
        </w:tc>
        <w:tc>
          <w:tcPr>
            <w:tcW w:w="712" w:type="pct"/>
            <w:tcMar>
              <w:top w:w="57" w:type="dxa"/>
              <w:left w:w="57" w:type="dxa"/>
              <w:bottom w:w="57" w:type="dxa"/>
              <w:right w:w="57" w:type="dxa"/>
            </w:tcMar>
            <w:vAlign w:val="center"/>
          </w:tcPr>
          <w:p w14:paraId="20B33A02" w14:textId="77777777" w:rsidR="00A71942" w:rsidRPr="005E22CD" w:rsidRDefault="00A71942" w:rsidP="00E276C8">
            <w:pPr>
              <w:spacing w:after="120"/>
              <w:rPr>
                <w:noProof/>
                <w:sz w:val="22"/>
                <w:szCs w:val="22"/>
              </w:rPr>
            </w:pPr>
            <w:r w:rsidRPr="1FC5E705">
              <w:rPr>
                <w:noProof/>
                <w:sz w:val="22"/>
                <w:szCs w:val="22"/>
              </w:rPr>
              <w:t>N/A</w:t>
            </w:r>
          </w:p>
        </w:tc>
        <w:tc>
          <w:tcPr>
            <w:tcW w:w="866" w:type="pct"/>
            <w:tcMar>
              <w:top w:w="57" w:type="dxa"/>
              <w:left w:w="57" w:type="dxa"/>
              <w:bottom w:w="57" w:type="dxa"/>
              <w:right w:w="57" w:type="dxa"/>
            </w:tcMar>
            <w:vAlign w:val="center"/>
          </w:tcPr>
          <w:p w14:paraId="16C51175" w14:textId="77777777" w:rsidR="00A71942" w:rsidRPr="005E22CD" w:rsidRDefault="00A71942" w:rsidP="00E276C8">
            <w:pPr>
              <w:spacing w:after="120"/>
              <w:rPr>
                <w:noProof/>
                <w:sz w:val="22"/>
                <w:szCs w:val="22"/>
              </w:rPr>
            </w:pPr>
            <w:r w:rsidRPr="1FC5E705">
              <w:rPr>
                <w:noProof/>
                <w:sz w:val="22"/>
                <w:szCs w:val="22"/>
              </w:rPr>
              <w:t>N/A</w:t>
            </w:r>
          </w:p>
        </w:tc>
        <w:tc>
          <w:tcPr>
            <w:tcW w:w="1239" w:type="pct"/>
            <w:tcMar>
              <w:top w:w="57" w:type="dxa"/>
              <w:left w:w="57" w:type="dxa"/>
              <w:bottom w:w="57" w:type="dxa"/>
              <w:right w:w="57" w:type="dxa"/>
            </w:tcMar>
            <w:vAlign w:val="center"/>
          </w:tcPr>
          <w:p w14:paraId="213B67DC" w14:textId="77777777" w:rsidR="00A71942" w:rsidRPr="005E22CD" w:rsidRDefault="00A71942" w:rsidP="00E276C8">
            <w:pPr>
              <w:spacing w:after="120"/>
              <w:rPr>
                <w:noProof/>
                <w:sz w:val="22"/>
                <w:szCs w:val="22"/>
              </w:rPr>
            </w:pPr>
          </w:p>
        </w:tc>
      </w:tr>
      <w:tr w:rsidR="00A71942" w:rsidRPr="00F92EAE" w14:paraId="0631E3C4" w14:textId="77777777" w:rsidTr="1FC5E705">
        <w:trPr>
          <w:trHeight w:val="307"/>
        </w:trPr>
        <w:tc>
          <w:tcPr>
            <w:tcW w:w="96" w:type="pct"/>
            <w:vMerge/>
            <w:tcMar>
              <w:top w:w="57" w:type="dxa"/>
              <w:left w:w="57" w:type="dxa"/>
              <w:bottom w:w="57" w:type="dxa"/>
              <w:right w:w="57" w:type="dxa"/>
            </w:tcMar>
            <w:vAlign w:val="center"/>
          </w:tcPr>
          <w:p w14:paraId="0E201497" w14:textId="77777777" w:rsidR="00A71942" w:rsidRPr="00F92EAE" w:rsidRDefault="00A71942" w:rsidP="00E276C8">
            <w:pPr>
              <w:spacing w:after="120"/>
              <w:rPr>
                <w:noProof/>
                <w:sz w:val="20"/>
              </w:rPr>
            </w:pPr>
          </w:p>
        </w:tc>
        <w:tc>
          <w:tcPr>
            <w:tcW w:w="712" w:type="pct"/>
            <w:tcBorders>
              <w:right w:val="double" w:sz="4" w:space="0" w:color="auto"/>
            </w:tcBorders>
            <w:tcMar>
              <w:top w:w="57" w:type="dxa"/>
              <w:left w:w="57" w:type="dxa"/>
              <w:bottom w:w="57" w:type="dxa"/>
              <w:right w:w="57" w:type="dxa"/>
            </w:tcMar>
            <w:vAlign w:val="center"/>
          </w:tcPr>
          <w:p w14:paraId="7FC2AD9B"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357" w:type="pct"/>
            <w:tcBorders>
              <w:left w:val="double" w:sz="4" w:space="0" w:color="auto"/>
            </w:tcBorders>
            <w:tcMar>
              <w:top w:w="57" w:type="dxa"/>
              <w:left w:w="57" w:type="dxa"/>
              <w:bottom w:w="57" w:type="dxa"/>
              <w:right w:w="57" w:type="dxa"/>
            </w:tcMar>
            <w:vAlign w:val="center"/>
          </w:tcPr>
          <w:p w14:paraId="6A8B21D2" w14:textId="77777777" w:rsidR="00A71942" w:rsidRPr="005E22CD" w:rsidRDefault="00A71942" w:rsidP="00E276C8">
            <w:pPr>
              <w:spacing w:after="120"/>
              <w:rPr>
                <w:noProof/>
                <w:sz w:val="22"/>
                <w:szCs w:val="22"/>
              </w:rPr>
            </w:pPr>
            <w:r w:rsidRPr="1FC5E705">
              <w:rPr>
                <w:noProof/>
                <w:sz w:val="22"/>
                <w:szCs w:val="22"/>
              </w:rPr>
              <w:t>N/A</w:t>
            </w:r>
          </w:p>
        </w:tc>
        <w:tc>
          <w:tcPr>
            <w:tcW w:w="408" w:type="pct"/>
            <w:tcMar>
              <w:top w:w="57" w:type="dxa"/>
              <w:left w:w="57" w:type="dxa"/>
              <w:bottom w:w="57" w:type="dxa"/>
              <w:right w:w="57" w:type="dxa"/>
            </w:tcMar>
            <w:vAlign w:val="center"/>
          </w:tcPr>
          <w:p w14:paraId="769D61B5" w14:textId="77777777" w:rsidR="00A71942" w:rsidRPr="005E22CD" w:rsidRDefault="00A71942" w:rsidP="00E276C8">
            <w:pPr>
              <w:spacing w:after="120"/>
              <w:rPr>
                <w:noProof/>
                <w:sz w:val="22"/>
                <w:szCs w:val="22"/>
              </w:rPr>
            </w:pPr>
            <w:r w:rsidRPr="1FC5E705">
              <w:rPr>
                <w:noProof/>
                <w:sz w:val="22"/>
                <w:szCs w:val="22"/>
              </w:rPr>
              <w:t>N/A</w:t>
            </w:r>
          </w:p>
        </w:tc>
        <w:tc>
          <w:tcPr>
            <w:tcW w:w="610" w:type="pct"/>
            <w:tcMar>
              <w:top w:w="57" w:type="dxa"/>
              <w:left w:w="57" w:type="dxa"/>
              <w:bottom w:w="57" w:type="dxa"/>
              <w:right w:w="57" w:type="dxa"/>
            </w:tcMar>
            <w:vAlign w:val="center"/>
          </w:tcPr>
          <w:p w14:paraId="0EBA5697" w14:textId="77777777" w:rsidR="00A71942" w:rsidRPr="005E22CD" w:rsidRDefault="00A71942" w:rsidP="00E276C8">
            <w:pPr>
              <w:spacing w:after="120"/>
              <w:rPr>
                <w:noProof/>
                <w:sz w:val="22"/>
                <w:szCs w:val="22"/>
              </w:rPr>
            </w:pPr>
            <w:r w:rsidRPr="1FC5E705">
              <w:rPr>
                <w:noProof/>
                <w:sz w:val="22"/>
                <w:szCs w:val="22"/>
              </w:rPr>
              <w:t>Cost of participating in public purchasing programme (6.2.2.1)</w:t>
            </w:r>
          </w:p>
        </w:tc>
        <w:tc>
          <w:tcPr>
            <w:tcW w:w="712" w:type="pct"/>
            <w:tcMar>
              <w:top w:w="57" w:type="dxa"/>
              <w:left w:w="57" w:type="dxa"/>
              <w:bottom w:w="57" w:type="dxa"/>
              <w:right w:w="57" w:type="dxa"/>
            </w:tcMar>
            <w:vAlign w:val="center"/>
          </w:tcPr>
          <w:p w14:paraId="1D989FD2" w14:textId="77777777" w:rsidR="00A71942" w:rsidRPr="005E22CD" w:rsidRDefault="00A71942" w:rsidP="00E276C8">
            <w:pPr>
              <w:spacing w:after="120"/>
              <w:rPr>
                <w:noProof/>
                <w:sz w:val="22"/>
                <w:szCs w:val="22"/>
              </w:rPr>
            </w:pPr>
            <w:r w:rsidRPr="1FC5E705">
              <w:rPr>
                <w:noProof/>
                <w:sz w:val="22"/>
                <w:szCs w:val="22"/>
              </w:rPr>
              <w:t>Cost of participating in public purchasing programme (6.2.2.1)</w:t>
            </w:r>
          </w:p>
        </w:tc>
        <w:tc>
          <w:tcPr>
            <w:tcW w:w="866" w:type="pct"/>
            <w:tcMar>
              <w:top w:w="57" w:type="dxa"/>
              <w:left w:w="57" w:type="dxa"/>
              <w:bottom w:w="57" w:type="dxa"/>
              <w:right w:w="57" w:type="dxa"/>
            </w:tcMar>
            <w:vAlign w:val="center"/>
          </w:tcPr>
          <w:p w14:paraId="03380147" w14:textId="77777777" w:rsidR="00A71942" w:rsidRPr="005E22CD" w:rsidRDefault="00A71942" w:rsidP="00E276C8">
            <w:pPr>
              <w:spacing w:after="120"/>
              <w:rPr>
                <w:noProof/>
                <w:sz w:val="22"/>
                <w:szCs w:val="22"/>
              </w:rPr>
            </w:pPr>
            <w:r w:rsidRPr="1FC5E705">
              <w:rPr>
                <w:noProof/>
                <w:sz w:val="22"/>
                <w:szCs w:val="22"/>
              </w:rPr>
              <w:t>Cost of public purchasing programme: establishment (by public authorities) and participation (by operators) (6.2.2.1)</w:t>
            </w:r>
          </w:p>
        </w:tc>
        <w:tc>
          <w:tcPr>
            <w:tcW w:w="1239" w:type="pct"/>
            <w:tcMar>
              <w:top w:w="57" w:type="dxa"/>
              <w:left w:w="57" w:type="dxa"/>
              <w:bottom w:w="57" w:type="dxa"/>
              <w:right w:w="57" w:type="dxa"/>
            </w:tcMar>
            <w:vAlign w:val="center"/>
          </w:tcPr>
          <w:p w14:paraId="1695A6EF" w14:textId="05EE0700" w:rsidR="00A71942" w:rsidRPr="005E22CD" w:rsidRDefault="00A71942" w:rsidP="00E276C8">
            <w:pPr>
              <w:spacing w:after="120"/>
              <w:rPr>
                <w:noProof/>
                <w:sz w:val="22"/>
                <w:szCs w:val="22"/>
              </w:rPr>
            </w:pPr>
            <w:r w:rsidRPr="1FC5E705">
              <w:rPr>
                <w:noProof/>
                <w:sz w:val="22"/>
                <w:szCs w:val="22"/>
              </w:rPr>
              <w:t xml:space="preserve">The ultimate cost for stimulating CDR is the same among all options for integrating carbon removal. However, the preferred option requires public authorities finance the up-front cost of removals before recouping some of this through sale into the ETS market. </w:t>
            </w:r>
            <w:r w:rsidRPr="00F514AE">
              <w:rPr>
                <w:noProof/>
                <w:sz w:val="22"/>
                <w:szCs w:val="22"/>
              </w:rPr>
              <w:t>The final fiscal cost of the purchasing programme is estimated to be EUR 3 bn (6.2.5.1).</w:t>
            </w:r>
          </w:p>
        </w:tc>
      </w:tr>
      <w:tr w:rsidR="00A71942" w:rsidRPr="00F92EAE" w14:paraId="0BD36AFB" w14:textId="77777777" w:rsidTr="1FC5E705">
        <w:trPr>
          <w:trHeight w:val="307"/>
        </w:trPr>
        <w:tc>
          <w:tcPr>
            <w:tcW w:w="96" w:type="pct"/>
            <w:vMerge/>
            <w:tcMar>
              <w:top w:w="57" w:type="dxa"/>
              <w:left w:w="57" w:type="dxa"/>
              <w:bottom w:w="57" w:type="dxa"/>
              <w:right w:w="57" w:type="dxa"/>
            </w:tcMar>
            <w:vAlign w:val="center"/>
          </w:tcPr>
          <w:p w14:paraId="42FB7E84" w14:textId="77777777" w:rsidR="00A71942" w:rsidRPr="00F92EAE" w:rsidRDefault="00A71942" w:rsidP="00E276C8">
            <w:pPr>
              <w:spacing w:after="120"/>
              <w:rPr>
                <w:noProof/>
                <w:sz w:val="20"/>
              </w:rPr>
            </w:pPr>
          </w:p>
        </w:tc>
        <w:tc>
          <w:tcPr>
            <w:tcW w:w="712" w:type="pct"/>
            <w:tcBorders>
              <w:right w:val="double" w:sz="4" w:space="0" w:color="auto"/>
            </w:tcBorders>
            <w:tcMar>
              <w:top w:w="57" w:type="dxa"/>
              <w:left w:w="57" w:type="dxa"/>
              <w:bottom w:w="57" w:type="dxa"/>
              <w:right w:w="57" w:type="dxa"/>
            </w:tcMar>
            <w:vAlign w:val="center"/>
          </w:tcPr>
          <w:p w14:paraId="45315D27"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357" w:type="pct"/>
            <w:tcBorders>
              <w:left w:val="double" w:sz="4" w:space="0" w:color="auto"/>
            </w:tcBorders>
            <w:tcMar>
              <w:top w:w="57" w:type="dxa"/>
              <w:left w:w="57" w:type="dxa"/>
              <w:bottom w:w="57" w:type="dxa"/>
              <w:right w:w="57" w:type="dxa"/>
            </w:tcMar>
            <w:vAlign w:val="center"/>
          </w:tcPr>
          <w:p w14:paraId="11CF7AC9" w14:textId="77777777" w:rsidR="00A71942" w:rsidRPr="005E22CD" w:rsidRDefault="00A71942" w:rsidP="00E276C8">
            <w:pPr>
              <w:spacing w:after="120"/>
              <w:rPr>
                <w:noProof/>
                <w:sz w:val="22"/>
                <w:szCs w:val="22"/>
              </w:rPr>
            </w:pPr>
            <w:r w:rsidRPr="1FC5E705">
              <w:rPr>
                <w:noProof/>
                <w:sz w:val="22"/>
                <w:szCs w:val="22"/>
              </w:rPr>
              <w:t>N/A</w:t>
            </w:r>
          </w:p>
        </w:tc>
        <w:tc>
          <w:tcPr>
            <w:tcW w:w="408" w:type="pct"/>
            <w:tcMar>
              <w:top w:w="57" w:type="dxa"/>
              <w:left w:w="57" w:type="dxa"/>
              <w:bottom w:w="57" w:type="dxa"/>
              <w:right w:w="57" w:type="dxa"/>
            </w:tcMar>
            <w:vAlign w:val="center"/>
          </w:tcPr>
          <w:p w14:paraId="5FA62DC9" w14:textId="77777777" w:rsidR="00A71942" w:rsidRPr="005E22CD" w:rsidRDefault="00A71942" w:rsidP="00E276C8">
            <w:pPr>
              <w:spacing w:after="120"/>
              <w:rPr>
                <w:noProof/>
                <w:sz w:val="22"/>
                <w:szCs w:val="22"/>
              </w:rPr>
            </w:pPr>
            <w:r w:rsidRPr="1FC5E705">
              <w:rPr>
                <w:noProof/>
                <w:sz w:val="22"/>
                <w:szCs w:val="22"/>
              </w:rPr>
              <w:t>N/A</w:t>
            </w:r>
          </w:p>
        </w:tc>
        <w:tc>
          <w:tcPr>
            <w:tcW w:w="610" w:type="pct"/>
            <w:tcMar>
              <w:top w:w="57" w:type="dxa"/>
              <w:left w:w="57" w:type="dxa"/>
              <w:bottom w:w="57" w:type="dxa"/>
              <w:right w:w="57" w:type="dxa"/>
            </w:tcMar>
            <w:vAlign w:val="center"/>
          </w:tcPr>
          <w:p w14:paraId="05375DC7" w14:textId="77777777" w:rsidR="00A71942" w:rsidRPr="005E22CD" w:rsidRDefault="00A71942" w:rsidP="00E276C8">
            <w:pPr>
              <w:spacing w:after="120"/>
              <w:rPr>
                <w:noProof/>
                <w:sz w:val="22"/>
                <w:szCs w:val="22"/>
              </w:rPr>
            </w:pPr>
            <w:r w:rsidRPr="1FC5E705">
              <w:rPr>
                <w:noProof/>
                <w:sz w:val="22"/>
                <w:szCs w:val="22"/>
              </w:rPr>
              <w:t>N/A</w:t>
            </w:r>
          </w:p>
        </w:tc>
        <w:tc>
          <w:tcPr>
            <w:tcW w:w="712" w:type="pct"/>
            <w:tcMar>
              <w:top w:w="57" w:type="dxa"/>
              <w:left w:w="57" w:type="dxa"/>
              <w:bottom w:w="57" w:type="dxa"/>
              <w:right w:w="57" w:type="dxa"/>
            </w:tcMar>
            <w:vAlign w:val="center"/>
          </w:tcPr>
          <w:p w14:paraId="38154208" w14:textId="77777777" w:rsidR="00A71942" w:rsidRPr="005E22CD" w:rsidRDefault="00A71942" w:rsidP="00E276C8">
            <w:pPr>
              <w:spacing w:after="120"/>
              <w:rPr>
                <w:noProof/>
                <w:sz w:val="22"/>
                <w:szCs w:val="22"/>
              </w:rPr>
            </w:pPr>
            <w:r w:rsidRPr="1FC5E705">
              <w:rPr>
                <w:noProof/>
                <w:sz w:val="22"/>
                <w:szCs w:val="22"/>
              </w:rPr>
              <w:t>N/A</w:t>
            </w:r>
          </w:p>
        </w:tc>
        <w:tc>
          <w:tcPr>
            <w:tcW w:w="866" w:type="pct"/>
            <w:tcMar>
              <w:top w:w="57" w:type="dxa"/>
              <w:left w:w="57" w:type="dxa"/>
              <w:bottom w:w="57" w:type="dxa"/>
              <w:right w:w="57" w:type="dxa"/>
            </w:tcMar>
            <w:vAlign w:val="center"/>
          </w:tcPr>
          <w:p w14:paraId="2293033A" w14:textId="77777777" w:rsidR="00A71942" w:rsidRPr="005E22CD" w:rsidRDefault="00A71942" w:rsidP="00E276C8">
            <w:pPr>
              <w:spacing w:after="120"/>
              <w:rPr>
                <w:noProof/>
                <w:sz w:val="22"/>
                <w:szCs w:val="22"/>
              </w:rPr>
            </w:pPr>
            <w:r w:rsidRPr="1FC5E705">
              <w:rPr>
                <w:noProof/>
                <w:sz w:val="22"/>
                <w:szCs w:val="22"/>
              </w:rPr>
              <w:t>N/A</w:t>
            </w:r>
          </w:p>
        </w:tc>
        <w:tc>
          <w:tcPr>
            <w:tcW w:w="1239" w:type="pct"/>
            <w:tcMar>
              <w:top w:w="57" w:type="dxa"/>
              <w:left w:w="57" w:type="dxa"/>
              <w:bottom w:w="57" w:type="dxa"/>
              <w:right w:w="57" w:type="dxa"/>
            </w:tcMar>
            <w:vAlign w:val="center"/>
          </w:tcPr>
          <w:p w14:paraId="7CEF8522"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26A927A4" w14:textId="77777777" w:rsidTr="1FC5E705">
        <w:trPr>
          <w:trHeight w:val="307"/>
        </w:trPr>
        <w:tc>
          <w:tcPr>
            <w:tcW w:w="96" w:type="pct"/>
            <w:vMerge/>
            <w:tcMar>
              <w:top w:w="57" w:type="dxa"/>
              <w:left w:w="57" w:type="dxa"/>
              <w:bottom w:w="57" w:type="dxa"/>
              <w:right w:w="57" w:type="dxa"/>
            </w:tcMar>
            <w:vAlign w:val="center"/>
          </w:tcPr>
          <w:p w14:paraId="48BBDBF3" w14:textId="77777777" w:rsidR="00A71942" w:rsidRPr="00F92EAE" w:rsidRDefault="00A71942" w:rsidP="00E276C8">
            <w:pPr>
              <w:spacing w:after="120"/>
              <w:rPr>
                <w:noProof/>
                <w:sz w:val="20"/>
              </w:rPr>
            </w:pPr>
          </w:p>
        </w:tc>
        <w:tc>
          <w:tcPr>
            <w:tcW w:w="712" w:type="pct"/>
            <w:tcBorders>
              <w:right w:val="double" w:sz="4" w:space="0" w:color="auto"/>
            </w:tcBorders>
            <w:tcMar>
              <w:top w:w="57" w:type="dxa"/>
              <w:left w:w="57" w:type="dxa"/>
              <w:bottom w:w="57" w:type="dxa"/>
              <w:right w:w="57" w:type="dxa"/>
            </w:tcMar>
            <w:vAlign w:val="center"/>
          </w:tcPr>
          <w:p w14:paraId="69F1DF07" w14:textId="77777777" w:rsidR="00A71942" w:rsidRPr="005E22CD" w:rsidRDefault="00A71942" w:rsidP="00E276C8">
            <w:pPr>
              <w:spacing w:after="120"/>
              <w:rPr>
                <w:noProof/>
                <w:sz w:val="22"/>
                <w:szCs w:val="22"/>
              </w:rPr>
            </w:pPr>
            <w:r w:rsidRPr="1FC5E705">
              <w:rPr>
                <w:noProof/>
                <w:sz w:val="22"/>
                <w:szCs w:val="22"/>
              </w:rPr>
              <w:t>Direct enforcement costs</w:t>
            </w:r>
          </w:p>
        </w:tc>
        <w:tc>
          <w:tcPr>
            <w:tcW w:w="357" w:type="pct"/>
            <w:tcBorders>
              <w:left w:val="double" w:sz="4" w:space="0" w:color="auto"/>
            </w:tcBorders>
            <w:tcMar>
              <w:top w:w="57" w:type="dxa"/>
              <w:left w:w="57" w:type="dxa"/>
              <w:bottom w:w="57" w:type="dxa"/>
              <w:right w:w="57" w:type="dxa"/>
            </w:tcMar>
            <w:vAlign w:val="center"/>
          </w:tcPr>
          <w:p w14:paraId="7F060301" w14:textId="77777777" w:rsidR="00A71942" w:rsidRPr="005E22CD" w:rsidRDefault="00A71942" w:rsidP="00E276C8">
            <w:pPr>
              <w:spacing w:after="120"/>
              <w:rPr>
                <w:noProof/>
                <w:sz w:val="22"/>
                <w:szCs w:val="22"/>
              </w:rPr>
            </w:pPr>
            <w:r w:rsidRPr="1FC5E705">
              <w:rPr>
                <w:noProof/>
                <w:sz w:val="22"/>
                <w:szCs w:val="22"/>
              </w:rPr>
              <w:t>N/A</w:t>
            </w:r>
          </w:p>
        </w:tc>
        <w:tc>
          <w:tcPr>
            <w:tcW w:w="408" w:type="pct"/>
            <w:tcMar>
              <w:top w:w="57" w:type="dxa"/>
              <w:left w:w="57" w:type="dxa"/>
              <w:bottom w:w="57" w:type="dxa"/>
              <w:right w:w="57" w:type="dxa"/>
            </w:tcMar>
            <w:vAlign w:val="center"/>
          </w:tcPr>
          <w:p w14:paraId="24AE3A0C" w14:textId="77777777" w:rsidR="00A71942" w:rsidRPr="005E22CD" w:rsidRDefault="00A71942" w:rsidP="00E276C8">
            <w:pPr>
              <w:spacing w:after="120"/>
              <w:rPr>
                <w:noProof/>
                <w:sz w:val="22"/>
                <w:szCs w:val="22"/>
              </w:rPr>
            </w:pPr>
            <w:r w:rsidRPr="1FC5E705">
              <w:rPr>
                <w:noProof/>
                <w:sz w:val="22"/>
                <w:szCs w:val="22"/>
              </w:rPr>
              <w:t>N/A</w:t>
            </w:r>
          </w:p>
        </w:tc>
        <w:tc>
          <w:tcPr>
            <w:tcW w:w="610" w:type="pct"/>
            <w:tcMar>
              <w:top w:w="57" w:type="dxa"/>
              <w:left w:w="57" w:type="dxa"/>
              <w:bottom w:w="57" w:type="dxa"/>
              <w:right w:w="57" w:type="dxa"/>
            </w:tcMar>
            <w:vAlign w:val="center"/>
          </w:tcPr>
          <w:p w14:paraId="4AF59B6D" w14:textId="77777777" w:rsidR="00A71942" w:rsidRPr="005E22CD" w:rsidRDefault="00A71942" w:rsidP="00E276C8">
            <w:pPr>
              <w:spacing w:after="120"/>
              <w:rPr>
                <w:noProof/>
                <w:sz w:val="22"/>
                <w:szCs w:val="22"/>
              </w:rPr>
            </w:pPr>
            <w:r w:rsidRPr="1FC5E705">
              <w:rPr>
                <w:noProof/>
                <w:sz w:val="22"/>
                <w:szCs w:val="22"/>
              </w:rPr>
              <w:t>N/A</w:t>
            </w:r>
          </w:p>
        </w:tc>
        <w:tc>
          <w:tcPr>
            <w:tcW w:w="712" w:type="pct"/>
            <w:tcMar>
              <w:top w:w="57" w:type="dxa"/>
              <w:left w:w="57" w:type="dxa"/>
              <w:bottom w:w="57" w:type="dxa"/>
              <w:right w:w="57" w:type="dxa"/>
            </w:tcMar>
            <w:vAlign w:val="center"/>
          </w:tcPr>
          <w:p w14:paraId="4B587FDC" w14:textId="77777777" w:rsidR="00A71942" w:rsidRPr="005E22CD" w:rsidRDefault="00A71942" w:rsidP="00E276C8">
            <w:pPr>
              <w:spacing w:after="120"/>
              <w:rPr>
                <w:noProof/>
                <w:sz w:val="22"/>
                <w:szCs w:val="22"/>
              </w:rPr>
            </w:pPr>
            <w:r w:rsidRPr="1FC5E705">
              <w:rPr>
                <w:noProof/>
                <w:sz w:val="22"/>
                <w:szCs w:val="22"/>
              </w:rPr>
              <w:t>N/A</w:t>
            </w:r>
          </w:p>
        </w:tc>
        <w:tc>
          <w:tcPr>
            <w:tcW w:w="866" w:type="pct"/>
            <w:tcMar>
              <w:top w:w="57" w:type="dxa"/>
              <w:left w:w="57" w:type="dxa"/>
              <w:bottom w:w="57" w:type="dxa"/>
              <w:right w:w="57" w:type="dxa"/>
            </w:tcMar>
            <w:vAlign w:val="center"/>
          </w:tcPr>
          <w:p w14:paraId="1D2DFDE8" w14:textId="77777777" w:rsidR="00A71942" w:rsidRPr="005E22CD" w:rsidRDefault="00A71942" w:rsidP="00E276C8">
            <w:pPr>
              <w:spacing w:after="120"/>
              <w:rPr>
                <w:noProof/>
                <w:sz w:val="22"/>
                <w:szCs w:val="22"/>
              </w:rPr>
            </w:pPr>
            <w:r w:rsidRPr="1FC5E705">
              <w:rPr>
                <w:noProof/>
                <w:sz w:val="22"/>
                <w:szCs w:val="22"/>
              </w:rPr>
              <w:t>N/A</w:t>
            </w:r>
          </w:p>
        </w:tc>
        <w:tc>
          <w:tcPr>
            <w:tcW w:w="1239" w:type="pct"/>
            <w:tcMar>
              <w:top w:w="57" w:type="dxa"/>
              <w:left w:w="57" w:type="dxa"/>
              <w:bottom w:w="57" w:type="dxa"/>
              <w:right w:w="57" w:type="dxa"/>
            </w:tcMar>
            <w:vAlign w:val="center"/>
          </w:tcPr>
          <w:p w14:paraId="08725EBD"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5590094F" w14:textId="77777777" w:rsidTr="1FC5E705">
        <w:tc>
          <w:tcPr>
            <w:tcW w:w="96" w:type="pct"/>
            <w:vMerge/>
            <w:tcMar>
              <w:top w:w="57" w:type="dxa"/>
              <w:left w:w="57" w:type="dxa"/>
              <w:bottom w:w="57" w:type="dxa"/>
              <w:right w:w="57" w:type="dxa"/>
            </w:tcMar>
          </w:tcPr>
          <w:p w14:paraId="42629425" w14:textId="77777777" w:rsidR="00A71942" w:rsidRPr="00F92EAE" w:rsidRDefault="00A71942" w:rsidP="00E276C8">
            <w:pPr>
              <w:spacing w:after="120"/>
              <w:rPr>
                <w:noProof/>
                <w:sz w:val="20"/>
              </w:rPr>
            </w:pPr>
          </w:p>
        </w:tc>
        <w:tc>
          <w:tcPr>
            <w:tcW w:w="712" w:type="pct"/>
            <w:tcBorders>
              <w:bottom w:val="double" w:sz="4" w:space="0" w:color="auto"/>
              <w:right w:val="double" w:sz="4" w:space="0" w:color="auto"/>
            </w:tcBorders>
            <w:tcMar>
              <w:top w:w="57" w:type="dxa"/>
              <w:left w:w="57" w:type="dxa"/>
              <w:bottom w:w="57" w:type="dxa"/>
              <w:right w:w="57" w:type="dxa"/>
            </w:tcMar>
          </w:tcPr>
          <w:p w14:paraId="5ADA39EA" w14:textId="77777777" w:rsidR="00A71942" w:rsidRPr="005E22CD" w:rsidRDefault="00A71942" w:rsidP="00E276C8">
            <w:pPr>
              <w:spacing w:after="120"/>
              <w:rPr>
                <w:noProof/>
                <w:sz w:val="22"/>
                <w:szCs w:val="22"/>
              </w:rPr>
            </w:pPr>
            <w:r w:rsidRPr="1FC5E705">
              <w:rPr>
                <w:noProof/>
                <w:sz w:val="22"/>
                <w:szCs w:val="22"/>
              </w:rPr>
              <w:t>Indirect costs</w:t>
            </w:r>
          </w:p>
        </w:tc>
        <w:tc>
          <w:tcPr>
            <w:tcW w:w="357" w:type="pct"/>
            <w:tcBorders>
              <w:left w:val="double" w:sz="4" w:space="0" w:color="auto"/>
              <w:bottom w:val="double" w:sz="4" w:space="0" w:color="auto"/>
            </w:tcBorders>
            <w:tcMar>
              <w:top w:w="57" w:type="dxa"/>
              <w:left w:w="57" w:type="dxa"/>
              <w:bottom w:w="57" w:type="dxa"/>
              <w:right w:w="57" w:type="dxa"/>
            </w:tcMar>
            <w:vAlign w:val="center"/>
          </w:tcPr>
          <w:p w14:paraId="00ECA41F" w14:textId="77777777" w:rsidR="00A71942" w:rsidRPr="005E22CD" w:rsidRDefault="00A71942" w:rsidP="00E276C8">
            <w:pPr>
              <w:spacing w:after="120"/>
              <w:rPr>
                <w:noProof/>
                <w:sz w:val="22"/>
                <w:szCs w:val="22"/>
              </w:rPr>
            </w:pPr>
            <w:r w:rsidRPr="1FC5E705">
              <w:rPr>
                <w:noProof/>
                <w:sz w:val="22"/>
                <w:szCs w:val="22"/>
              </w:rPr>
              <w:t>N/A</w:t>
            </w:r>
          </w:p>
        </w:tc>
        <w:tc>
          <w:tcPr>
            <w:tcW w:w="408" w:type="pct"/>
            <w:tcBorders>
              <w:bottom w:val="double" w:sz="4" w:space="0" w:color="auto"/>
            </w:tcBorders>
            <w:tcMar>
              <w:top w:w="57" w:type="dxa"/>
              <w:left w:w="57" w:type="dxa"/>
              <w:bottom w:w="57" w:type="dxa"/>
              <w:right w:w="57" w:type="dxa"/>
            </w:tcMar>
            <w:vAlign w:val="center"/>
          </w:tcPr>
          <w:p w14:paraId="1160F223" w14:textId="77777777" w:rsidR="00A71942" w:rsidRPr="005E22CD" w:rsidRDefault="00A71942" w:rsidP="00E276C8">
            <w:pPr>
              <w:spacing w:after="120"/>
              <w:rPr>
                <w:noProof/>
                <w:sz w:val="22"/>
                <w:szCs w:val="22"/>
              </w:rPr>
            </w:pPr>
            <w:r w:rsidRPr="1FC5E705">
              <w:rPr>
                <w:noProof/>
                <w:sz w:val="22"/>
                <w:szCs w:val="22"/>
              </w:rPr>
              <w:t>N/A</w:t>
            </w:r>
          </w:p>
        </w:tc>
        <w:tc>
          <w:tcPr>
            <w:tcW w:w="610" w:type="pct"/>
            <w:tcBorders>
              <w:bottom w:val="double" w:sz="4" w:space="0" w:color="auto"/>
            </w:tcBorders>
            <w:tcMar>
              <w:top w:w="57" w:type="dxa"/>
              <w:left w:w="57" w:type="dxa"/>
              <w:bottom w:w="57" w:type="dxa"/>
              <w:right w:w="57" w:type="dxa"/>
            </w:tcMar>
            <w:vAlign w:val="center"/>
          </w:tcPr>
          <w:p w14:paraId="4F35D705" w14:textId="77777777" w:rsidR="00A71942" w:rsidRPr="005E22CD" w:rsidRDefault="00A71942" w:rsidP="00E276C8">
            <w:pPr>
              <w:spacing w:after="120"/>
              <w:rPr>
                <w:noProof/>
                <w:sz w:val="22"/>
                <w:szCs w:val="22"/>
              </w:rPr>
            </w:pPr>
            <w:r w:rsidRPr="1FC5E705">
              <w:rPr>
                <w:noProof/>
                <w:sz w:val="22"/>
                <w:szCs w:val="22"/>
              </w:rPr>
              <w:t>N/A</w:t>
            </w:r>
          </w:p>
        </w:tc>
        <w:tc>
          <w:tcPr>
            <w:tcW w:w="712" w:type="pct"/>
            <w:tcBorders>
              <w:bottom w:val="double" w:sz="4" w:space="0" w:color="auto"/>
            </w:tcBorders>
            <w:tcMar>
              <w:top w:w="57" w:type="dxa"/>
              <w:left w:w="57" w:type="dxa"/>
              <w:bottom w:w="57" w:type="dxa"/>
              <w:right w:w="57" w:type="dxa"/>
            </w:tcMar>
            <w:vAlign w:val="center"/>
          </w:tcPr>
          <w:p w14:paraId="5F86C9E5" w14:textId="77777777" w:rsidR="00A71942" w:rsidRPr="005E22CD" w:rsidRDefault="00A71942" w:rsidP="00E276C8">
            <w:pPr>
              <w:spacing w:after="120"/>
              <w:rPr>
                <w:noProof/>
                <w:sz w:val="22"/>
                <w:szCs w:val="22"/>
              </w:rPr>
            </w:pPr>
            <w:r w:rsidRPr="1FC5E705">
              <w:rPr>
                <w:noProof/>
                <w:sz w:val="22"/>
                <w:szCs w:val="22"/>
              </w:rPr>
              <w:t>N/A</w:t>
            </w:r>
          </w:p>
        </w:tc>
        <w:tc>
          <w:tcPr>
            <w:tcW w:w="866" w:type="pct"/>
            <w:tcBorders>
              <w:bottom w:val="double" w:sz="4" w:space="0" w:color="auto"/>
            </w:tcBorders>
            <w:tcMar>
              <w:top w:w="57" w:type="dxa"/>
              <w:left w:w="57" w:type="dxa"/>
              <w:bottom w:w="57" w:type="dxa"/>
              <w:right w:w="57" w:type="dxa"/>
            </w:tcMar>
            <w:vAlign w:val="center"/>
          </w:tcPr>
          <w:p w14:paraId="50FC4E13" w14:textId="77777777" w:rsidR="00A71942" w:rsidRPr="005E22CD" w:rsidRDefault="00A71942" w:rsidP="00E276C8">
            <w:pPr>
              <w:spacing w:after="120"/>
              <w:rPr>
                <w:noProof/>
                <w:sz w:val="22"/>
                <w:szCs w:val="22"/>
              </w:rPr>
            </w:pPr>
            <w:r w:rsidRPr="1FC5E705">
              <w:rPr>
                <w:noProof/>
                <w:sz w:val="22"/>
                <w:szCs w:val="22"/>
              </w:rPr>
              <w:t>N/A</w:t>
            </w:r>
          </w:p>
        </w:tc>
        <w:tc>
          <w:tcPr>
            <w:tcW w:w="1239" w:type="pct"/>
            <w:tcBorders>
              <w:bottom w:val="double" w:sz="4" w:space="0" w:color="auto"/>
            </w:tcBorders>
            <w:tcMar>
              <w:top w:w="57" w:type="dxa"/>
              <w:left w:w="57" w:type="dxa"/>
              <w:bottom w:w="57" w:type="dxa"/>
              <w:right w:w="57" w:type="dxa"/>
            </w:tcMar>
            <w:vAlign w:val="center"/>
          </w:tcPr>
          <w:p w14:paraId="7A4C20B7" w14:textId="77777777" w:rsidR="00A71942" w:rsidRPr="005E22CD" w:rsidRDefault="00A71942" w:rsidP="00E276C8">
            <w:pPr>
              <w:spacing w:after="120"/>
              <w:rPr>
                <w:noProof/>
                <w:sz w:val="22"/>
                <w:szCs w:val="22"/>
              </w:rPr>
            </w:pPr>
            <w:r w:rsidRPr="1FC5E705">
              <w:rPr>
                <w:noProof/>
                <w:sz w:val="22"/>
                <w:szCs w:val="22"/>
              </w:rPr>
              <w:t>N/A</w:t>
            </w:r>
          </w:p>
        </w:tc>
      </w:tr>
    </w:tbl>
    <w:p w14:paraId="11C20D38" w14:textId="77777777" w:rsidR="00A71942" w:rsidRDefault="00A71942" w:rsidP="00E276C8">
      <w:pPr>
        <w:spacing w:line="240" w:lineRule="auto"/>
        <w:rPr>
          <w:b/>
          <w:bCs/>
          <w:noProof/>
        </w:rPr>
      </w:pPr>
      <w:r w:rsidRPr="1FC5E705">
        <w:rPr>
          <w:b/>
          <w:bCs/>
          <w:noProof/>
        </w:rPr>
        <w:t>Instruments to support investment</w:t>
      </w:r>
    </w:p>
    <w:p w14:paraId="5C81D7F0" w14:textId="77777777" w:rsidR="00A71942" w:rsidRDefault="00A71942" w:rsidP="00E276C8">
      <w:pPr>
        <w:pStyle w:val="ListParagraph"/>
        <w:numPr>
          <w:ilvl w:val="0"/>
          <w:numId w:val="41"/>
        </w:numPr>
        <w:spacing w:after="120" w:line="240" w:lineRule="auto"/>
        <w:contextualSpacing/>
        <w:jc w:val="left"/>
        <w:rPr>
          <w:noProof/>
        </w:rPr>
      </w:pPr>
      <w:r>
        <w:rPr>
          <w:noProof/>
        </w:rPr>
        <w:t>The Industrial Decarbonisation Bank (IDB) has no compliance costs for ETS installations but turns ETS resources into investment support for industry (6.2.1.3).</w:t>
      </w:r>
    </w:p>
    <w:tbl>
      <w:tblPr>
        <w:tblStyle w:val="CV11"/>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62"/>
        <w:gridCol w:w="1921"/>
        <w:gridCol w:w="1105"/>
        <w:gridCol w:w="1469"/>
        <w:gridCol w:w="2226"/>
        <w:gridCol w:w="1649"/>
        <w:gridCol w:w="2603"/>
        <w:gridCol w:w="2239"/>
      </w:tblGrid>
      <w:tr w:rsidR="00A71942" w:rsidRPr="00F92EAE" w14:paraId="21BBD75F" w14:textId="77777777" w:rsidTr="1FC5E705">
        <w:tc>
          <w:tcPr>
            <w:tcW w:w="5000" w:type="pct"/>
            <w:gridSpan w:val="8"/>
            <w:shd w:val="clear" w:color="auto" w:fill="BAD2FF" w:themeFill="text2" w:themeFillTint="33"/>
            <w:tcMar>
              <w:top w:w="57" w:type="dxa"/>
              <w:left w:w="57" w:type="dxa"/>
              <w:bottom w:w="57" w:type="dxa"/>
              <w:right w:w="57" w:type="dxa"/>
            </w:tcMar>
          </w:tcPr>
          <w:p w14:paraId="7C45EDAC"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65D84853" w14:textId="77777777" w:rsidTr="1FC5E705">
        <w:tc>
          <w:tcPr>
            <w:tcW w:w="810"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3E4222F7" w14:textId="77777777" w:rsidR="00A71942" w:rsidRPr="00F92EAE" w:rsidRDefault="00A71942" w:rsidP="00E276C8">
            <w:pPr>
              <w:spacing w:after="120"/>
              <w:rPr>
                <w:b/>
                <w:bCs/>
                <w:noProof/>
                <w:sz w:val="20"/>
                <w:szCs w:val="20"/>
              </w:rPr>
            </w:pPr>
          </w:p>
        </w:tc>
        <w:tc>
          <w:tcPr>
            <w:tcW w:w="955" w:type="pct"/>
            <w:gridSpan w:val="2"/>
            <w:tcBorders>
              <w:left w:val="double" w:sz="4" w:space="0" w:color="auto"/>
            </w:tcBorders>
            <w:tcMar>
              <w:top w:w="57" w:type="dxa"/>
              <w:left w:w="57" w:type="dxa"/>
              <w:bottom w:w="57" w:type="dxa"/>
              <w:right w:w="57" w:type="dxa"/>
            </w:tcMar>
          </w:tcPr>
          <w:p w14:paraId="0A443434"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1438" w:type="pct"/>
            <w:gridSpan w:val="2"/>
            <w:tcMar>
              <w:top w:w="57" w:type="dxa"/>
              <w:left w:w="57" w:type="dxa"/>
              <w:bottom w:w="57" w:type="dxa"/>
              <w:right w:w="57" w:type="dxa"/>
            </w:tcMar>
          </w:tcPr>
          <w:p w14:paraId="75935387"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1797" w:type="pct"/>
            <w:gridSpan w:val="2"/>
            <w:tcMar>
              <w:top w:w="57" w:type="dxa"/>
              <w:left w:w="57" w:type="dxa"/>
              <w:bottom w:w="57" w:type="dxa"/>
              <w:right w:w="57" w:type="dxa"/>
            </w:tcMar>
          </w:tcPr>
          <w:p w14:paraId="2FF85B6E"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448F062D" w14:textId="77777777" w:rsidTr="1FC5E705">
        <w:tc>
          <w:tcPr>
            <w:tcW w:w="810" w:type="pct"/>
            <w:gridSpan w:val="2"/>
            <w:vMerge/>
            <w:tcBorders>
              <w:tl2br w:val="double" w:sz="4" w:space="0" w:color="auto"/>
            </w:tcBorders>
            <w:tcMar>
              <w:top w:w="57" w:type="dxa"/>
              <w:left w:w="57" w:type="dxa"/>
              <w:bottom w:w="57" w:type="dxa"/>
              <w:right w:w="57" w:type="dxa"/>
            </w:tcMar>
          </w:tcPr>
          <w:p w14:paraId="355B8F4A" w14:textId="77777777" w:rsidR="00A71942" w:rsidRPr="00F92EAE" w:rsidRDefault="00A71942" w:rsidP="00E276C8">
            <w:pPr>
              <w:spacing w:after="120"/>
              <w:rPr>
                <w:b/>
                <w:noProof/>
                <w:sz w:val="20"/>
              </w:rPr>
            </w:pPr>
          </w:p>
        </w:tc>
        <w:tc>
          <w:tcPr>
            <w:tcW w:w="410" w:type="pct"/>
            <w:tcBorders>
              <w:left w:val="double" w:sz="4" w:space="0" w:color="auto"/>
              <w:bottom w:val="double" w:sz="4" w:space="0" w:color="auto"/>
            </w:tcBorders>
            <w:tcMar>
              <w:top w:w="57" w:type="dxa"/>
              <w:left w:w="57" w:type="dxa"/>
              <w:bottom w:w="57" w:type="dxa"/>
              <w:right w:w="57" w:type="dxa"/>
            </w:tcMar>
          </w:tcPr>
          <w:p w14:paraId="1494DC62"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545" w:type="pct"/>
            <w:tcBorders>
              <w:bottom w:val="double" w:sz="4" w:space="0" w:color="auto"/>
            </w:tcBorders>
            <w:tcMar>
              <w:top w:w="57" w:type="dxa"/>
              <w:left w:w="57" w:type="dxa"/>
              <w:bottom w:w="57" w:type="dxa"/>
              <w:right w:w="57" w:type="dxa"/>
            </w:tcMar>
          </w:tcPr>
          <w:p w14:paraId="2DD74E8E"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826" w:type="pct"/>
            <w:tcBorders>
              <w:bottom w:val="double" w:sz="4" w:space="0" w:color="auto"/>
            </w:tcBorders>
            <w:tcMar>
              <w:top w:w="57" w:type="dxa"/>
              <w:left w:w="57" w:type="dxa"/>
              <w:bottom w:w="57" w:type="dxa"/>
              <w:right w:w="57" w:type="dxa"/>
            </w:tcMar>
          </w:tcPr>
          <w:p w14:paraId="37ED64D8"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612" w:type="pct"/>
            <w:tcBorders>
              <w:bottom w:val="double" w:sz="4" w:space="0" w:color="auto"/>
            </w:tcBorders>
            <w:tcMar>
              <w:top w:w="57" w:type="dxa"/>
              <w:left w:w="57" w:type="dxa"/>
              <w:bottom w:w="57" w:type="dxa"/>
              <w:right w:w="57" w:type="dxa"/>
            </w:tcMar>
          </w:tcPr>
          <w:p w14:paraId="29428258"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966" w:type="pct"/>
            <w:tcBorders>
              <w:bottom w:val="double" w:sz="4" w:space="0" w:color="auto"/>
            </w:tcBorders>
            <w:tcMar>
              <w:top w:w="57" w:type="dxa"/>
              <w:left w:w="57" w:type="dxa"/>
              <w:bottom w:w="57" w:type="dxa"/>
              <w:right w:w="57" w:type="dxa"/>
            </w:tcMar>
          </w:tcPr>
          <w:p w14:paraId="778F3591"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831" w:type="pct"/>
            <w:tcBorders>
              <w:bottom w:val="double" w:sz="4" w:space="0" w:color="auto"/>
            </w:tcBorders>
            <w:tcMar>
              <w:top w:w="57" w:type="dxa"/>
              <w:left w:w="57" w:type="dxa"/>
              <w:bottom w:w="57" w:type="dxa"/>
              <w:right w:w="57" w:type="dxa"/>
            </w:tcMar>
          </w:tcPr>
          <w:p w14:paraId="4C070671"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287732FD" w14:textId="77777777" w:rsidTr="1FC5E705">
        <w:trPr>
          <w:trHeight w:val="307"/>
        </w:trPr>
        <w:tc>
          <w:tcPr>
            <w:tcW w:w="97" w:type="pct"/>
            <w:vMerge w:val="restart"/>
            <w:tcMar>
              <w:top w:w="57" w:type="dxa"/>
              <w:left w:w="57" w:type="dxa"/>
              <w:bottom w:w="57" w:type="dxa"/>
              <w:right w:w="57" w:type="dxa"/>
            </w:tcMar>
            <w:vAlign w:val="center"/>
          </w:tcPr>
          <w:p w14:paraId="3DECC01E" w14:textId="77777777" w:rsidR="00A71942" w:rsidRPr="00F92EAE" w:rsidRDefault="00A71942" w:rsidP="00E276C8">
            <w:pPr>
              <w:spacing w:after="120"/>
              <w:rPr>
                <w:noProof/>
                <w:sz w:val="20"/>
                <w:szCs w:val="20"/>
              </w:rPr>
            </w:pPr>
          </w:p>
        </w:tc>
        <w:tc>
          <w:tcPr>
            <w:tcW w:w="713" w:type="pct"/>
            <w:tcBorders>
              <w:right w:val="double" w:sz="4" w:space="0" w:color="auto"/>
            </w:tcBorders>
            <w:tcMar>
              <w:top w:w="57" w:type="dxa"/>
              <w:left w:w="57" w:type="dxa"/>
              <w:bottom w:w="57" w:type="dxa"/>
              <w:right w:w="57" w:type="dxa"/>
            </w:tcMar>
            <w:vAlign w:val="center"/>
          </w:tcPr>
          <w:p w14:paraId="3E931B96" w14:textId="77777777" w:rsidR="00A71942" w:rsidRPr="005E22CD" w:rsidRDefault="00A71942" w:rsidP="00E276C8">
            <w:pPr>
              <w:spacing w:after="120"/>
              <w:rPr>
                <w:noProof/>
                <w:sz w:val="22"/>
                <w:szCs w:val="22"/>
              </w:rPr>
            </w:pPr>
            <w:r w:rsidRPr="1FC5E705">
              <w:rPr>
                <w:noProof/>
                <w:sz w:val="22"/>
                <w:szCs w:val="22"/>
              </w:rPr>
              <w:t>Direct adjustment costs</w:t>
            </w:r>
          </w:p>
        </w:tc>
        <w:tc>
          <w:tcPr>
            <w:tcW w:w="410" w:type="pct"/>
            <w:tcBorders>
              <w:left w:val="double" w:sz="4" w:space="0" w:color="auto"/>
            </w:tcBorders>
            <w:tcMar>
              <w:top w:w="57" w:type="dxa"/>
              <w:left w:w="57" w:type="dxa"/>
              <w:bottom w:w="57" w:type="dxa"/>
              <w:right w:w="57" w:type="dxa"/>
            </w:tcMar>
            <w:vAlign w:val="center"/>
          </w:tcPr>
          <w:p w14:paraId="2C96176B"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150D3A1E" w14:textId="77777777" w:rsidR="00A71942" w:rsidRPr="005E22CD" w:rsidRDefault="00A71942" w:rsidP="00E276C8">
            <w:pPr>
              <w:spacing w:after="120"/>
              <w:rPr>
                <w:noProof/>
                <w:sz w:val="22"/>
                <w:szCs w:val="22"/>
              </w:rPr>
            </w:pPr>
            <w:r w:rsidRPr="1FC5E705">
              <w:rPr>
                <w:noProof/>
                <w:sz w:val="22"/>
                <w:szCs w:val="22"/>
              </w:rPr>
              <w:t>N/A</w:t>
            </w:r>
          </w:p>
        </w:tc>
        <w:tc>
          <w:tcPr>
            <w:tcW w:w="826" w:type="pct"/>
            <w:tcMar>
              <w:top w:w="57" w:type="dxa"/>
              <w:left w:w="57" w:type="dxa"/>
              <w:bottom w:w="57" w:type="dxa"/>
              <w:right w:w="57" w:type="dxa"/>
            </w:tcMar>
            <w:vAlign w:val="center"/>
          </w:tcPr>
          <w:p w14:paraId="377B46FF" w14:textId="77777777" w:rsidR="00A71942" w:rsidRPr="005E22CD" w:rsidRDefault="00A71942" w:rsidP="00E276C8">
            <w:pPr>
              <w:spacing w:after="120"/>
              <w:rPr>
                <w:noProof/>
                <w:sz w:val="22"/>
                <w:szCs w:val="22"/>
              </w:rPr>
            </w:pPr>
            <w:r w:rsidRPr="1FC5E705">
              <w:rPr>
                <w:noProof/>
                <w:sz w:val="22"/>
                <w:szCs w:val="22"/>
              </w:rPr>
              <w:t>N/A</w:t>
            </w:r>
          </w:p>
        </w:tc>
        <w:tc>
          <w:tcPr>
            <w:tcW w:w="612" w:type="pct"/>
            <w:tcMar>
              <w:top w:w="57" w:type="dxa"/>
              <w:left w:w="57" w:type="dxa"/>
              <w:bottom w:w="57" w:type="dxa"/>
              <w:right w:w="57" w:type="dxa"/>
            </w:tcMar>
            <w:vAlign w:val="center"/>
          </w:tcPr>
          <w:p w14:paraId="0F5F8406" w14:textId="77777777" w:rsidR="00A71942" w:rsidRPr="005E22CD" w:rsidRDefault="00A71942" w:rsidP="00E276C8">
            <w:pPr>
              <w:spacing w:after="120"/>
              <w:rPr>
                <w:noProof/>
                <w:sz w:val="22"/>
                <w:szCs w:val="22"/>
              </w:rPr>
            </w:pPr>
            <w:r w:rsidRPr="1FC5E705">
              <w:rPr>
                <w:noProof/>
                <w:sz w:val="22"/>
                <w:szCs w:val="22"/>
              </w:rPr>
              <w:t>N/A</w:t>
            </w:r>
          </w:p>
        </w:tc>
        <w:tc>
          <w:tcPr>
            <w:tcW w:w="966" w:type="pct"/>
            <w:tcMar>
              <w:top w:w="57" w:type="dxa"/>
              <w:left w:w="57" w:type="dxa"/>
              <w:bottom w:w="57" w:type="dxa"/>
              <w:right w:w="57" w:type="dxa"/>
            </w:tcMar>
            <w:vAlign w:val="center"/>
          </w:tcPr>
          <w:p w14:paraId="5E58966C" w14:textId="77777777" w:rsidR="00A71942" w:rsidRPr="005E22CD" w:rsidRDefault="00A71942" w:rsidP="00E276C8">
            <w:pPr>
              <w:spacing w:after="120"/>
              <w:rPr>
                <w:noProof/>
                <w:sz w:val="22"/>
                <w:szCs w:val="22"/>
              </w:rPr>
            </w:pPr>
            <w:r w:rsidRPr="1FC5E705">
              <w:rPr>
                <w:noProof/>
                <w:sz w:val="22"/>
                <w:szCs w:val="22"/>
              </w:rPr>
              <w:t>N/A</w:t>
            </w:r>
          </w:p>
        </w:tc>
        <w:tc>
          <w:tcPr>
            <w:tcW w:w="831" w:type="pct"/>
            <w:tcMar>
              <w:top w:w="57" w:type="dxa"/>
              <w:left w:w="57" w:type="dxa"/>
              <w:bottom w:w="57" w:type="dxa"/>
              <w:right w:w="57" w:type="dxa"/>
            </w:tcMar>
            <w:vAlign w:val="center"/>
          </w:tcPr>
          <w:p w14:paraId="078F8893"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0459AC30" w14:textId="77777777" w:rsidTr="1FC5E705">
        <w:trPr>
          <w:trHeight w:val="307"/>
        </w:trPr>
        <w:tc>
          <w:tcPr>
            <w:tcW w:w="97" w:type="pct"/>
            <w:vMerge/>
            <w:tcMar>
              <w:top w:w="57" w:type="dxa"/>
              <w:left w:w="57" w:type="dxa"/>
              <w:bottom w:w="57" w:type="dxa"/>
              <w:right w:w="57" w:type="dxa"/>
            </w:tcMar>
            <w:vAlign w:val="center"/>
          </w:tcPr>
          <w:p w14:paraId="7FEBE79A" w14:textId="77777777" w:rsidR="00A71942" w:rsidRPr="00F92EAE" w:rsidRDefault="00A71942" w:rsidP="00E276C8">
            <w:pPr>
              <w:spacing w:after="120"/>
              <w:rPr>
                <w:noProof/>
                <w:sz w:val="20"/>
              </w:rPr>
            </w:pPr>
          </w:p>
        </w:tc>
        <w:tc>
          <w:tcPr>
            <w:tcW w:w="713" w:type="pct"/>
            <w:tcBorders>
              <w:right w:val="double" w:sz="4" w:space="0" w:color="auto"/>
            </w:tcBorders>
            <w:tcMar>
              <w:top w:w="57" w:type="dxa"/>
              <w:left w:w="57" w:type="dxa"/>
              <w:bottom w:w="57" w:type="dxa"/>
              <w:right w:w="57" w:type="dxa"/>
            </w:tcMar>
            <w:vAlign w:val="center"/>
          </w:tcPr>
          <w:p w14:paraId="1820FB08"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410" w:type="pct"/>
            <w:tcBorders>
              <w:left w:val="double" w:sz="4" w:space="0" w:color="auto"/>
            </w:tcBorders>
            <w:tcMar>
              <w:top w:w="57" w:type="dxa"/>
              <w:left w:w="57" w:type="dxa"/>
              <w:bottom w:w="57" w:type="dxa"/>
              <w:right w:w="57" w:type="dxa"/>
            </w:tcMar>
            <w:vAlign w:val="center"/>
          </w:tcPr>
          <w:p w14:paraId="444B0D97"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0E552FBA" w14:textId="77777777" w:rsidR="00A71942" w:rsidRPr="005E22CD" w:rsidRDefault="00A71942" w:rsidP="00E276C8">
            <w:pPr>
              <w:spacing w:after="120"/>
              <w:rPr>
                <w:noProof/>
                <w:sz w:val="22"/>
                <w:szCs w:val="22"/>
              </w:rPr>
            </w:pPr>
            <w:r w:rsidRPr="1FC5E705">
              <w:rPr>
                <w:noProof/>
                <w:sz w:val="22"/>
                <w:szCs w:val="22"/>
              </w:rPr>
              <w:t>N/A</w:t>
            </w:r>
          </w:p>
        </w:tc>
        <w:tc>
          <w:tcPr>
            <w:tcW w:w="826" w:type="pct"/>
            <w:tcMar>
              <w:top w:w="57" w:type="dxa"/>
              <w:left w:w="57" w:type="dxa"/>
              <w:bottom w:w="57" w:type="dxa"/>
              <w:right w:w="57" w:type="dxa"/>
            </w:tcMar>
            <w:vAlign w:val="center"/>
          </w:tcPr>
          <w:p w14:paraId="7514AC30" w14:textId="77777777" w:rsidR="00A71942" w:rsidRPr="005E22CD" w:rsidRDefault="00A71942" w:rsidP="00E276C8">
            <w:pPr>
              <w:spacing w:after="120"/>
              <w:rPr>
                <w:noProof/>
                <w:sz w:val="22"/>
                <w:szCs w:val="22"/>
              </w:rPr>
            </w:pPr>
            <w:r w:rsidRPr="1FC5E705">
              <w:rPr>
                <w:noProof/>
                <w:sz w:val="22"/>
                <w:szCs w:val="22"/>
              </w:rPr>
              <w:t>Participation costs (6.2.2.2)</w:t>
            </w:r>
          </w:p>
        </w:tc>
        <w:tc>
          <w:tcPr>
            <w:tcW w:w="612" w:type="pct"/>
            <w:tcMar>
              <w:top w:w="57" w:type="dxa"/>
              <w:left w:w="57" w:type="dxa"/>
              <w:bottom w:w="57" w:type="dxa"/>
              <w:right w:w="57" w:type="dxa"/>
            </w:tcMar>
            <w:vAlign w:val="center"/>
          </w:tcPr>
          <w:p w14:paraId="351EA16D" w14:textId="77777777" w:rsidR="00A71942" w:rsidRPr="005E22CD" w:rsidRDefault="00A71942" w:rsidP="00E276C8">
            <w:pPr>
              <w:spacing w:after="120"/>
              <w:rPr>
                <w:noProof/>
                <w:sz w:val="22"/>
                <w:szCs w:val="22"/>
              </w:rPr>
            </w:pPr>
            <w:r w:rsidRPr="1FC5E705">
              <w:rPr>
                <w:noProof/>
                <w:sz w:val="22"/>
                <w:szCs w:val="22"/>
              </w:rPr>
              <w:t>Participation costs (6.2.2.2)</w:t>
            </w:r>
          </w:p>
        </w:tc>
        <w:tc>
          <w:tcPr>
            <w:tcW w:w="1797" w:type="pct"/>
            <w:gridSpan w:val="2"/>
            <w:tcMar>
              <w:top w:w="57" w:type="dxa"/>
              <w:left w:w="57" w:type="dxa"/>
              <w:bottom w:w="57" w:type="dxa"/>
              <w:right w:w="57" w:type="dxa"/>
            </w:tcMar>
            <w:vAlign w:val="center"/>
          </w:tcPr>
          <w:p w14:paraId="7323B354" w14:textId="77777777" w:rsidR="00A71942" w:rsidRPr="005E22CD" w:rsidRDefault="00A71942" w:rsidP="00E276C8">
            <w:pPr>
              <w:spacing w:after="120"/>
              <w:rPr>
                <w:noProof/>
                <w:sz w:val="22"/>
                <w:szCs w:val="22"/>
              </w:rPr>
            </w:pPr>
            <w:r w:rsidRPr="1FC5E705">
              <w:rPr>
                <w:noProof/>
                <w:sz w:val="22"/>
                <w:szCs w:val="22"/>
              </w:rPr>
              <w:t xml:space="preserve">To public authorities, predominantly on the EU level, for organisation of calls (6.2.2.2). </w:t>
            </w:r>
          </w:p>
          <w:p w14:paraId="3BA38A76" w14:textId="77777777" w:rsidR="00A71942" w:rsidRPr="005E22CD" w:rsidRDefault="00A71942" w:rsidP="00E276C8">
            <w:pPr>
              <w:spacing w:after="120"/>
              <w:rPr>
                <w:noProof/>
                <w:sz w:val="22"/>
                <w:szCs w:val="22"/>
              </w:rPr>
            </w:pPr>
            <w:r w:rsidRPr="1FC5E705">
              <w:rPr>
                <w:noProof/>
                <w:sz w:val="22"/>
                <w:szCs w:val="22"/>
              </w:rPr>
              <w:t>Cost estimated to be similar to Modernisation Fund (0.13% of total envelope).</w:t>
            </w:r>
          </w:p>
          <w:p w14:paraId="0C03AEE8" w14:textId="77777777" w:rsidR="00A71942" w:rsidRPr="005E22CD" w:rsidRDefault="00A71942" w:rsidP="00E276C8">
            <w:pPr>
              <w:spacing w:after="120"/>
              <w:rPr>
                <w:noProof/>
                <w:sz w:val="22"/>
                <w:szCs w:val="22"/>
              </w:rPr>
            </w:pPr>
            <w:r w:rsidRPr="1FC5E705">
              <w:rPr>
                <w:noProof/>
                <w:sz w:val="22"/>
                <w:szCs w:val="22"/>
              </w:rPr>
              <w:t>For Modernisation Fund, the preferred option is expected to reduce administrative cost by reducing share of non-priority investments, which have higher administrative burden (6.2.5.2)</w:t>
            </w:r>
          </w:p>
        </w:tc>
      </w:tr>
      <w:tr w:rsidR="00A71942" w:rsidRPr="00F92EAE" w14:paraId="361B8492" w14:textId="77777777" w:rsidTr="1FC5E705">
        <w:trPr>
          <w:trHeight w:val="307"/>
        </w:trPr>
        <w:tc>
          <w:tcPr>
            <w:tcW w:w="97" w:type="pct"/>
            <w:vMerge/>
            <w:tcMar>
              <w:top w:w="57" w:type="dxa"/>
              <w:left w:w="57" w:type="dxa"/>
              <w:bottom w:w="57" w:type="dxa"/>
              <w:right w:w="57" w:type="dxa"/>
            </w:tcMar>
            <w:vAlign w:val="center"/>
          </w:tcPr>
          <w:p w14:paraId="7F2F5FDC" w14:textId="77777777" w:rsidR="00A71942" w:rsidRPr="00F92EAE" w:rsidRDefault="00A71942" w:rsidP="00E276C8">
            <w:pPr>
              <w:spacing w:after="120"/>
              <w:rPr>
                <w:noProof/>
                <w:sz w:val="20"/>
              </w:rPr>
            </w:pPr>
          </w:p>
        </w:tc>
        <w:tc>
          <w:tcPr>
            <w:tcW w:w="713" w:type="pct"/>
            <w:tcBorders>
              <w:right w:val="double" w:sz="4" w:space="0" w:color="auto"/>
            </w:tcBorders>
            <w:tcMar>
              <w:top w:w="57" w:type="dxa"/>
              <w:left w:w="57" w:type="dxa"/>
              <w:bottom w:w="57" w:type="dxa"/>
              <w:right w:w="57" w:type="dxa"/>
            </w:tcMar>
            <w:vAlign w:val="center"/>
          </w:tcPr>
          <w:p w14:paraId="577D847D"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410" w:type="pct"/>
            <w:tcBorders>
              <w:left w:val="double" w:sz="4" w:space="0" w:color="auto"/>
            </w:tcBorders>
            <w:tcMar>
              <w:top w:w="57" w:type="dxa"/>
              <w:left w:w="57" w:type="dxa"/>
              <w:bottom w:w="57" w:type="dxa"/>
              <w:right w:w="57" w:type="dxa"/>
            </w:tcMar>
            <w:vAlign w:val="center"/>
          </w:tcPr>
          <w:p w14:paraId="05509C23"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00828D56" w14:textId="77777777" w:rsidR="00A71942" w:rsidRPr="005E22CD" w:rsidRDefault="00A71942" w:rsidP="00E276C8">
            <w:pPr>
              <w:spacing w:after="120"/>
              <w:rPr>
                <w:noProof/>
                <w:sz w:val="22"/>
                <w:szCs w:val="22"/>
              </w:rPr>
            </w:pPr>
            <w:r w:rsidRPr="1FC5E705">
              <w:rPr>
                <w:noProof/>
                <w:sz w:val="22"/>
                <w:szCs w:val="22"/>
              </w:rPr>
              <w:t>N/A</w:t>
            </w:r>
          </w:p>
        </w:tc>
        <w:tc>
          <w:tcPr>
            <w:tcW w:w="826" w:type="pct"/>
            <w:tcMar>
              <w:top w:w="57" w:type="dxa"/>
              <w:left w:w="57" w:type="dxa"/>
              <w:bottom w:w="57" w:type="dxa"/>
              <w:right w:w="57" w:type="dxa"/>
            </w:tcMar>
            <w:vAlign w:val="center"/>
          </w:tcPr>
          <w:p w14:paraId="2B74CC93" w14:textId="77777777" w:rsidR="00A71942" w:rsidRPr="005E22CD" w:rsidRDefault="00A71942" w:rsidP="00E276C8">
            <w:pPr>
              <w:spacing w:after="120"/>
              <w:rPr>
                <w:noProof/>
                <w:sz w:val="22"/>
                <w:szCs w:val="22"/>
              </w:rPr>
            </w:pPr>
            <w:r w:rsidRPr="1FC5E705">
              <w:rPr>
                <w:noProof/>
                <w:sz w:val="22"/>
                <w:szCs w:val="22"/>
              </w:rPr>
              <w:t>N/A</w:t>
            </w:r>
          </w:p>
        </w:tc>
        <w:tc>
          <w:tcPr>
            <w:tcW w:w="612" w:type="pct"/>
            <w:tcMar>
              <w:top w:w="57" w:type="dxa"/>
              <w:left w:w="57" w:type="dxa"/>
              <w:bottom w:w="57" w:type="dxa"/>
              <w:right w:w="57" w:type="dxa"/>
            </w:tcMar>
            <w:vAlign w:val="center"/>
          </w:tcPr>
          <w:p w14:paraId="3AD8DCF3" w14:textId="77777777" w:rsidR="00A71942" w:rsidRPr="005E22CD" w:rsidRDefault="00A71942" w:rsidP="00E276C8">
            <w:pPr>
              <w:spacing w:after="120"/>
              <w:rPr>
                <w:noProof/>
                <w:sz w:val="22"/>
                <w:szCs w:val="22"/>
              </w:rPr>
            </w:pPr>
            <w:r w:rsidRPr="1FC5E705">
              <w:rPr>
                <w:noProof/>
                <w:sz w:val="22"/>
                <w:szCs w:val="22"/>
              </w:rPr>
              <w:t>N/A</w:t>
            </w:r>
          </w:p>
        </w:tc>
        <w:tc>
          <w:tcPr>
            <w:tcW w:w="966" w:type="pct"/>
            <w:tcMar>
              <w:top w:w="57" w:type="dxa"/>
              <w:left w:w="57" w:type="dxa"/>
              <w:bottom w:w="57" w:type="dxa"/>
              <w:right w:w="57" w:type="dxa"/>
            </w:tcMar>
            <w:vAlign w:val="center"/>
          </w:tcPr>
          <w:p w14:paraId="2CA12870" w14:textId="77777777" w:rsidR="00A71942" w:rsidRPr="005E22CD" w:rsidRDefault="00A71942" w:rsidP="00E276C8">
            <w:pPr>
              <w:spacing w:after="120"/>
              <w:rPr>
                <w:noProof/>
                <w:sz w:val="22"/>
                <w:szCs w:val="22"/>
              </w:rPr>
            </w:pPr>
            <w:r w:rsidRPr="1FC5E705">
              <w:rPr>
                <w:noProof/>
                <w:sz w:val="22"/>
                <w:szCs w:val="22"/>
              </w:rPr>
              <w:t>N/A</w:t>
            </w:r>
          </w:p>
        </w:tc>
        <w:tc>
          <w:tcPr>
            <w:tcW w:w="831" w:type="pct"/>
            <w:tcMar>
              <w:top w:w="57" w:type="dxa"/>
              <w:left w:w="57" w:type="dxa"/>
              <w:bottom w:w="57" w:type="dxa"/>
              <w:right w:w="57" w:type="dxa"/>
            </w:tcMar>
            <w:vAlign w:val="center"/>
          </w:tcPr>
          <w:p w14:paraId="3D991DDD"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64162AC8" w14:textId="77777777" w:rsidTr="1FC5E705">
        <w:trPr>
          <w:trHeight w:val="307"/>
        </w:trPr>
        <w:tc>
          <w:tcPr>
            <w:tcW w:w="97" w:type="pct"/>
            <w:vMerge/>
            <w:tcMar>
              <w:top w:w="57" w:type="dxa"/>
              <w:left w:w="57" w:type="dxa"/>
              <w:bottom w:w="57" w:type="dxa"/>
              <w:right w:w="57" w:type="dxa"/>
            </w:tcMar>
            <w:vAlign w:val="center"/>
          </w:tcPr>
          <w:p w14:paraId="58B9B459" w14:textId="77777777" w:rsidR="00A71942" w:rsidRPr="00F92EAE" w:rsidRDefault="00A71942" w:rsidP="00E276C8">
            <w:pPr>
              <w:spacing w:after="120"/>
              <w:rPr>
                <w:noProof/>
                <w:sz w:val="20"/>
              </w:rPr>
            </w:pPr>
          </w:p>
        </w:tc>
        <w:tc>
          <w:tcPr>
            <w:tcW w:w="713" w:type="pct"/>
            <w:tcBorders>
              <w:right w:val="double" w:sz="4" w:space="0" w:color="auto"/>
            </w:tcBorders>
            <w:tcMar>
              <w:top w:w="57" w:type="dxa"/>
              <w:left w:w="57" w:type="dxa"/>
              <w:bottom w:w="57" w:type="dxa"/>
              <w:right w:w="57" w:type="dxa"/>
            </w:tcMar>
            <w:vAlign w:val="center"/>
          </w:tcPr>
          <w:p w14:paraId="674895F8" w14:textId="77777777" w:rsidR="00A71942" w:rsidRPr="005E22CD" w:rsidRDefault="00A71942" w:rsidP="00E276C8">
            <w:pPr>
              <w:spacing w:after="120"/>
              <w:rPr>
                <w:noProof/>
                <w:sz w:val="22"/>
                <w:szCs w:val="22"/>
              </w:rPr>
            </w:pPr>
            <w:r w:rsidRPr="1FC5E705">
              <w:rPr>
                <w:noProof/>
                <w:sz w:val="22"/>
                <w:szCs w:val="22"/>
              </w:rPr>
              <w:t>Direct enforcement costs</w:t>
            </w:r>
          </w:p>
        </w:tc>
        <w:tc>
          <w:tcPr>
            <w:tcW w:w="410" w:type="pct"/>
            <w:tcBorders>
              <w:left w:val="double" w:sz="4" w:space="0" w:color="auto"/>
            </w:tcBorders>
            <w:tcMar>
              <w:top w:w="57" w:type="dxa"/>
              <w:left w:w="57" w:type="dxa"/>
              <w:bottom w:w="57" w:type="dxa"/>
              <w:right w:w="57" w:type="dxa"/>
            </w:tcMar>
            <w:vAlign w:val="center"/>
          </w:tcPr>
          <w:p w14:paraId="66AE2A8D"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42A34CCC" w14:textId="77777777" w:rsidR="00A71942" w:rsidRPr="005E22CD" w:rsidRDefault="00A71942" w:rsidP="00E276C8">
            <w:pPr>
              <w:spacing w:after="120"/>
              <w:rPr>
                <w:noProof/>
                <w:sz w:val="22"/>
                <w:szCs w:val="22"/>
              </w:rPr>
            </w:pPr>
            <w:r w:rsidRPr="1FC5E705">
              <w:rPr>
                <w:noProof/>
                <w:sz w:val="22"/>
                <w:szCs w:val="22"/>
              </w:rPr>
              <w:t>N/A</w:t>
            </w:r>
          </w:p>
        </w:tc>
        <w:tc>
          <w:tcPr>
            <w:tcW w:w="826" w:type="pct"/>
            <w:tcMar>
              <w:top w:w="57" w:type="dxa"/>
              <w:left w:w="57" w:type="dxa"/>
              <w:bottom w:w="57" w:type="dxa"/>
              <w:right w:w="57" w:type="dxa"/>
            </w:tcMar>
            <w:vAlign w:val="center"/>
          </w:tcPr>
          <w:p w14:paraId="0DC60554" w14:textId="77777777" w:rsidR="00A71942" w:rsidRPr="005E22CD" w:rsidRDefault="00A71942" w:rsidP="00E276C8">
            <w:pPr>
              <w:spacing w:after="120"/>
              <w:rPr>
                <w:noProof/>
                <w:sz w:val="22"/>
                <w:szCs w:val="22"/>
              </w:rPr>
            </w:pPr>
            <w:r w:rsidRPr="1FC5E705">
              <w:rPr>
                <w:noProof/>
                <w:sz w:val="22"/>
                <w:szCs w:val="22"/>
              </w:rPr>
              <w:t>N/A</w:t>
            </w:r>
          </w:p>
        </w:tc>
        <w:tc>
          <w:tcPr>
            <w:tcW w:w="612" w:type="pct"/>
            <w:tcMar>
              <w:top w:w="57" w:type="dxa"/>
              <w:left w:w="57" w:type="dxa"/>
              <w:bottom w:w="57" w:type="dxa"/>
              <w:right w:w="57" w:type="dxa"/>
            </w:tcMar>
            <w:vAlign w:val="center"/>
          </w:tcPr>
          <w:p w14:paraId="00C72B7B" w14:textId="77777777" w:rsidR="00A71942" w:rsidRPr="005E22CD" w:rsidRDefault="00A71942" w:rsidP="00E276C8">
            <w:pPr>
              <w:spacing w:after="120"/>
              <w:rPr>
                <w:noProof/>
                <w:sz w:val="22"/>
                <w:szCs w:val="22"/>
              </w:rPr>
            </w:pPr>
            <w:r w:rsidRPr="1FC5E705">
              <w:rPr>
                <w:noProof/>
                <w:sz w:val="22"/>
                <w:szCs w:val="22"/>
              </w:rPr>
              <w:t>N/A</w:t>
            </w:r>
          </w:p>
        </w:tc>
        <w:tc>
          <w:tcPr>
            <w:tcW w:w="966" w:type="pct"/>
            <w:tcMar>
              <w:top w:w="57" w:type="dxa"/>
              <w:left w:w="57" w:type="dxa"/>
              <w:bottom w:w="57" w:type="dxa"/>
              <w:right w:w="57" w:type="dxa"/>
            </w:tcMar>
            <w:vAlign w:val="center"/>
          </w:tcPr>
          <w:p w14:paraId="73DBB77E" w14:textId="77777777" w:rsidR="00A71942" w:rsidRPr="005E22CD" w:rsidRDefault="00A71942" w:rsidP="00E276C8">
            <w:pPr>
              <w:spacing w:after="120"/>
              <w:rPr>
                <w:noProof/>
                <w:sz w:val="22"/>
                <w:szCs w:val="22"/>
              </w:rPr>
            </w:pPr>
            <w:r w:rsidRPr="1FC5E705">
              <w:rPr>
                <w:noProof/>
                <w:sz w:val="22"/>
                <w:szCs w:val="22"/>
              </w:rPr>
              <w:t>N/A</w:t>
            </w:r>
          </w:p>
        </w:tc>
        <w:tc>
          <w:tcPr>
            <w:tcW w:w="831" w:type="pct"/>
            <w:tcMar>
              <w:top w:w="57" w:type="dxa"/>
              <w:left w:w="57" w:type="dxa"/>
              <w:bottom w:w="57" w:type="dxa"/>
              <w:right w:w="57" w:type="dxa"/>
            </w:tcMar>
            <w:vAlign w:val="center"/>
          </w:tcPr>
          <w:p w14:paraId="4F1B4440"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6071CD09" w14:textId="77777777" w:rsidTr="1FC5E705">
        <w:tc>
          <w:tcPr>
            <w:tcW w:w="97" w:type="pct"/>
            <w:vMerge/>
            <w:tcMar>
              <w:top w:w="57" w:type="dxa"/>
              <w:left w:w="57" w:type="dxa"/>
              <w:bottom w:w="57" w:type="dxa"/>
              <w:right w:w="57" w:type="dxa"/>
            </w:tcMar>
          </w:tcPr>
          <w:p w14:paraId="41742B33" w14:textId="77777777" w:rsidR="00A71942" w:rsidRPr="00F92EAE" w:rsidRDefault="00A71942" w:rsidP="00E276C8">
            <w:pPr>
              <w:spacing w:after="120"/>
              <w:rPr>
                <w:noProof/>
                <w:sz w:val="20"/>
              </w:rPr>
            </w:pPr>
          </w:p>
        </w:tc>
        <w:tc>
          <w:tcPr>
            <w:tcW w:w="713" w:type="pct"/>
            <w:tcBorders>
              <w:bottom w:val="double" w:sz="4" w:space="0" w:color="auto"/>
              <w:right w:val="double" w:sz="4" w:space="0" w:color="auto"/>
            </w:tcBorders>
            <w:tcMar>
              <w:top w:w="57" w:type="dxa"/>
              <w:left w:w="57" w:type="dxa"/>
              <w:bottom w:w="57" w:type="dxa"/>
              <w:right w:w="57" w:type="dxa"/>
            </w:tcMar>
          </w:tcPr>
          <w:p w14:paraId="20AA16A0" w14:textId="77777777" w:rsidR="00A71942" w:rsidRPr="005E22CD" w:rsidRDefault="00A71942" w:rsidP="00E276C8">
            <w:pPr>
              <w:spacing w:after="120"/>
              <w:rPr>
                <w:noProof/>
                <w:sz w:val="22"/>
                <w:szCs w:val="22"/>
              </w:rPr>
            </w:pPr>
            <w:r w:rsidRPr="1FC5E705">
              <w:rPr>
                <w:noProof/>
                <w:sz w:val="22"/>
                <w:szCs w:val="22"/>
              </w:rPr>
              <w:t>Indirect costs</w:t>
            </w:r>
          </w:p>
        </w:tc>
        <w:tc>
          <w:tcPr>
            <w:tcW w:w="410" w:type="pct"/>
            <w:tcBorders>
              <w:left w:val="double" w:sz="4" w:space="0" w:color="auto"/>
              <w:bottom w:val="double" w:sz="4" w:space="0" w:color="auto"/>
            </w:tcBorders>
            <w:tcMar>
              <w:top w:w="57" w:type="dxa"/>
              <w:left w:w="57" w:type="dxa"/>
              <w:bottom w:w="57" w:type="dxa"/>
              <w:right w:w="57" w:type="dxa"/>
            </w:tcMar>
            <w:vAlign w:val="center"/>
          </w:tcPr>
          <w:p w14:paraId="3832BC76" w14:textId="77777777" w:rsidR="00A71942" w:rsidRPr="005E22CD" w:rsidRDefault="00A71942" w:rsidP="00E276C8">
            <w:pPr>
              <w:spacing w:after="120"/>
              <w:rPr>
                <w:noProof/>
                <w:sz w:val="22"/>
                <w:szCs w:val="22"/>
              </w:rPr>
            </w:pPr>
            <w:r w:rsidRPr="1FC5E705">
              <w:rPr>
                <w:noProof/>
                <w:sz w:val="22"/>
                <w:szCs w:val="22"/>
              </w:rPr>
              <w:t>N/A</w:t>
            </w:r>
          </w:p>
        </w:tc>
        <w:tc>
          <w:tcPr>
            <w:tcW w:w="545" w:type="pct"/>
            <w:tcBorders>
              <w:bottom w:val="double" w:sz="4" w:space="0" w:color="auto"/>
            </w:tcBorders>
            <w:tcMar>
              <w:top w:w="57" w:type="dxa"/>
              <w:left w:w="57" w:type="dxa"/>
              <w:bottom w:w="57" w:type="dxa"/>
              <w:right w:w="57" w:type="dxa"/>
            </w:tcMar>
            <w:vAlign w:val="center"/>
          </w:tcPr>
          <w:p w14:paraId="0D74C786" w14:textId="77777777" w:rsidR="00A71942" w:rsidRPr="005E22CD" w:rsidRDefault="00A71942" w:rsidP="00E276C8">
            <w:pPr>
              <w:spacing w:after="120"/>
              <w:rPr>
                <w:noProof/>
                <w:sz w:val="22"/>
                <w:szCs w:val="22"/>
              </w:rPr>
            </w:pPr>
            <w:r w:rsidRPr="1FC5E705">
              <w:rPr>
                <w:noProof/>
                <w:sz w:val="22"/>
                <w:szCs w:val="22"/>
              </w:rPr>
              <w:t>N/A</w:t>
            </w:r>
          </w:p>
        </w:tc>
        <w:tc>
          <w:tcPr>
            <w:tcW w:w="826" w:type="pct"/>
            <w:tcBorders>
              <w:bottom w:val="double" w:sz="4" w:space="0" w:color="auto"/>
            </w:tcBorders>
            <w:tcMar>
              <w:top w:w="57" w:type="dxa"/>
              <w:left w:w="57" w:type="dxa"/>
              <w:bottom w:w="57" w:type="dxa"/>
              <w:right w:w="57" w:type="dxa"/>
            </w:tcMar>
            <w:vAlign w:val="center"/>
          </w:tcPr>
          <w:p w14:paraId="54170C30" w14:textId="77777777" w:rsidR="00A71942" w:rsidRPr="005E22CD" w:rsidRDefault="00A71942" w:rsidP="00E276C8">
            <w:pPr>
              <w:spacing w:after="120"/>
              <w:rPr>
                <w:noProof/>
                <w:sz w:val="22"/>
                <w:szCs w:val="22"/>
              </w:rPr>
            </w:pPr>
            <w:r w:rsidRPr="1FC5E705">
              <w:rPr>
                <w:noProof/>
                <w:sz w:val="22"/>
                <w:szCs w:val="22"/>
              </w:rPr>
              <w:t>N/A</w:t>
            </w:r>
          </w:p>
        </w:tc>
        <w:tc>
          <w:tcPr>
            <w:tcW w:w="612" w:type="pct"/>
            <w:tcBorders>
              <w:bottom w:val="double" w:sz="4" w:space="0" w:color="auto"/>
            </w:tcBorders>
            <w:tcMar>
              <w:top w:w="57" w:type="dxa"/>
              <w:left w:w="57" w:type="dxa"/>
              <w:bottom w:w="57" w:type="dxa"/>
              <w:right w:w="57" w:type="dxa"/>
            </w:tcMar>
            <w:vAlign w:val="center"/>
          </w:tcPr>
          <w:p w14:paraId="133B633C" w14:textId="77777777" w:rsidR="00A71942" w:rsidRPr="005E22CD" w:rsidRDefault="00A71942" w:rsidP="00E276C8">
            <w:pPr>
              <w:spacing w:after="120"/>
              <w:rPr>
                <w:noProof/>
                <w:sz w:val="22"/>
                <w:szCs w:val="22"/>
              </w:rPr>
            </w:pPr>
            <w:r w:rsidRPr="1FC5E705">
              <w:rPr>
                <w:noProof/>
                <w:sz w:val="22"/>
                <w:szCs w:val="22"/>
              </w:rPr>
              <w:t>N/A</w:t>
            </w:r>
          </w:p>
        </w:tc>
        <w:tc>
          <w:tcPr>
            <w:tcW w:w="966" w:type="pct"/>
            <w:tcBorders>
              <w:bottom w:val="double" w:sz="4" w:space="0" w:color="auto"/>
            </w:tcBorders>
            <w:tcMar>
              <w:top w:w="57" w:type="dxa"/>
              <w:left w:w="57" w:type="dxa"/>
              <w:bottom w:w="57" w:type="dxa"/>
              <w:right w:w="57" w:type="dxa"/>
            </w:tcMar>
            <w:vAlign w:val="center"/>
          </w:tcPr>
          <w:p w14:paraId="685AA772" w14:textId="77777777" w:rsidR="00A71942" w:rsidRPr="005E22CD" w:rsidRDefault="00A71942" w:rsidP="00E276C8">
            <w:pPr>
              <w:spacing w:after="120"/>
              <w:rPr>
                <w:noProof/>
                <w:sz w:val="22"/>
                <w:szCs w:val="22"/>
              </w:rPr>
            </w:pPr>
            <w:r w:rsidRPr="1FC5E705">
              <w:rPr>
                <w:noProof/>
                <w:sz w:val="22"/>
                <w:szCs w:val="22"/>
              </w:rPr>
              <w:t>N/A</w:t>
            </w:r>
          </w:p>
        </w:tc>
        <w:tc>
          <w:tcPr>
            <w:tcW w:w="831" w:type="pct"/>
            <w:tcBorders>
              <w:bottom w:val="double" w:sz="4" w:space="0" w:color="auto"/>
            </w:tcBorders>
            <w:tcMar>
              <w:top w:w="57" w:type="dxa"/>
              <w:left w:w="57" w:type="dxa"/>
              <w:bottom w:w="57" w:type="dxa"/>
              <w:right w:w="57" w:type="dxa"/>
            </w:tcMar>
            <w:vAlign w:val="center"/>
          </w:tcPr>
          <w:p w14:paraId="78D6B885" w14:textId="77777777" w:rsidR="00A71942" w:rsidRPr="005E22CD" w:rsidRDefault="00A71942" w:rsidP="00E276C8">
            <w:pPr>
              <w:spacing w:after="120"/>
              <w:rPr>
                <w:noProof/>
                <w:sz w:val="22"/>
                <w:szCs w:val="22"/>
              </w:rPr>
            </w:pPr>
            <w:r w:rsidRPr="1FC5E705">
              <w:rPr>
                <w:noProof/>
                <w:sz w:val="22"/>
                <w:szCs w:val="22"/>
              </w:rPr>
              <w:t>N/A</w:t>
            </w:r>
          </w:p>
        </w:tc>
      </w:tr>
    </w:tbl>
    <w:p w14:paraId="067013A3" w14:textId="77777777" w:rsidR="00BF07F6" w:rsidRDefault="00BF07F6" w:rsidP="00E276C8">
      <w:pPr>
        <w:spacing w:line="240" w:lineRule="auto"/>
        <w:rPr>
          <w:b/>
          <w:bCs/>
          <w:noProof/>
        </w:rPr>
      </w:pPr>
    </w:p>
    <w:p w14:paraId="728F6CCC" w14:textId="77777777" w:rsidR="00BF07F6" w:rsidRDefault="00BF07F6" w:rsidP="00E276C8">
      <w:pPr>
        <w:spacing w:line="240" w:lineRule="auto"/>
        <w:rPr>
          <w:b/>
          <w:bCs/>
          <w:noProof/>
        </w:rPr>
      </w:pPr>
      <w:r w:rsidRPr="1FC5E705">
        <w:rPr>
          <w:b/>
          <w:bCs/>
          <w:noProof/>
        </w:rPr>
        <w:br w:type="page"/>
      </w:r>
    </w:p>
    <w:p w14:paraId="08D3C2E4" w14:textId="14AE0200" w:rsidR="00A71942" w:rsidRDefault="00A71942" w:rsidP="00E276C8">
      <w:pPr>
        <w:spacing w:line="240" w:lineRule="auto"/>
        <w:rPr>
          <w:b/>
          <w:bCs/>
          <w:noProof/>
        </w:rPr>
      </w:pPr>
      <w:r w:rsidRPr="1FC5E705">
        <w:rPr>
          <w:b/>
          <w:bCs/>
          <w:noProof/>
        </w:rPr>
        <w:t>Aviation</w:t>
      </w:r>
    </w:p>
    <w:tbl>
      <w:tblPr>
        <w:tblStyle w:val="CV11"/>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0"/>
        <w:gridCol w:w="1938"/>
        <w:gridCol w:w="804"/>
        <w:gridCol w:w="1207"/>
        <w:gridCol w:w="661"/>
        <w:gridCol w:w="3564"/>
        <w:gridCol w:w="661"/>
        <w:gridCol w:w="4519"/>
      </w:tblGrid>
      <w:tr w:rsidR="00A71942" w:rsidRPr="00F92EAE" w14:paraId="7299199E" w14:textId="77777777" w:rsidTr="1FC5E705">
        <w:tc>
          <w:tcPr>
            <w:tcW w:w="0" w:type="auto"/>
            <w:gridSpan w:val="8"/>
            <w:shd w:val="clear" w:color="auto" w:fill="BAD2FF" w:themeFill="text2" w:themeFillTint="33"/>
            <w:tcMar>
              <w:top w:w="57" w:type="dxa"/>
              <w:left w:w="57" w:type="dxa"/>
              <w:bottom w:w="57" w:type="dxa"/>
              <w:right w:w="57" w:type="dxa"/>
            </w:tcMar>
          </w:tcPr>
          <w:p w14:paraId="3EE85887"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004DB239" w14:textId="77777777" w:rsidTr="1FC5E705">
        <w:tc>
          <w:tcPr>
            <w:tcW w:w="0" w:type="auto"/>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678B5C9" w14:textId="77777777" w:rsidR="00A71942" w:rsidRPr="005E22CD" w:rsidRDefault="00A71942" w:rsidP="00E276C8">
            <w:pPr>
              <w:spacing w:after="120"/>
              <w:rPr>
                <w:b/>
                <w:bCs/>
                <w:noProof/>
                <w:sz w:val="22"/>
                <w:szCs w:val="22"/>
              </w:rPr>
            </w:pPr>
          </w:p>
        </w:tc>
        <w:tc>
          <w:tcPr>
            <w:tcW w:w="0" w:type="auto"/>
            <w:gridSpan w:val="2"/>
            <w:tcBorders>
              <w:left w:val="double" w:sz="4" w:space="0" w:color="auto"/>
            </w:tcBorders>
            <w:tcMar>
              <w:top w:w="57" w:type="dxa"/>
              <w:left w:w="57" w:type="dxa"/>
              <w:bottom w:w="57" w:type="dxa"/>
              <w:right w:w="57" w:type="dxa"/>
            </w:tcMar>
          </w:tcPr>
          <w:p w14:paraId="0FE2D5BC"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0" w:type="auto"/>
            <w:gridSpan w:val="2"/>
            <w:tcMar>
              <w:top w:w="57" w:type="dxa"/>
              <w:left w:w="57" w:type="dxa"/>
              <w:bottom w:w="57" w:type="dxa"/>
              <w:right w:w="57" w:type="dxa"/>
            </w:tcMar>
          </w:tcPr>
          <w:p w14:paraId="0C2E4E90"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0" w:type="auto"/>
            <w:gridSpan w:val="2"/>
            <w:tcMar>
              <w:top w:w="57" w:type="dxa"/>
              <w:left w:w="57" w:type="dxa"/>
              <w:bottom w:w="57" w:type="dxa"/>
              <w:right w:w="57" w:type="dxa"/>
            </w:tcMar>
          </w:tcPr>
          <w:p w14:paraId="6788A5CE"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4CCFF43B" w14:textId="77777777" w:rsidTr="1FC5E705">
        <w:tc>
          <w:tcPr>
            <w:tcW w:w="0" w:type="auto"/>
            <w:gridSpan w:val="2"/>
            <w:vMerge/>
            <w:tcBorders>
              <w:tl2br w:val="double" w:sz="4" w:space="0" w:color="auto"/>
            </w:tcBorders>
            <w:tcMar>
              <w:top w:w="57" w:type="dxa"/>
              <w:left w:w="57" w:type="dxa"/>
              <w:bottom w:w="57" w:type="dxa"/>
              <w:right w:w="57" w:type="dxa"/>
            </w:tcMar>
          </w:tcPr>
          <w:p w14:paraId="3FBAD4C7" w14:textId="77777777" w:rsidR="00A71942" w:rsidRPr="005E22CD" w:rsidRDefault="00A71942" w:rsidP="00E276C8">
            <w:pPr>
              <w:spacing w:after="120"/>
              <w:rPr>
                <w:b/>
                <w:noProof/>
                <w:sz w:val="22"/>
                <w:szCs w:val="22"/>
              </w:rPr>
            </w:pPr>
          </w:p>
        </w:tc>
        <w:tc>
          <w:tcPr>
            <w:tcW w:w="0" w:type="auto"/>
            <w:tcBorders>
              <w:left w:val="double" w:sz="4" w:space="0" w:color="auto"/>
              <w:bottom w:val="double" w:sz="4" w:space="0" w:color="auto"/>
            </w:tcBorders>
            <w:tcMar>
              <w:top w:w="57" w:type="dxa"/>
              <w:left w:w="57" w:type="dxa"/>
              <w:bottom w:w="57" w:type="dxa"/>
              <w:right w:w="57" w:type="dxa"/>
            </w:tcMar>
          </w:tcPr>
          <w:p w14:paraId="7D81A63D"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71D3797A"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58E83F52"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60D20C52"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752F9654"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3DA70DFA"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6FE3F43A" w14:textId="77777777" w:rsidTr="1FC5E705">
        <w:trPr>
          <w:trHeight w:val="307"/>
        </w:trPr>
        <w:tc>
          <w:tcPr>
            <w:tcW w:w="0" w:type="auto"/>
            <w:vMerge w:val="restart"/>
            <w:tcMar>
              <w:top w:w="57" w:type="dxa"/>
              <w:left w:w="57" w:type="dxa"/>
              <w:bottom w:w="57" w:type="dxa"/>
              <w:right w:w="57" w:type="dxa"/>
            </w:tcMar>
            <w:vAlign w:val="center"/>
          </w:tcPr>
          <w:p w14:paraId="60D94F0D"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0BBA9AD7" w14:textId="77777777" w:rsidR="00A71942" w:rsidRPr="005E22CD" w:rsidRDefault="00A71942" w:rsidP="00E276C8">
            <w:pPr>
              <w:spacing w:after="120"/>
              <w:rPr>
                <w:noProof/>
                <w:sz w:val="22"/>
                <w:szCs w:val="22"/>
              </w:rPr>
            </w:pPr>
            <w:r w:rsidRPr="1FC5E705">
              <w:rPr>
                <w:noProof/>
                <w:sz w:val="22"/>
                <w:szCs w:val="22"/>
              </w:rPr>
              <w:t>Direct adjustment costs</w:t>
            </w:r>
          </w:p>
        </w:tc>
        <w:tc>
          <w:tcPr>
            <w:tcW w:w="0" w:type="auto"/>
            <w:tcBorders>
              <w:left w:val="double" w:sz="4" w:space="0" w:color="auto"/>
            </w:tcBorders>
            <w:tcMar>
              <w:top w:w="57" w:type="dxa"/>
              <w:left w:w="57" w:type="dxa"/>
              <w:bottom w:w="57" w:type="dxa"/>
              <w:right w:w="57" w:type="dxa"/>
            </w:tcMar>
            <w:vAlign w:val="center"/>
          </w:tcPr>
          <w:p w14:paraId="10D2D9EA"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03FE9524"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8AC4338"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39B9D93"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3F8EF4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FFFB587"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2DE456D2" w14:textId="77777777" w:rsidTr="1FC5E705">
        <w:trPr>
          <w:trHeight w:val="307"/>
        </w:trPr>
        <w:tc>
          <w:tcPr>
            <w:tcW w:w="0" w:type="auto"/>
            <w:vMerge/>
            <w:tcMar>
              <w:top w:w="57" w:type="dxa"/>
              <w:left w:w="57" w:type="dxa"/>
              <w:bottom w:w="57" w:type="dxa"/>
              <w:right w:w="57" w:type="dxa"/>
            </w:tcMar>
            <w:vAlign w:val="center"/>
          </w:tcPr>
          <w:p w14:paraId="171D3C66"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57A2DB1D"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0" w:type="auto"/>
            <w:tcBorders>
              <w:left w:val="double" w:sz="4" w:space="0" w:color="auto"/>
            </w:tcBorders>
            <w:tcMar>
              <w:top w:w="57" w:type="dxa"/>
              <w:left w:w="57" w:type="dxa"/>
              <w:bottom w:w="57" w:type="dxa"/>
              <w:right w:w="57" w:type="dxa"/>
            </w:tcMar>
            <w:vAlign w:val="center"/>
          </w:tcPr>
          <w:p w14:paraId="1DBCBB0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C5EFC8A"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130B188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2BB9613E" w14:textId="77777777" w:rsidR="00A71942" w:rsidRPr="005E22CD" w:rsidRDefault="00A71942" w:rsidP="00E276C8">
            <w:pPr>
              <w:spacing w:after="120"/>
              <w:rPr>
                <w:noProof/>
                <w:sz w:val="22"/>
                <w:szCs w:val="22"/>
              </w:rPr>
            </w:pPr>
            <w:r w:rsidRPr="1FC5E705">
              <w:rPr>
                <w:noProof/>
                <w:sz w:val="22"/>
                <w:szCs w:val="22"/>
              </w:rPr>
              <w:t>Administrative effort associated with existing SAF support is prolonged (6.2.2.3).</w:t>
            </w:r>
          </w:p>
        </w:tc>
        <w:tc>
          <w:tcPr>
            <w:tcW w:w="0" w:type="auto"/>
            <w:tcMar>
              <w:top w:w="57" w:type="dxa"/>
              <w:left w:w="57" w:type="dxa"/>
              <w:bottom w:w="57" w:type="dxa"/>
              <w:right w:w="57" w:type="dxa"/>
            </w:tcMar>
            <w:vAlign w:val="center"/>
          </w:tcPr>
          <w:p w14:paraId="01D44BB6" w14:textId="77777777" w:rsidR="00A71942" w:rsidRPr="005E22CD" w:rsidRDefault="00A71942" w:rsidP="00E276C8">
            <w:pPr>
              <w:spacing w:after="120"/>
              <w:rPr>
                <w:noProof/>
                <w:sz w:val="22"/>
                <w:szCs w:val="22"/>
              </w:rPr>
            </w:pPr>
            <w:r w:rsidRPr="1FC5E705">
              <w:rPr>
                <w:noProof/>
                <w:sz w:val="22"/>
                <w:szCs w:val="22"/>
              </w:rPr>
              <w:t>N/A</w:t>
            </w:r>
          </w:p>
        </w:tc>
        <w:tc>
          <w:tcPr>
            <w:tcW w:w="0" w:type="auto"/>
            <w:vAlign w:val="center"/>
          </w:tcPr>
          <w:p w14:paraId="486943D5" w14:textId="77777777" w:rsidR="00A71942" w:rsidRPr="005E22CD" w:rsidRDefault="00A71942" w:rsidP="00E276C8">
            <w:pPr>
              <w:spacing w:after="120"/>
              <w:rPr>
                <w:noProof/>
                <w:sz w:val="22"/>
                <w:szCs w:val="22"/>
              </w:rPr>
            </w:pPr>
            <w:r w:rsidRPr="1FC5E705">
              <w:rPr>
                <w:noProof/>
                <w:sz w:val="22"/>
                <w:szCs w:val="22"/>
              </w:rPr>
              <w:t xml:space="preserve">Administrative effort is needed for deduction of CORSIA costs but can make use of existing reporting systems (6.2.2.3). </w:t>
            </w:r>
          </w:p>
          <w:p w14:paraId="095C1D7F" w14:textId="77777777" w:rsidR="00A71942" w:rsidRPr="005E22CD" w:rsidRDefault="00A71942" w:rsidP="00E276C8">
            <w:pPr>
              <w:spacing w:after="120"/>
              <w:rPr>
                <w:noProof/>
                <w:sz w:val="22"/>
                <w:szCs w:val="22"/>
              </w:rPr>
            </w:pPr>
            <w:r w:rsidRPr="1FC5E705">
              <w:rPr>
                <w:noProof/>
                <w:sz w:val="22"/>
                <w:szCs w:val="22"/>
              </w:rPr>
              <w:t>Administrative effort associated with existing SAF support is prolonged (6.2.2.3).</w:t>
            </w:r>
          </w:p>
        </w:tc>
      </w:tr>
      <w:tr w:rsidR="00A71942" w:rsidRPr="00F92EAE" w14:paraId="161D7911" w14:textId="77777777" w:rsidTr="1FC5E705">
        <w:trPr>
          <w:trHeight w:val="307"/>
        </w:trPr>
        <w:tc>
          <w:tcPr>
            <w:tcW w:w="0" w:type="auto"/>
            <w:vMerge/>
            <w:tcMar>
              <w:top w:w="57" w:type="dxa"/>
              <w:left w:w="57" w:type="dxa"/>
              <w:bottom w:w="57" w:type="dxa"/>
              <w:right w:w="57" w:type="dxa"/>
            </w:tcMar>
            <w:vAlign w:val="center"/>
          </w:tcPr>
          <w:p w14:paraId="2BE38D48"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53AFD893"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0" w:type="auto"/>
            <w:tcBorders>
              <w:left w:val="double" w:sz="4" w:space="0" w:color="auto"/>
            </w:tcBorders>
            <w:tcMar>
              <w:top w:w="57" w:type="dxa"/>
              <w:left w:w="57" w:type="dxa"/>
              <w:bottom w:w="57" w:type="dxa"/>
              <w:right w:w="57" w:type="dxa"/>
            </w:tcMar>
            <w:vAlign w:val="center"/>
          </w:tcPr>
          <w:p w14:paraId="1C145BF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417EC8A"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4DA489E"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520B11D" w14:textId="77777777" w:rsidR="00A71942" w:rsidRPr="005E22CD" w:rsidRDefault="00A71942" w:rsidP="00E276C8">
            <w:pPr>
              <w:spacing w:after="120"/>
              <w:rPr>
                <w:noProof/>
                <w:sz w:val="22"/>
                <w:szCs w:val="22"/>
              </w:rPr>
            </w:pPr>
            <w:r w:rsidRPr="1FC5E705">
              <w:rPr>
                <w:noProof/>
                <w:sz w:val="22"/>
                <w:szCs w:val="22"/>
              </w:rPr>
              <w:t>In the preferred option, ETS compliance costs are lower than in the baseline (6.2.1.4).</w:t>
            </w:r>
          </w:p>
          <w:p w14:paraId="42376599" w14:textId="77777777" w:rsidR="00A71942" w:rsidRPr="005E22CD" w:rsidRDefault="00A71942" w:rsidP="00E276C8">
            <w:pPr>
              <w:spacing w:after="120"/>
              <w:rPr>
                <w:noProof/>
                <w:sz w:val="22"/>
                <w:szCs w:val="22"/>
              </w:rPr>
            </w:pPr>
            <w:r w:rsidRPr="1FC5E705">
              <w:rPr>
                <w:noProof/>
                <w:sz w:val="22"/>
                <w:szCs w:val="22"/>
              </w:rPr>
              <w:t>Preferred option ensures no double pricing of ETS &amp; CORSIA compliance costs (6.2.1.4).</w:t>
            </w:r>
          </w:p>
          <w:p w14:paraId="62418408" w14:textId="77777777" w:rsidR="00A71942" w:rsidRPr="005E22CD" w:rsidRDefault="00A71942" w:rsidP="00E276C8">
            <w:pPr>
              <w:spacing w:after="120"/>
              <w:rPr>
                <w:noProof/>
                <w:sz w:val="22"/>
                <w:szCs w:val="22"/>
              </w:rPr>
            </w:pPr>
          </w:p>
        </w:tc>
        <w:tc>
          <w:tcPr>
            <w:tcW w:w="0" w:type="auto"/>
            <w:tcMar>
              <w:top w:w="57" w:type="dxa"/>
              <w:left w:w="57" w:type="dxa"/>
              <w:bottom w:w="57" w:type="dxa"/>
              <w:right w:w="57" w:type="dxa"/>
            </w:tcMar>
            <w:vAlign w:val="center"/>
          </w:tcPr>
          <w:p w14:paraId="067324DD"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0A59F2BA" w14:textId="77777777" w:rsidR="00A71942" w:rsidRPr="005E22CD" w:rsidRDefault="00A71942" w:rsidP="00E276C8">
            <w:pPr>
              <w:spacing w:after="120"/>
              <w:rPr>
                <w:noProof/>
                <w:sz w:val="22"/>
                <w:szCs w:val="22"/>
              </w:rPr>
            </w:pPr>
            <w:r w:rsidRPr="1FC5E705">
              <w:rPr>
                <w:noProof/>
                <w:sz w:val="22"/>
                <w:szCs w:val="22"/>
              </w:rPr>
              <w:t>Compared to baseline, administrative effort for operators, national and European authorities is lower (6.2.2.3).</w:t>
            </w:r>
          </w:p>
          <w:p w14:paraId="37C18524" w14:textId="77777777" w:rsidR="00A71942" w:rsidRPr="005E22CD" w:rsidRDefault="00A71942" w:rsidP="00E276C8">
            <w:pPr>
              <w:spacing w:after="120"/>
              <w:rPr>
                <w:noProof/>
                <w:sz w:val="22"/>
                <w:szCs w:val="22"/>
              </w:rPr>
            </w:pPr>
            <w:r w:rsidRPr="1FC5E705">
              <w:rPr>
                <w:noProof/>
                <w:sz w:val="22"/>
                <w:szCs w:val="22"/>
              </w:rPr>
              <w:t>Member States may use national budgets to reduce SAF support once ETS support expires (6.2.5.3).</w:t>
            </w:r>
          </w:p>
        </w:tc>
      </w:tr>
      <w:tr w:rsidR="00A71942" w:rsidRPr="00F92EAE" w14:paraId="417B8592" w14:textId="77777777" w:rsidTr="1FC5E705">
        <w:trPr>
          <w:trHeight w:val="307"/>
        </w:trPr>
        <w:tc>
          <w:tcPr>
            <w:tcW w:w="0" w:type="auto"/>
            <w:vMerge/>
            <w:tcMar>
              <w:top w:w="57" w:type="dxa"/>
              <w:left w:w="57" w:type="dxa"/>
              <w:bottom w:w="57" w:type="dxa"/>
              <w:right w:w="57" w:type="dxa"/>
            </w:tcMar>
            <w:vAlign w:val="center"/>
          </w:tcPr>
          <w:p w14:paraId="03BA437E"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1BBBE2BC" w14:textId="77777777" w:rsidR="00A71942" w:rsidRPr="005E22CD" w:rsidRDefault="00A71942" w:rsidP="00E276C8">
            <w:pPr>
              <w:spacing w:after="120"/>
              <w:rPr>
                <w:noProof/>
                <w:sz w:val="22"/>
                <w:szCs w:val="22"/>
              </w:rPr>
            </w:pPr>
            <w:r w:rsidRPr="1FC5E705">
              <w:rPr>
                <w:noProof/>
                <w:sz w:val="22"/>
                <w:szCs w:val="22"/>
              </w:rPr>
              <w:t>Direct enforcement costs</w:t>
            </w:r>
          </w:p>
        </w:tc>
        <w:tc>
          <w:tcPr>
            <w:tcW w:w="0" w:type="auto"/>
            <w:tcBorders>
              <w:left w:val="double" w:sz="4" w:space="0" w:color="auto"/>
            </w:tcBorders>
            <w:tcMar>
              <w:top w:w="57" w:type="dxa"/>
              <w:left w:w="57" w:type="dxa"/>
              <w:bottom w:w="57" w:type="dxa"/>
              <w:right w:w="57" w:type="dxa"/>
            </w:tcMar>
            <w:vAlign w:val="center"/>
          </w:tcPr>
          <w:p w14:paraId="11F61559"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289DC303"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474F0F19"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F031716"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4997B2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F15C6E1"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54D00661" w14:textId="77777777" w:rsidTr="1FC5E705">
        <w:tc>
          <w:tcPr>
            <w:tcW w:w="0" w:type="auto"/>
            <w:vMerge/>
            <w:tcMar>
              <w:top w:w="57" w:type="dxa"/>
              <w:left w:w="57" w:type="dxa"/>
              <w:bottom w:w="57" w:type="dxa"/>
              <w:right w:w="57" w:type="dxa"/>
            </w:tcMar>
          </w:tcPr>
          <w:p w14:paraId="3AC01818" w14:textId="77777777" w:rsidR="00A71942" w:rsidRPr="005E22CD" w:rsidRDefault="00A71942" w:rsidP="00E276C8">
            <w:pPr>
              <w:spacing w:after="120"/>
              <w:rPr>
                <w:noProof/>
                <w:sz w:val="22"/>
                <w:szCs w:val="22"/>
              </w:rPr>
            </w:pPr>
          </w:p>
        </w:tc>
        <w:tc>
          <w:tcPr>
            <w:tcW w:w="0" w:type="auto"/>
            <w:tcBorders>
              <w:bottom w:val="double" w:sz="4" w:space="0" w:color="auto"/>
              <w:right w:val="double" w:sz="4" w:space="0" w:color="auto"/>
            </w:tcBorders>
            <w:tcMar>
              <w:top w:w="57" w:type="dxa"/>
              <w:left w:w="57" w:type="dxa"/>
              <w:bottom w:w="57" w:type="dxa"/>
              <w:right w:w="57" w:type="dxa"/>
            </w:tcMar>
          </w:tcPr>
          <w:p w14:paraId="76691354" w14:textId="77777777" w:rsidR="00A71942" w:rsidRPr="005E22CD" w:rsidRDefault="00A71942" w:rsidP="00E276C8">
            <w:pPr>
              <w:spacing w:after="120"/>
              <w:rPr>
                <w:noProof/>
                <w:sz w:val="22"/>
                <w:szCs w:val="22"/>
              </w:rPr>
            </w:pPr>
            <w:r w:rsidRPr="1FC5E705">
              <w:rPr>
                <w:noProof/>
                <w:sz w:val="22"/>
                <w:szCs w:val="22"/>
              </w:rPr>
              <w:t>Indirect costs</w:t>
            </w:r>
          </w:p>
        </w:tc>
        <w:tc>
          <w:tcPr>
            <w:tcW w:w="0" w:type="auto"/>
            <w:tcBorders>
              <w:left w:val="double" w:sz="4" w:space="0" w:color="auto"/>
              <w:bottom w:val="double" w:sz="4" w:space="0" w:color="auto"/>
            </w:tcBorders>
            <w:tcMar>
              <w:top w:w="57" w:type="dxa"/>
              <w:left w:w="57" w:type="dxa"/>
              <w:bottom w:w="57" w:type="dxa"/>
              <w:right w:w="57" w:type="dxa"/>
            </w:tcMar>
            <w:vAlign w:val="center"/>
          </w:tcPr>
          <w:p w14:paraId="381769B6"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753F500B"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18EEA98A"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16EACA35"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485C1A23"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1063841D" w14:textId="77777777" w:rsidR="00A71942" w:rsidRPr="005E22CD" w:rsidRDefault="00A71942" w:rsidP="00E276C8">
            <w:pPr>
              <w:spacing w:after="120"/>
              <w:rPr>
                <w:noProof/>
                <w:sz w:val="22"/>
                <w:szCs w:val="22"/>
              </w:rPr>
            </w:pPr>
            <w:r w:rsidRPr="1FC5E705">
              <w:rPr>
                <w:noProof/>
                <w:sz w:val="22"/>
                <w:szCs w:val="22"/>
              </w:rPr>
              <w:t>N/A</w:t>
            </w:r>
          </w:p>
        </w:tc>
      </w:tr>
    </w:tbl>
    <w:p w14:paraId="723A90C2" w14:textId="77777777" w:rsidR="00524D0A" w:rsidRPr="00E276C8" w:rsidRDefault="00524D0A" w:rsidP="00E276C8">
      <w:pPr>
        <w:spacing w:line="240" w:lineRule="auto"/>
        <w:rPr>
          <w:b/>
          <w:noProof/>
        </w:rPr>
      </w:pPr>
    </w:p>
    <w:p w14:paraId="2BC4EEF0" w14:textId="12E18F13" w:rsidR="00A71942" w:rsidRDefault="00A71942" w:rsidP="00E276C8">
      <w:pPr>
        <w:spacing w:line="240" w:lineRule="auto"/>
        <w:rPr>
          <w:b/>
          <w:bCs/>
          <w:noProof/>
        </w:rPr>
      </w:pPr>
      <w:r w:rsidRPr="1FC5E705">
        <w:rPr>
          <w:b/>
          <w:bCs/>
          <w:noProof/>
        </w:rPr>
        <w:t>Maritime</w:t>
      </w:r>
    </w:p>
    <w:tbl>
      <w:tblPr>
        <w:tblStyle w:val="CV11"/>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0"/>
        <w:gridCol w:w="1653"/>
        <w:gridCol w:w="797"/>
        <w:gridCol w:w="1207"/>
        <w:gridCol w:w="2008"/>
        <w:gridCol w:w="3886"/>
        <w:gridCol w:w="620"/>
        <w:gridCol w:w="3183"/>
      </w:tblGrid>
      <w:tr w:rsidR="00A71942" w:rsidRPr="00F92EAE" w14:paraId="0B6D0884" w14:textId="77777777" w:rsidTr="1FC5E705">
        <w:tc>
          <w:tcPr>
            <w:tcW w:w="0" w:type="auto"/>
            <w:gridSpan w:val="8"/>
            <w:shd w:val="clear" w:color="auto" w:fill="BAD2FF" w:themeFill="text2" w:themeFillTint="33"/>
            <w:tcMar>
              <w:top w:w="57" w:type="dxa"/>
              <w:left w:w="57" w:type="dxa"/>
              <w:bottom w:w="57" w:type="dxa"/>
              <w:right w:w="57" w:type="dxa"/>
            </w:tcMar>
          </w:tcPr>
          <w:p w14:paraId="3D0F34E5"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0998D656" w14:textId="77777777" w:rsidTr="1FC5E705">
        <w:tc>
          <w:tcPr>
            <w:tcW w:w="0" w:type="auto"/>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0EC62D4" w14:textId="77777777" w:rsidR="00A71942" w:rsidRPr="005E22CD" w:rsidRDefault="00A71942" w:rsidP="00E276C8">
            <w:pPr>
              <w:spacing w:after="120"/>
              <w:rPr>
                <w:b/>
                <w:bCs/>
                <w:noProof/>
                <w:sz w:val="22"/>
                <w:szCs w:val="22"/>
              </w:rPr>
            </w:pPr>
          </w:p>
        </w:tc>
        <w:tc>
          <w:tcPr>
            <w:tcW w:w="0" w:type="auto"/>
            <w:gridSpan w:val="2"/>
            <w:tcBorders>
              <w:left w:val="double" w:sz="4" w:space="0" w:color="auto"/>
            </w:tcBorders>
            <w:tcMar>
              <w:top w:w="57" w:type="dxa"/>
              <w:left w:w="57" w:type="dxa"/>
              <w:bottom w:w="57" w:type="dxa"/>
              <w:right w:w="57" w:type="dxa"/>
            </w:tcMar>
          </w:tcPr>
          <w:p w14:paraId="379845AB"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0" w:type="auto"/>
            <w:gridSpan w:val="2"/>
            <w:tcMar>
              <w:top w:w="57" w:type="dxa"/>
              <w:left w:w="57" w:type="dxa"/>
              <w:bottom w:w="57" w:type="dxa"/>
              <w:right w:w="57" w:type="dxa"/>
            </w:tcMar>
          </w:tcPr>
          <w:p w14:paraId="67B58543"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0" w:type="auto"/>
            <w:gridSpan w:val="2"/>
            <w:tcMar>
              <w:top w:w="57" w:type="dxa"/>
              <w:left w:w="57" w:type="dxa"/>
              <w:bottom w:w="57" w:type="dxa"/>
              <w:right w:w="57" w:type="dxa"/>
            </w:tcMar>
          </w:tcPr>
          <w:p w14:paraId="39C65ADE"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71D53F23" w14:textId="77777777" w:rsidTr="1FC5E705">
        <w:tc>
          <w:tcPr>
            <w:tcW w:w="0" w:type="auto"/>
            <w:gridSpan w:val="2"/>
            <w:vMerge/>
            <w:tcBorders>
              <w:tl2br w:val="double" w:sz="4" w:space="0" w:color="auto"/>
            </w:tcBorders>
            <w:tcMar>
              <w:top w:w="57" w:type="dxa"/>
              <w:left w:w="57" w:type="dxa"/>
              <w:bottom w:w="57" w:type="dxa"/>
              <w:right w:w="57" w:type="dxa"/>
            </w:tcMar>
          </w:tcPr>
          <w:p w14:paraId="476352FF" w14:textId="77777777" w:rsidR="00A71942" w:rsidRPr="005E22CD" w:rsidRDefault="00A71942" w:rsidP="00E276C8">
            <w:pPr>
              <w:spacing w:after="120"/>
              <w:rPr>
                <w:b/>
                <w:noProof/>
                <w:sz w:val="22"/>
                <w:szCs w:val="22"/>
              </w:rPr>
            </w:pPr>
          </w:p>
        </w:tc>
        <w:tc>
          <w:tcPr>
            <w:tcW w:w="0" w:type="auto"/>
            <w:tcBorders>
              <w:left w:val="double" w:sz="4" w:space="0" w:color="auto"/>
              <w:bottom w:val="double" w:sz="4" w:space="0" w:color="auto"/>
            </w:tcBorders>
            <w:tcMar>
              <w:top w:w="57" w:type="dxa"/>
              <w:left w:w="57" w:type="dxa"/>
              <w:bottom w:w="57" w:type="dxa"/>
              <w:right w:w="57" w:type="dxa"/>
            </w:tcMar>
          </w:tcPr>
          <w:p w14:paraId="4873CB7D"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1D5265DC"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7D1A6E87"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7A0F276D"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32688080"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6E168ABC"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7EF4EA1F" w14:textId="77777777" w:rsidTr="1FC5E705">
        <w:trPr>
          <w:trHeight w:val="307"/>
        </w:trPr>
        <w:tc>
          <w:tcPr>
            <w:tcW w:w="0" w:type="auto"/>
            <w:vMerge w:val="restart"/>
            <w:tcMar>
              <w:top w:w="57" w:type="dxa"/>
              <w:left w:w="57" w:type="dxa"/>
              <w:bottom w:w="57" w:type="dxa"/>
              <w:right w:w="57" w:type="dxa"/>
            </w:tcMar>
            <w:vAlign w:val="center"/>
          </w:tcPr>
          <w:p w14:paraId="1CE410D6"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7466A39A" w14:textId="77777777" w:rsidR="00A71942" w:rsidRPr="005E22CD" w:rsidRDefault="00A71942" w:rsidP="00E276C8">
            <w:pPr>
              <w:spacing w:after="120"/>
              <w:rPr>
                <w:noProof/>
                <w:sz w:val="22"/>
                <w:szCs w:val="22"/>
              </w:rPr>
            </w:pPr>
            <w:r w:rsidRPr="1FC5E705">
              <w:rPr>
                <w:noProof/>
                <w:sz w:val="22"/>
                <w:szCs w:val="22"/>
              </w:rPr>
              <w:t>Direct adjustment costs</w:t>
            </w:r>
          </w:p>
        </w:tc>
        <w:tc>
          <w:tcPr>
            <w:tcW w:w="0" w:type="auto"/>
            <w:tcBorders>
              <w:left w:val="double" w:sz="4" w:space="0" w:color="auto"/>
            </w:tcBorders>
            <w:tcMar>
              <w:top w:w="57" w:type="dxa"/>
              <w:left w:w="57" w:type="dxa"/>
              <w:bottom w:w="57" w:type="dxa"/>
              <w:right w:w="57" w:type="dxa"/>
            </w:tcMar>
            <w:vAlign w:val="center"/>
          </w:tcPr>
          <w:p w14:paraId="209F3E30"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1821790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72BCC5E"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464C040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D44084A"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5FEE71B"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1E99527B" w14:textId="77777777" w:rsidTr="1FC5E705">
        <w:trPr>
          <w:trHeight w:val="307"/>
        </w:trPr>
        <w:tc>
          <w:tcPr>
            <w:tcW w:w="0" w:type="auto"/>
            <w:vMerge/>
            <w:tcMar>
              <w:top w:w="57" w:type="dxa"/>
              <w:left w:w="57" w:type="dxa"/>
              <w:bottom w:w="57" w:type="dxa"/>
              <w:right w:w="57" w:type="dxa"/>
            </w:tcMar>
            <w:vAlign w:val="center"/>
          </w:tcPr>
          <w:p w14:paraId="14C69602"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21759030"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0" w:type="auto"/>
            <w:tcBorders>
              <w:left w:val="double" w:sz="4" w:space="0" w:color="auto"/>
            </w:tcBorders>
            <w:tcMar>
              <w:top w:w="57" w:type="dxa"/>
              <w:left w:w="57" w:type="dxa"/>
              <w:bottom w:w="57" w:type="dxa"/>
              <w:right w:w="57" w:type="dxa"/>
            </w:tcMar>
            <w:vAlign w:val="center"/>
          </w:tcPr>
          <w:p w14:paraId="36294386"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8104D76"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4788347" w14:textId="77777777" w:rsidR="00A71942" w:rsidRPr="005E22CD" w:rsidRDefault="00A71942" w:rsidP="00E276C8">
            <w:pPr>
              <w:spacing w:after="120"/>
              <w:rPr>
                <w:noProof/>
                <w:sz w:val="22"/>
                <w:szCs w:val="22"/>
              </w:rPr>
            </w:pPr>
            <w:r w:rsidRPr="1FC5E705">
              <w:rPr>
                <w:noProof/>
                <w:sz w:val="22"/>
                <w:szCs w:val="22"/>
              </w:rPr>
              <w:t>One-off MRV costs for smaller ships estimated at EUR 3 193 on average per vessel.</w:t>
            </w:r>
          </w:p>
        </w:tc>
        <w:tc>
          <w:tcPr>
            <w:tcW w:w="0" w:type="auto"/>
            <w:tcMar>
              <w:top w:w="57" w:type="dxa"/>
              <w:left w:w="57" w:type="dxa"/>
              <w:bottom w:w="57" w:type="dxa"/>
              <w:right w:w="57" w:type="dxa"/>
            </w:tcMar>
            <w:vAlign w:val="center"/>
          </w:tcPr>
          <w:p w14:paraId="2E512BB6" w14:textId="77777777" w:rsidR="00A71942" w:rsidRPr="005E22CD" w:rsidRDefault="00A71942" w:rsidP="00E276C8">
            <w:pPr>
              <w:spacing w:after="120"/>
              <w:rPr>
                <w:noProof/>
                <w:sz w:val="22"/>
                <w:szCs w:val="22"/>
              </w:rPr>
            </w:pPr>
            <w:r w:rsidRPr="1FC5E705">
              <w:rPr>
                <w:noProof/>
                <w:sz w:val="22"/>
                <w:szCs w:val="22"/>
              </w:rPr>
              <w:t>Potential MRV savings of 10%-20% of current MRV from simplification measures aimed at aligning requirements across different regulatory frameworks (6.2.2.4).</w:t>
            </w:r>
          </w:p>
          <w:p w14:paraId="7B06B4B0" w14:textId="77777777" w:rsidR="00A71942" w:rsidRPr="005E22CD" w:rsidRDefault="00A71942" w:rsidP="00E276C8">
            <w:pPr>
              <w:spacing w:after="120"/>
              <w:rPr>
                <w:noProof/>
                <w:sz w:val="22"/>
                <w:szCs w:val="22"/>
              </w:rPr>
            </w:pPr>
            <w:r w:rsidRPr="1FC5E705">
              <w:rPr>
                <w:noProof/>
                <w:sz w:val="22"/>
                <w:szCs w:val="22"/>
              </w:rPr>
              <w:t>Recurrent MRV costs for smaller ships estimated at EUR 3 690 on average, partly offset by eligibility for decarbonisation support.</w:t>
            </w:r>
          </w:p>
        </w:tc>
        <w:tc>
          <w:tcPr>
            <w:tcW w:w="0" w:type="auto"/>
            <w:tcMar>
              <w:top w:w="57" w:type="dxa"/>
              <w:left w:w="57" w:type="dxa"/>
              <w:bottom w:w="57" w:type="dxa"/>
              <w:right w:w="57" w:type="dxa"/>
            </w:tcMar>
            <w:vAlign w:val="center"/>
          </w:tcPr>
          <w:p w14:paraId="4B4EC065" w14:textId="77777777" w:rsidR="00A71942" w:rsidRPr="005E22CD" w:rsidRDefault="00A71942" w:rsidP="00E276C8">
            <w:pPr>
              <w:spacing w:after="120"/>
              <w:rPr>
                <w:noProof/>
                <w:sz w:val="22"/>
                <w:szCs w:val="22"/>
              </w:rPr>
            </w:pPr>
          </w:p>
        </w:tc>
        <w:tc>
          <w:tcPr>
            <w:tcW w:w="0" w:type="auto"/>
            <w:vAlign w:val="center"/>
          </w:tcPr>
          <w:p w14:paraId="2737B14B" w14:textId="77777777" w:rsidR="00A71942" w:rsidRPr="005E22CD" w:rsidRDefault="00A71942" w:rsidP="00E276C8">
            <w:pPr>
              <w:spacing w:after="120"/>
              <w:rPr>
                <w:noProof/>
                <w:sz w:val="22"/>
                <w:szCs w:val="22"/>
              </w:rPr>
            </w:pPr>
            <w:r w:rsidRPr="1FC5E705">
              <w:rPr>
                <w:noProof/>
                <w:sz w:val="22"/>
                <w:szCs w:val="22"/>
              </w:rPr>
              <w:t>ETS extension to smaller vessels estimated to increase public authority MRV and administrative cost by EUR 0.74m per year (6.2.5.4).</w:t>
            </w:r>
          </w:p>
        </w:tc>
      </w:tr>
      <w:tr w:rsidR="00A71942" w:rsidRPr="00F92EAE" w14:paraId="0AD6C3BB" w14:textId="77777777" w:rsidTr="1FC5E705">
        <w:trPr>
          <w:trHeight w:val="307"/>
        </w:trPr>
        <w:tc>
          <w:tcPr>
            <w:tcW w:w="0" w:type="auto"/>
            <w:vMerge/>
            <w:tcMar>
              <w:top w:w="57" w:type="dxa"/>
              <w:left w:w="57" w:type="dxa"/>
              <w:bottom w:w="57" w:type="dxa"/>
              <w:right w:w="57" w:type="dxa"/>
            </w:tcMar>
            <w:vAlign w:val="center"/>
          </w:tcPr>
          <w:p w14:paraId="7AFDF00D"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7AEF2BD7"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0" w:type="auto"/>
            <w:tcBorders>
              <w:left w:val="double" w:sz="4" w:space="0" w:color="auto"/>
            </w:tcBorders>
            <w:tcMar>
              <w:top w:w="57" w:type="dxa"/>
              <w:left w:w="57" w:type="dxa"/>
              <w:bottom w:w="57" w:type="dxa"/>
              <w:right w:w="57" w:type="dxa"/>
            </w:tcMar>
            <w:vAlign w:val="center"/>
          </w:tcPr>
          <w:p w14:paraId="4471C088"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AF3EAC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A820E0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4A605464" w14:textId="01014CED" w:rsidR="00A71942" w:rsidRPr="00F514AE" w:rsidRDefault="00A71942" w:rsidP="00E276C8">
            <w:pPr>
              <w:spacing w:after="120"/>
              <w:rPr>
                <w:noProof/>
                <w:sz w:val="22"/>
                <w:szCs w:val="22"/>
              </w:rPr>
            </w:pPr>
            <w:r w:rsidRPr="00F514AE">
              <w:rPr>
                <w:noProof/>
                <w:sz w:val="22"/>
                <w:szCs w:val="22"/>
              </w:rPr>
              <w:t>Extension of ETS scope to smaller vessels increases shipping costs by EUR 1.2 bn in 2030, 1.8 billion in 2040 &amp; 0.7 bn in 2050. (ETS costs, fuel costs, decarbonisation capex) (6.2.1.5).</w:t>
            </w:r>
          </w:p>
          <w:p w14:paraId="6C926F38" w14:textId="29F0E0B0" w:rsidR="00A71942" w:rsidRPr="005E22CD" w:rsidRDefault="00A71942" w:rsidP="00E276C8">
            <w:pPr>
              <w:spacing w:after="120"/>
              <w:rPr>
                <w:noProof/>
                <w:sz w:val="22"/>
                <w:szCs w:val="22"/>
              </w:rPr>
            </w:pPr>
            <w:r w:rsidRPr="00F514AE">
              <w:rPr>
                <w:noProof/>
                <w:sz w:val="22"/>
                <w:szCs w:val="22"/>
              </w:rPr>
              <w:t>Extension of existing derogations reduces compliance costs compared to baseline by estimated EUR 546m in 2031 (6.2.1.5).</w:t>
            </w:r>
          </w:p>
          <w:p w14:paraId="48C1B0F4" w14:textId="77777777" w:rsidR="00A71942" w:rsidRPr="005E22CD" w:rsidRDefault="00A71942" w:rsidP="00E276C8">
            <w:pPr>
              <w:spacing w:after="120"/>
              <w:rPr>
                <w:noProof/>
                <w:sz w:val="22"/>
                <w:szCs w:val="22"/>
              </w:rPr>
            </w:pPr>
            <w:r w:rsidRPr="1FC5E705">
              <w:rPr>
                <w:noProof/>
                <w:sz w:val="22"/>
                <w:szCs w:val="22"/>
              </w:rPr>
              <w:t>Preferred option’s IMO deduction lowers compliance costs compared to baseline.</w:t>
            </w:r>
          </w:p>
        </w:tc>
        <w:tc>
          <w:tcPr>
            <w:tcW w:w="0" w:type="auto"/>
            <w:tcMar>
              <w:top w:w="57" w:type="dxa"/>
              <w:left w:w="57" w:type="dxa"/>
              <w:bottom w:w="57" w:type="dxa"/>
              <w:right w:w="57" w:type="dxa"/>
            </w:tcMar>
            <w:vAlign w:val="center"/>
          </w:tcPr>
          <w:p w14:paraId="49AE52FD"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FB27F4A" w14:textId="623D4C05" w:rsidR="00A71942" w:rsidRPr="005E22CD" w:rsidRDefault="00A71942" w:rsidP="00E276C8">
            <w:pPr>
              <w:spacing w:after="120"/>
              <w:rPr>
                <w:noProof/>
                <w:sz w:val="22"/>
                <w:szCs w:val="22"/>
              </w:rPr>
            </w:pPr>
            <w:r w:rsidRPr="1FC5E705">
              <w:rPr>
                <w:noProof/>
                <w:sz w:val="22"/>
                <w:szCs w:val="22"/>
              </w:rPr>
              <w:t xml:space="preserve">Member States may face fiscal cost of sustainable maritime </w:t>
            </w:r>
            <w:r w:rsidR="7A8F8BE9" w:rsidRPr="1EBCE3BD">
              <w:rPr>
                <w:noProof/>
                <w:sz w:val="22"/>
                <w:szCs w:val="22"/>
              </w:rPr>
              <w:t>alternative</w:t>
            </w:r>
            <w:r w:rsidRPr="1EBCE3BD">
              <w:rPr>
                <w:noProof/>
                <w:sz w:val="22"/>
                <w:szCs w:val="22"/>
              </w:rPr>
              <w:t xml:space="preserve"> </w:t>
            </w:r>
            <w:r w:rsidRPr="1FC5E705">
              <w:rPr>
                <w:noProof/>
                <w:sz w:val="22"/>
                <w:szCs w:val="22"/>
              </w:rPr>
              <w:t>propulsion (SMAP) following expiry of EU programme (6.2.5.4).</w:t>
            </w:r>
          </w:p>
          <w:p w14:paraId="3DCA0962" w14:textId="77777777" w:rsidR="00A71942" w:rsidRPr="005E22CD" w:rsidRDefault="00A71942" w:rsidP="00E276C8">
            <w:pPr>
              <w:spacing w:after="120"/>
              <w:rPr>
                <w:noProof/>
                <w:sz w:val="22"/>
                <w:szCs w:val="22"/>
              </w:rPr>
            </w:pPr>
          </w:p>
        </w:tc>
      </w:tr>
      <w:tr w:rsidR="00A71942" w:rsidRPr="00F92EAE" w14:paraId="5BD330EA" w14:textId="77777777" w:rsidTr="1FC5E705">
        <w:trPr>
          <w:trHeight w:val="307"/>
        </w:trPr>
        <w:tc>
          <w:tcPr>
            <w:tcW w:w="0" w:type="auto"/>
            <w:vMerge/>
            <w:tcMar>
              <w:top w:w="57" w:type="dxa"/>
              <w:left w:w="57" w:type="dxa"/>
              <w:bottom w:w="57" w:type="dxa"/>
              <w:right w:w="57" w:type="dxa"/>
            </w:tcMar>
            <w:vAlign w:val="center"/>
          </w:tcPr>
          <w:p w14:paraId="6C1F8937" w14:textId="77777777" w:rsidR="00A71942" w:rsidRPr="00F92EAE" w:rsidRDefault="00A71942" w:rsidP="00E276C8">
            <w:pPr>
              <w:spacing w:after="120"/>
              <w:rPr>
                <w:noProof/>
                <w:sz w:val="20"/>
              </w:rPr>
            </w:pPr>
          </w:p>
        </w:tc>
        <w:tc>
          <w:tcPr>
            <w:tcW w:w="0" w:type="auto"/>
            <w:tcBorders>
              <w:right w:val="double" w:sz="4" w:space="0" w:color="auto"/>
            </w:tcBorders>
            <w:tcMar>
              <w:top w:w="57" w:type="dxa"/>
              <w:left w:w="57" w:type="dxa"/>
              <w:bottom w:w="57" w:type="dxa"/>
              <w:right w:w="57" w:type="dxa"/>
            </w:tcMar>
            <w:vAlign w:val="center"/>
          </w:tcPr>
          <w:p w14:paraId="10DFEA3C" w14:textId="77777777" w:rsidR="00A71942" w:rsidRPr="005E22CD" w:rsidRDefault="00A71942" w:rsidP="00E276C8">
            <w:pPr>
              <w:spacing w:after="120"/>
              <w:rPr>
                <w:noProof/>
                <w:sz w:val="22"/>
                <w:szCs w:val="22"/>
              </w:rPr>
            </w:pPr>
            <w:r w:rsidRPr="1FC5E705">
              <w:rPr>
                <w:noProof/>
                <w:sz w:val="22"/>
                <w:szCs w:val="22"/>
              </w:rPr>
              <w:t>Direct enforcement costs</w:t>
            </w:r>
          </w:p>
        </w:tc>
        <w:tc>
          <w:tcPr>
            <w:tcW w:w="0" w:type="auto"/>
            <w:tcBorders>
              <w:left w:val="double" w:sz="4" w:space="0" w:color="auto"/>
            </w:tcBorders>
            <w:tcMar>
              <w:top w:w="57" w:type="dxa"/>
              <w:left w:w="57" w:type="dxa"/>
              <w:bottom w:w="57" w:type="dxa"/>
              <w:right w:w="57" w:type="dxa"/>
            </w:tcMar>
            <w:vAlign w:val="center"/>
          </w:tcPr>
          <w:p w14:paraId="7929BEF5"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18FC1ED"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130F83EE"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5450B57"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4D0E63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D1BBA9E"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05E6D84A" w14:textId="77777777" w:rsidTr="1FC5E705">
        <w:tc>
          <w:tcPr>
            <w:tcW w:w="0" w:type="auto"/>
            <w:vMerge/>
            <w:tcMar>
              <w:top w:w="57" w:type="dxa"/>
              <w:left w:w="57" w:type="dxa"/>
              <w:bottom w:w="57" w:type="dxa"/>
              <w:right w:w="57" w:type="dxa"/>
            </w:tcMar>
          </w:tcPr>
          <w:p w14:paraId="5008620A" w14:textId="77777777" w:rsidR="00A71942" w:rsidRPr="00F92EAE" w:rsidRDefault="00A71942" w:rsidP="00E276C8">
            <w:pPr>
              <w:spacing w:after="120"/>
              <w:rPr>
                <w:noProof/>
                <w:sz w:val="20"/>
              </w:rPr>
            </w:pPr>
          </w:p>
        </w:tc>
        <w:tc>
          <w:tcPr>
            <w:tcW w:w="0" w:type="auto"/>
            <w:tcBorders>
              <w:bottom w:val="double" w:sz="4" w:space="0" w:color="auto"/>
              <w:right w:val="double" w:sz="4" w:space="0" w:color="auto"/>
            </w:tcBorders>
            <w:tcMar>
              <w:top w:w="57" w:type="dxa"/>
              <w:left w:w="57" w:type="dxa"/>
              <w:bottom w:w="57" w:type="dxa"/>
              <w:right w:w="57" w:type="dxa"/>
            </w:tcMar>
          </w:tcPr>
          <w:p w14:paraId="6CA5FC16" w14:textId="77777777" w:rsidR="00A71942" w:rsidRPr="005E22CD" w:rsidRDefault="00A71942" w:rsidP="00E276C8">
            <w:pPr>
              <w:spacing w:after="120"/>
              <w:rPr>
                <w:noProof/>
                <w:sz w:val="22"/>
                <w:szCs w:val="22"/>
              </w:rPr>
            </w:pPr>
            <w:r w:rsidRPr="1FC5E705">
              <w:rPr>
                <w:noProof/>
                <w:sz w:val="22"/>
                <w:szCs w:val="22"/>
              </w:rPr>
              <w:t>Indirect costs</w:t>
            </w:r>
          </w:p>
        </w:tc>
        <w:tc>
          <w:tcPr>
            <w:tcW w:w="0" w:type="auto"/>
            <w:tcBorders>
              <w:left w:val="double" w:sz="4" w:space="0" w:color="auto"/>
              <w:bottom w:val="double" w:sz="4" w:space="0" w:color="auto"/>
            </w:tcBorders>
            <w:tcMar>
              <w:top w:w="57" w:type="dxa"/>
              <w:left w:w="57" w:type="dxa"/>
              <w:bottom w:w="57" w:type="dxa"/>
              <w:right w:w="57" w:type="dxa"/>
            </w:tcMar>
            <w:vAlign w:val="center"/>
          </w:tcPr>
          <w:p w14:paraId="36C4CBC2"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36C99D61"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6FA76C26"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04ECECD0"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1045968C"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58AD2810" w14:textId="77777777" w:rsidR="00A71942" w:rsidRPr="005E22CD" w:rsidRDefault="00A71942" w:rsidP="00E276C8">
            <w:pPr>
              <w:spacing w:after="120"/>
              <w:rPr>
                <w:noProof/>
                <w:sz w:val="22"/>
                <w:szCs w:val="22"/>
              </w:rPr>
            </w:pPr>
            <w:r w:rsidRPr="1FC5E705">
              <w:rPr>
                <w:noProof/>
                <w:sz w:val="22"/>
                <w:szCs w:val="22"/>
              </w:rPr>
              <w:t>N/A</w:t>
            </w:r>
          </w:p>
        </w:tc>
      </w:tr>
    </w:tbl>
    <w:p w14:paraId="040446A2" w14:textId="77777777" w:rsidR="00A71942" w:rsidRDefault="00A71942" w:rsidP="00E276C8">
      <w:pPr>
        <w:spacing w:line="240" w:lineRule="auto"/>
        <w:jc w:val="left"/>
        <w:rPr>
          <w:b/>
          <w:bCs/>
          <w:noProof/>
        </w:rPr>
      </w:pPr>
      <w:r w:rsidRPr="1FC5E705">
        <w:rPr>
          <w:b/>
          <w:bCs/>
          <w:noProof/>
        </w:rPr>
        <w:t>Carbon leakage</w:t>
      </w:r>
    </w:p>
    <w:tbl>
      <w:tblPr>
        <w:tblStyle w:val="CV11"/>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61"/>
        <w:gridCol w:w="1921"/>
        <w:gridCol w:w="1105"/>
        <w:gridCol w:w="1469"/>
        <w:gridCol w:w="1536"/>
        <w:gridCol w:w="2883"/>
        <w:gridCol w:w="957"/>
        <w:gridCol w:w="3342"/>
      </w:tblGrid>
      <w:tr w:rsidR="00A71942" w:rsidRPr="00F92EAE" w14:paraId="7E7C26DF" w14:textId="77777777" w:rsidTr="1FC5E705">
        <w:tc>
          <w:tcPr>
            <w:tcW w:w="5000" w:type="pct"/>
            <w:gridSpan w:val="8"/>
            <w:shd w:val="clear" w:color="auto" w:fill="BAD2FF" w:themeFill="text2" w:themeFillTint="33"/>
            <w:tcMar>
              <w:top w:w="57" w:type="dxa"/>
              <w:left w:w="57" w:type="dxa"/>
              <w:bottom w:w="57" w:type="dxa"/>
              <w:right w:w="57" w:type="dxa"/>
            </w:tcMar>
          </w:tcPr>
          <w:p w14:paraId="33166DB9"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10D43DAB" w14:textId="77777777" w:rsidTr="1FC5E705">
        <w:tc>
          <w:tcPr>
            <w:tcW w:w="810"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BEC42F4" w14:textId="77777777" w:rsidR="00A71942" w:rsidRPr="005E22CD" w:rsidRDefault="00A71942" w:rsidP="00E276C8">
            <w:pPr>
              <w:spacing w:after="120"/>
              <w:rPr>
                <w:b/>
                <w:bCs/>
                <w:noProof/>
                <w:sz w:val="22"/>
                <w:szCs w:val="22"/>
              </w:rPr>
            </w:pPr>
          </w:p>
        </w:tc>
        <w:tc>
          <w:tcPr>
            <w:tcW w:w="955" w:type="pct"/>
            <w:gridSpan w:val="2"/>
            <w:tcBorders>
              <w:left w:val="double" w:sz="4" w:space="0" w:color="auto"/>
            </w:tcBorders>
            <w:tcMar>
              <w:top w:w="57" w:type="dxa"/>
              <w:left w:w="57" w:type="dxa"/>
              <w:bottom w:w="57" w:type="dxa"/>
              <w:right w:w="57" w:type="dxa"/>
            </w:tcMar>
          </w:tcPr>
          <w:p w14:paraId="31D173EB"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1640" w:type="pct"/>
            <w:gridSpan w:val="2"/>
            <w:tcMar>
              <w:top w:w="57" w:type="dxa"/>
              <w:left w:w="57" w:type="dxa"/>
              <w:bottom w:w="57" w:type="dxa"/>
              <w:right w:w="57" w:type="dxa"/>
            </w:tcMar>
          </w:tcPr>
          <w:p w14:paraId="4B58B9CA"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1595" w:type="pct"/>
            <w:gridSpan w:val="2"/>
            <w:tcMar>
              <w:top w:w="57" w:type="dxa"/>
              <w:left w:w="57" w:type="dxa"/>
              <w:bottom w:w="57" w:type="dxa"/>
              <w:right w:w="57" w:type="dxa"/>
            </w:tcMar>
          </w:tcPr>
          <w:p w14:paraId="25DC55CC"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67F0127D" w14:textId="77777777" w:rsidTr="1FC5E705">
        <w:tc>
          <w:tcPr>
            <w:tcW w:w="810" w:type="pct"/>
            <w:gridSpan w:val="2"/>
            <w:vMerge/>
            <w:tcBorders>
              <w:tl2br w:val="double" w:sz="4" w:space="0" w:color="auto"/>
            </w:tcBorders>
            <w:tcMar>
              <w:top w:w="57" w:type="dxa"/>
              <w:left w:w="57" w:type="dxa"/>
              <w:bottom w:w="57" w:type="dxa"/>
              <w:right w:w="57" w:type="dxa"/>
            </w:tcMar>
          </w:tcPr>
          <w:p w14:paraId="394E7255" w14:textId="77777777" w:rsidR="00A71942" w:rsidRPr="005E22CD" w:rsidRDefault="00A71942" w:rsidP="00E276C8">
            <w:pPr>
              <w:spacing w:after="120"/>
              <w:rPr>
                <w:b/>
                <w:noProof/>
                <w:sz w:val="22"/>
                <w:szCs w:val="22"/>
              </w:rPr>
            </w:pPr>
          </w:p>
        </w:tc>
        <w:tc>
          <w:tcPr>
            <w:tcW w:w="410" w:type="pct"/>
            <w:tcBorders>
              <w:left w:val="double" w:sz="4" w:space="0" w:color="auto"/>
              <w:bottom w:val="double" w:sz="4" w:space="0" w:color="auto"/>
            </w:tcBorders>
            <w:tcMar>
              <w:top w:w="57" w:type="dxa"/>
              <w:left w:w="57" w:type="dxa"/>
              <w:bottom w:w="57" w:type="dxa"/>
              <w:right w:w="57" w:type="dxa"/>
            </w:tcMar>
          </w:tcPr>
          <w:p w14:paraId="1184FCFA"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545" w:type="pct"/>
            <w:tcBorders>
              <w:bottom w:val="double" w:sz="4" w:space="0" w:color="auto"/>
            </w:tcBorders>
            <w:tcMar>
              <w:top w:w="57" w:type="dxa"/>
              <w:left w:w="57" w:type="dxa"/>
              <w:bottom w:w="57" w:type="dxa"/>
              <w:right w:w="57" w:type="dxa"/>
            </w:tcMar>
          </w:tcPr>
          <w:p w14:paraId="35E9AAFC"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570" w:type="pct"/>
            <w:tcBorders>
              <w:bottom w:val="double" w:sz="4" w:space="0" w:color="auto"/>
            </w:tcBorders>
            <w:tcMar>
              <w:top w:w="57" w:type="dxa"/>
              <w:left w:w="57" w:type="dxa"/>
              <w:bottom w:w="57" w:type="dxa"/>
              <w:right w:w="57" w:type="dxa"/>
            </w:tcMar>
          </w:tcPr>
          <w:p w14:paraId="605146CF"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1070" w:type="pct"/>
            <w:tcBorders>
              <w:bottom w:val="double" w:sz="4" w:space="0" w:color="auto"/>
            </w:tcBorders>
            <w:tcMar>
              <w:top w:w="57" w:type="dxa"/>
              <w:left w:w="57" w:type="dxa"/>
              <w:bottom w:w="57" w:type="dxa"/>
              <w:right w:w="57" w:type="dxa"/>
            </w:tcMar>
          </w:tcPr>
          <w:p w14:paraId="2916550F"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355" w:type="pct"/>
            <w:tcBorders>
              <w:bottom w:val="double" w:sz="4" w:space="0" w:color="auto"/>
            </w:tcBorders>
            <w:tcMar>
              <w:top w:w="57" w:type="dxa"/>
              <w:left w:w="57" w:type="dxa"/>
              <w:bottom w:w="57" w:type="dxa"/>
              <w:right w:w="57" w:type="dxa"/>
            </w:tcMar>
          </w:tcPr>
          <w:p w14:paraId="58C9DC77"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1240" w:type="pct"/>
            <w:tcBorders>
              <w:bottom w:val="double" w:sz="4" w:space="0" w:color="auto"/>
            </w:tcBorders>
            <w:tcMar>
              <w:top w:w="57" w:type="dxa"/>
              <w:left w:w="57" w:type="dxa"/>
              <w:bottom w:w="57" w:type="dxa"/>
              <w:right w:w="57" w:type="dxa"/>
            </w:tcMar>
          </w:tcPr>
          <w:p w14:paraId="531BAE07"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6FE38E5E" w14:textId="77777777" w:rsidTr="1FC5E705">
        <w:trPr>
          <w:trHeight w:val="307"/>
        </w:trPr>
        <w:tc>
          <w:tcPr>
            <w:tcW w:w="97" w:type="pct"/>
            <w:vMerge w:val="restart"/>
            <w:tcMar>
              <w:top w:w="57" w:type="dxa"/>
              <w:left w:w="57" w:type="dxa"/>
              <w:bottom w:w="57" w:type="dxa"/>
              <w:right w:w="57" w:type="dxa"/>
            </w:tcMar>
            <w:vAlign w:val="center"/>
          </w:tcPr>
          <w:p w14:paraId="00023E59" w14:textId="77777777" w:rsidR="00A71942" w:rsidRPr="005E22CD" w:rsidRDefault="00A71942" w:rsidP="00E276C8">
            <w:pPr>
              <w:spacing w:after="120"/>
              <w:rPr>
                <w:noProof/>
                <w:sz w:val="22"/>
                <w:szCs w:val="22"/>
              </w:rPr>
            </w:pPr>
          </w:p>
        </w:tc>
        <w:tc>
          <w:tcPr>
            <w:tcW w:w="713" w:type="pct"/>
            <w:tcBorders>
              <w:right w:val="double" w:sz="4" w:space="0" w:color="auto"/>
            </w:tcBorders>
            <w:tcMar>
              <w:top w:w="57" w:type="dxa"/>
              <w:left w:w="57" w:type="dxa"/>
              <w:bottom w:w="57" w:type="dxa"/>
              <w:right w:w="57" w:type="dxa"/>
            </w:tcMar>
            <w:vAlign w:val="center"/>
          </w:tcPr>
          <w:p w14:paraId="711E9640" w14:textId="77777777" w:rsidR="00A71942" w:rsidRPr="005E22CD" w:rsidRDefault="00A71942" w:rsidP="00E276C8">
            <w:pPr>
              <w:spacing w:after="120"/>
              <w:rPr>
                <w:noProof/>
                <w:sz w:val="22"/>
                <w:szCs w:val="22"/>
              </w:rPr>
            </w:pPr>
            <w:r w:rsidRPr="1FC5E705">
              <w:rPr>
                <w:noProof/>
                <w:sz w:val="22"/>
                <w:szCs w:val="22"/>
              </w:rPr>
              <w:t>Direct adjustment costs</w:t>
            </w:r>
          </w:p>
        </w:tc>
        <w:tc>
          <w:tcPr>
            <w:tcW w:w="410" w:type="pct"/>
            <w:tcBorders>
              <w:left w:val="double" w:sz="4" w:space="0" w:color="auto"/>
            </w:tcBorders>
            <w:tcMar>
              <w:top w:w="57" w:type="dxa"/>
              <w:left w:w="57" w:type="dxa"/>
              <w:bottom w:w="57" w:type="dxa"/>
              <w:right w:w="57" w:type="dxa"/>
            </w:tcMar>
            <w:vAlign w:val="center"/>
          </w:tcPr>
          <w:p w14:paraId="3D76FEC0"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1917E9F0" w14:textId="77777777" w:rsidR="00A71942" w:rsidRPr="005E22CD" w:rsidRDefault="00A71942" w:rsidP="00E276C8">
            <w:pPr>
              <w:spacing w:after="120"/>
              <w:rPr>
                <w:noProof/>
                <w:sz w:val="22"/>
                <w:szCs w:val="22"/>
              </w:rPr>
            </w:pPr>
            <w:r w:rsidRPr="1FC5E705">
              <w:rPr>
                <w:noProof/>
                <w:sz w:val="22"/>
                <w:szCs w:val="22"/>
              </w:rPr>
              <w:t>N/A</w:t>
            </w:r>
          </w:p>
        </w:tc>
        <w:tc>
          <w:tcPr>
            <w:tcW w:w="570" w:type="pct"/>
            <w:tcMar>
              <w:top w:w="57" w:type="dxa"/>
              <w:left w:w="57" w:type="dxa"/>
              <w:bottom w:w="57" w:type="dxa"/>
              <w:right w:w="57" w:type="dxa"/>
            </w:tcMar>
            <w:vAlign w:val="center"/>
          </w:tcPr>
          <w:p w14:paraId="45765C07" w14:textId="77777777" w:rsidR="00A71942" w:rsidRPr="005E22CD" w:rsidRDefault="00A71942" w:rsidP="00E276C8">
            <w:pPr>
              <w:spacing w:after="120"/>
              <w:rPr>
                <w:noProof/>
                <w:sz w:val="22"/>
                <w:szCs w:val="22"/>
              </w:rPr>
            </w:pPr>
            <w:r w:rsidRPr="1FC5E705">
              <w:rPr>
                <w:noProof/>
                <w:sz w:val="22"/>
                <w:szCs w:val="22"/>
              </w:rPr>
              <w:t>Cost reduction due to avoiding carbon leakage list update (6.2.2.5).</w:t>
            </w:r>
          </w:p>
        </w:tc>
        <w:tc>
          <w:tcPr>
            <w:tcW w:w="1070" w:type="pct"/>
            <w:tcMar>
              <w:top w:w="57" w:type="dxa"/>
              <w:left w:w="57" w:type="dxa"/>
              <w:bottom w:w="57" w:type="dxa"/>
              <w:right w:w="57" w:type="dxa"/>
            </w:tcMar>
            <w:vAlign w:val="center"/>
          </w:tcPr>
          <w:p w14:paraId="68B54917" w14:textId="77777777" w:rsidR="00A71942" w:rsidRPr="005E22CD" w:rsidRDefault="00A71942" w:rsidP="00E276C8">
            <w:pPr>
              <w:spacing w:after="120"/>
              <w:rPr>
                <w:noProof/>
                <w:sz w:val="22"/>
                <w:szCs w:val="22"/>
              </w:rPr>
            </w:pPr>
            <w:r w:rsidRPr="1FC5E705">
              <w:rPr>
                <w:noProof/>
                <w:sz w:val="22"/>
                <w:szCs w:val="22"/>
              </w:rPr>
              <w:t>Reduction in the cost of adjusting to free allocation phase-out compared to baseline (increased free allocation of 39% in 2031-2040) (Annex 12, Table 4).</w:t>
            </w:r>
          </w:p>
        </w:tc>
        <w:tc>
          <w:tcPr>
            <w:tcW w:w="355" w:type="pct"/>
            <w:tcMar>
              <w:top w:w="57" w:type="dxa"/>
              <w:left w:w="57" w:type="dxa"/>
              <w:bottom w:w="57" w:type="dxa"/>
              <w:right w:w="57" w:type="dxa"/>
            </w:tcMar>
            <w:vAlign w:val="center"/>
          </w:tcPr>
          <w:p w14:paraId="0DC1DB50" w14:textId="77777777" w:rsidR="00A71942" w:rsidRPr="005E22CD" w:rsidRDefault="00A71942" w:rsidP="00E276C8">
            <w:pPr>
              <w:spacing w:after="120"/>
              <w:rPr>
                <w:noProof/>
                <w:sz w:val="22"/>
                <w:szCs w:val="22"/>
              </w:rPr>
            </w:pPr>
            <w:r w:rsidRPr="1FC5E705">
              <w:rPr>
                <w:noProof/>
                <w:sz w:val="22"/>
                <w:szCs w:val="22"/>
              </w:rPr>
              <w:t>N/A</w:t>
            </w:r>
          </w:p>
        </w:tc>
        <w:tc>
          <w:tcPr>
            <w:tcW w:w="1240" w:type="pct"/>
            <w:tcMar>
              <w:top w:w="57" w:type="dxa"/>
              <w:left w:w="57" w:type="dxa"/>
              <w:bottom w:w="57" w:type="dxa"/>
              <w:right w:w="57" w:type="dxa"/>
            </w:tcMar>
            <w:vAlign w:val="center"/>
          </w:tcPr>
          <w:p w14:paraId="61074B60" w14:textId="77777777" w:rsidR="00A71942" w:rsidRPr="005E22CD" w:rsidRDefault="00A71942" w:rsidP="00E276C8">
            <w:pPr>
              <w:spacing w:after="120"/>
              <w:rPr>
                <w:noProof/>
                <w:sz w:val="22"/>
                <w:szCs w:val="22"/>
              </w:rPr>
            </w:pPr>
            <w:r w:rsidRPr="1FC5E705">
              <w:rPr>
                <w:noProof/>
                <w:sz w:val="22"/>
                <w:szCs w:val="22"/>
              </w:rPr>
              <w:t>Cost reduction due to simplification, including avoiding carbon leakage list update (6.2.5.5).</w:t>
            </w:r>
          </w:p>
        </w:tc>
      </w:tr>
      <w:tr w:rsidR="00A71942" w:rsidRPr="00F92EAE" w14:paraId="18D98E89" w14:textId="77777777" w:rsidTr="1FC5E705">
        <w:trPr>
          <w:trHeight w:val="307"/>
        </w:trPr>
        <w:tc>
          <w:tcPr>
            <w:tcW w:w="97" w:type="pct"/>
            <w:vMerge/>
            <w:tcMar>
              <w:top w:w="57" w:type="dxa"/>
              <w:left w:w="57" w:type="dxa"/>
              <w:bottom w:w="57" w:type="dxa"/>
              <w:right w:w="57" w:type="dxa"/>
            </w:tcMar>
            <w:vAlign w:val="center"/>
          </w:tcPr>
          <w:p w14:paraId="07D9ACF4" w14:textId="77777777" w:rsidR="00A71942" w:rsidRPr="005E22CD" w:rsidRDefault="00A71942" w:rsidP="00E276C8">
            <w:pPr>
              <w:spacing w:after="120"/>
              <w:rPr>
                <w:noProof/>
                <w:sz w:val="22"/>
                <w:szCs w:val="22"/>
              </w:rPr>
            </w:pPr>
          </w:p>
        </w:tc>
        <w:tc>
          <w:tcPr>
            <w:tcW w:w="713" w:type="pct"/>
            <w:tcBorders>
              <w:right w:val="double" w:sz="4" w:space="0" w:color="auto"/>
            </w:tcBorders>
            <w:tcMar>
              <w:top w:w="57" w:type="dxa"/>
              <w:left w:w="57" w:type="dxa"/>
              <w:bottom w:w="57" w:type="dxa"/>
              <w:right w:w="57" w:type="dxa"/>
            </w:tcMar>
            <w:vAlign w:val="center"/>
          </w:tcPr>
          <w:p w14:paraId="44CCC968"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410" w:type="pct"/>
            <w:tcBorders>
              <w:left w:val="double" w:sz="4" w:space="0" w:color="auto"/>
            </w:tcBorders>
            <w:tcMar>
              <w:top w:w="57" w:type="dxa"/>
              <w:left w:w="57" w:type="dxa"/>
              <w:bottom w:w="57" w:type="dxa"/>
              <w:right w:w="57" w:type="dxa"/>
            </w:tcMar>
            <w:vAlign w:val="center"/>
          </w:tcPr>
          <w:p w14:paraId="7F578088"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5AEAD4DF" w14:textId="77777777" w:rsidR="00A71942" w:rsidRPr="005E22CD" w:rsidRDefault="00A71942" w:rsidP="00E276C8">
            <w:pPr>
              <w:spacing w:after="120"/>
              <w:rPr>
                <w:noProof/>
                <w:sz w:val="22"/>
                <w:szCs w:val="22"/>
              </w:rPr>
            </w:pPr>
            <w:r w:rsidRPr="1FC5E705">
              <w:rPr>
                <w:noProof/>
                <w:sz w:val="22"/>
                <w:szCs w:val="22"/>
              </w:rPr>
              <w:t>N/A</w:t>
            </w:r>
          </w:p>
        </w:tc>
        <w:tc>
          <w:tcPr>
            <w:tcW w:w="1640" w:type="pct"/>
            <w:gridSpan w:val="2"/>
            <w:tcMar>
              <w:top w:w="57" w:type="dxa"/>
              <w:left w:w="57" w:type="dxa"/>
              <w:bottom w:w="57" w:type="dxa"/>
              <w:right w:w="57" w:type="dxa"/>
            </w:tcMar>
            <w:vAlign w:val="center"/>
          </w:tcPr>
          <w:p w14:paraId="7DF54567" w14:textId="773E5595" w:rsidR="00A71942" w:rsidRPr="005E22CD" w:rsidRDefault="00A71942" w:rsidP="00E276C8">
            <w:pPr>
              <w:spacing w:after="120"/>
              <w:rPr>
                <w:noProof/>
                <w:sz w:val="22"/>
                <w:szCs w:val="22"/>
              </w:rPr>
            </w:pPr>
            <w:r w:rsidRPr="1FC5E705">
              <w:rPr>
                <w:noProof/>
                <w:sz w:val="22"/>
                <w:szCs w:val="22"/>
              </w:rPr>
              <w:t>Costs related to the extension of free allocation conditionality. Estimated one-off cost of EUR 0.02 (&lt;0.1%) per tonne CO2, or EUR 8m in total: derived using Standard Cost Model (</w:t>
            </w:r>
            <w:r w:rsidR="00CF1FD9">
              <w:rPr>
                <w:noProof/>
                <w:sz w:val="22"/>
                <w:szCs w:val="22"/>
              </w:rPr>
              <w:t xml:space="preserve">Table 16 of main Impact Assessment, </w:t>
            </w:r>
            <w:r w:rsidRPr="1FC5E705">
              <w:rPr>
                <w:noProof/>
                <w:sz w:val="22"/>
                <w:szCs w:val="22"/>
              </w:rPr>
              <w:t>Annex 12, Section 1.4.2.2.1).</w:t>
            </w:r>
          </w:p>
          <w:p w14:paraId="45746AD1" w14:textId="3CE28A06" w:rsidR="00A71942" w:rsidRPr="005E22CD" w:rsidRDefault="00A71942" w:rsidP="00E276C8">
            <w:pPr>
              <w:spacing w:after="120"/>
              <w:rPr>
                <w:noProof/>
                <w:sz w:val="22"/>
                <w:szCs w:val="22"/>
              </w:rPr>
            </w:pPr>
            <w:r w:rsidRPr="1FC5E705">
              <w:rPr>
                <w:noProof/>
                <w:sz w:val="22"/>
                <w:szCs w:val="22"/>
              </w:rPr>
              <w:t xml:space="preserve">Very little cost increase expected for conditionality related to indirect carbon cost (ICC) since </w:t>
            </w:r>
            <w:r w:rsidR="0034325B">
              <w:rPr>
                <w:noProof/>
                <w:sz w:val="22"/>
                <w:szCs w:val="22"/>
              </w:rPr>
              <w:t xml:space="preserve">existing </w:t>
            </w:r>
            <w:r w:rsidR="00451073">
              <w:rPr>
                <w:noProof/>
                <w:sz w:val="22"/>
                <w:szCs w:val="22"/>
              </w:rPr>
              <w:t>State aid-based approach is maintained</w:t>
            </w:r>
            <w:r w:rsidRPr="1FC5E705">
              <w:rPr>
                <w:noProof/>
                <w:sz w:val="22"/>
                <w:szCs w:val="22"/>
              </w:rPr>
              <w:t>.</w:t>
            </w:r>
          </w:p>
        </w:tc>
        <w:tc>
          <w:tcPr>
            <w:tcW w:w="1595" w:type="pct"/>
            <w:gridSpan w:val="2"/>
            <w:tcMar>
              <w:top w:w="57" w:type="dxa"/>
              <w:left w:w="57" w:type="dxa"/>
              <w:bottom w:w="57" w:type="dxa"/>
              <w:right w:w="57" w:type="dxa"/>
            </w:tcMar>
            <w:vAlign w:val="center"/>
          </w:tcPr>
          <w:p w14:paraId="1E32AB12" w14:textId="4CA8DD98" w:rsidR="00A71942" w:rsidRPr="005E22CD" w:rsidRDefault="00A71942" w:rsidP="00E276C8">
            <w:pPr>
              <w:spacing w:after="120"/>
              <w:rPr>
                <w:noProof/>
                <w:sz w:val="22"/>
                <w:szCs w:val="22"/>
              </w:rPr>
            </w:pPr>
          </w:p>
        </w:tc>
      </w:tr>
      <w:tr w:rsidR="00A71942" w:rsidRPr="00F92EAE" w14:paraId="5631C4CD" w14:textId="77777777" w:rsidTr="1FC5E705">
        <w:trPr>
          <w:trHeight w:val="307"/>
        </w:trPr>
        <w:tc>
          <w:tcPr>
            <w:tcW w:w="97" w:type="pct"/>
            <w:vMerge/>
            <w:tcMar>
              <w:top w:w="57" w:type="dxa"/>
              <w:left w:w="57" w:type="dxa"/>
              <w:bottom w:w="57" w:type="dxa"/>
              <w:right w:w="57" w:type="dxa"/>
            </w:tcMar>
            <w:vAlign w:val="center"/>
          </w:tcPr>
          <w:p w14:paraId="6D3DCBB3" w14:textId="77777777" w:rsidR="00A71942" w:rsidRPr="005E22CD" w:rsidRDefault="00A71942" w:rsidP="00E276C8">
            <w:pPr>
              <w:spacing w:after="120"/>
              <w:rPr>
                <w:noProof/>
                <w:sz w:val="22"/>
                <w:szCs w:val="22"/>
              </w:rPr>
            </w:pPr>
          </w:p>
        </w:tc>
        <w:tc>
          <w:tcPr>
            <w:tcW w:w="713" w:type="pct"/>
            <w:tcBorders>
              <w:right w:val="double" w:sz="4" w:space="0" w:color="auto"/>
            </w:tcBorders>
            <w:tcMar>
              <w:top w:w="57" w:type="dxa"/>
              <w:left w:w="57" w:type="dxa"/>
              <w:bottom w:w="57" w:type="dxa"/>
              <w:right w:w="57" w:type="dxa"/>
            </w:tcMar>
            <w:vAlign w:val="center"/>
          </w:tcPr>
          <w:p w14:paraId="76BC7920"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410" w:type="pct"/>
            <w:tcBorders>
              <w:left w:val="double" w:sz="4" w:space="0" w:color="auto"/>
            </w:tcBorders>
            <w:tcMar>
              <w:top w:w="57" w:type="dxa"/>
              <w:left w:w="57" w:type="dxa"/>
              <w:bottom w:w="57" w:type="dxa"/>
              <w:right w:w="57" w:type="dxa"/>
            </w:tcMar>
            <w:vAlign w:val="center"/>
          </w:tcPr>
          <w:p w14:paraId="377FBE6E"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3AB95AE7" w14:textId="77777777" w:rsidR="00A71942" w:rsidRPr="005E22CD" w:rsidRDefault="00A71942" w:rsidP="00E276C8">
            <w:pPr>
              <w:spacing w:after="120"/>
              <w:rPr>
                <w:noProof/>
                <w:sz w:val="22"/>
                <w:szCs w:val="22"/>
              </w:rPr>
            </w:pPr>
            <w:r w:rsidRPr="1FC5E705">
              <w:rPr>
                <w:noProof/>
                <w:sz w:val="22"/>
                <w:szCs w:val="22"/>
              </w:rPr>
              <w:t>N/A</w:t>
            </w:r>
          </w:p>
        </w:tc>
        <w:tc>
          <w:tcPr>
            <w:tcW w:w="570" w:type="pct"/>
            <w:tcMar>
              <w:top w:w="57" w:type="dxa"/>
              <w:left w:w="57" w:type="dxa"/>
              <w:bottom w:w="57" w:type="dxa"/>
              <w:right w:w="57" w:type="dxa"/>
            </w:tcMar>
            <w:vAlign w:val="center"/>
          </w:tcPr>
          <w:p w14:paraId="73E11AB2" w14:textId="77777777" w:rsidR="00A71942" w:rsidRPr="005E22CD" w:rsidRDefault="00A71942" w:rsidP="00E276C8">
            <w:pPr>
              <w:spacing w:after="120"/>
              <w:rPr>
                <w:noProof/>
                <w:sz w:val="22"/>
                <w:szCs w:val="22"/>
              </w:rPr>
            </w:pPr>
          </w:p>
        </w:tc>
        <w:tc>
          <w:tcPr>
            <w:tcW w:w="1070" w:type="pct"/>
            <w:tcMar>
              <w:top w:w="57" w:type="dxa"/>
              <w:left w:w="57" w:type="dxa"/>
              <w:bottom w:w="57" w:type="dxa"/>
              <w:right w:w="57" w:type="dxa"/>
            </w:tcMar>
            <w:vAlign w:val="center"/>
          </w:tcPr>
          <w:p w14:paraId="1DCA0325" w14:textId="77777777" w:rsidR="00A71942" w:rsidRPr="005E22CD" w:rsidRDefault="00A71942" w:rsidP="00E276C8">
            <w:pPr>
              <w:spacing w:after="120"/>
              <w:rPr>
                <w:noProof/>
                <w:sz w:val="22"/>
                <w:szCs w:val="22"/>
              </w:rPr>
            </w:pPr>
            <w:r w:rsidRPr="1FC5E705">
              <w:rPr>
                <w:noProof/>
                <w:sz w:val="22"/>
                <w:szCs w:val="22"/>
              </w:rPr>
              <w:t>N/A</w:t>
            </w:r>
          </w:p>
        </w:tc>
        <w:tc>
          <w:tcPr>
            <w:tcW w:w="355" w:type="pct"/>
            <w:tcMar>
              <w:top w:w="57" w:type="dxa"/>
              <w:left w:w="57" w:type="dxa"/>
              <w:bottom w:w="57" w:type="dxa"/>
              <w:right w:w="57" w:type="dxa"/>
            </w:tcMar>
            <w:vAlign w:val="center"/>
          </w:tcPr>
          <w:p w14:paraId="69E76C3E" w14:textId="77777777" w:rsidR="00A71942" w:rsidRPr="005E22CD" w:rsidRDefault="00A71942" w:rsidP="00E276C8">
            <w:pPr>
              <w:spacing w:after="120"/>
              <w:rPr>
                <w:noProof/>
                <w:sz w:val="22"/>
                <w:szCs w:val="22"/>
              </w:rPr>
            </w:pPr>
            <w:r w:rsidRPr="1FC5E705">
              <w:rPr>
                <w:noProof/>
                <w:sz w:val="22"/>
                <w:szCs w:val="22"/>
              </w:rPr>
              <w:t>N/A</w:t>
            </w:r>
          </w:p>
        </w:tc>
        <w:tc>
          <w:tcPr>
            <w:tcW w:w="1240" w:type="pct"/>
            <w:tcMar>
              <w:top w:w="57" w:type="dxa"/>
              <w:left w:w="57" w:type="dxa"/>
              <w:bottom w:w="57" w:type="dxa"/>
              <w:right w:w="57" w:type="dxa"/>
            </w:tcMar>
            <w:vAlign w:val="center"/>
          </w:tcPr>
          <w:p w14:paraId="6E308380"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7226E196" w14:textId="77777777" w:rsidTr="1FC5E705">
        <w:trPr>
          <w:trHeight w:val="307"/>
        </w:trPr>
        <w:tc>
          <w:tcPr>
            <w:tcW w:w="97" w:type="pct"/>
            <w:vMerge/>
            <w:tcMar>
              <w:top w:w="57" w:type="dxa"/>
              <w:left w:w="57" w:type="dxa"/>
              <w:bottom w:w="57" w:type="dxa"/>
              <w:right w:w="57" w:type="dxa"/>
            </w:tcMar>
            <w:vAlign w:val="center"/>
          </w:tcPr>
          <w:p w14:paraId="4E57DDB0" w14:textId="77777777" w:rsidR="00A71942" w:rsidRPr="005E22CD" w:rsidRDefault="00A71942" w:rsidP="00E276C8">
            <w:pPr>
              <w:spacing w:after="120"/>
              <w:rPr>
                <w:noProof/>
                <w:sz w:val="22"/>
                <w:szCs w:val="22"/>
              </w:rPr>
            </w:pPr>
          </w:p>
        </w:tc>
        <w:tc>
          <w:tcPr>
            <w:tcW w:w="713" w:type="pct"/>
            <w:tcBorders>
              <w:right w:val="double" w:sz="4" w:space="0" w:color="auto"/>
            </w:tcBorders>
            <w:tcMar>
              <w:top w:w="57" w:type="dxa"/>
              <w:left w:w="57" w:type="dxa"/>
              <w:bottom w:w="57" w:type="dxa"/>
              <w:right w:w="57" w:type="dxa"/>
            </w:tcMar>
            <w:vAlign w:val="center"/>
          </w:tcPr>
          <w:p w14:paraId="1BE09463" w14:textId="77777777" w:rsidR="00A71942" w:rsidRPr="005E22CD" w:rsidRDefault="00A71942" w:rsidP="00E276C8">
            <w:pPr>
              <w:spacing w:after="120"/>
              <w:rPr>
                <w:noProof/>
                <w:sz w:val="22"/>
                <w:szCs w:val="22"/>
              </w:rPr>
            </w:pPr>
            <w:r w:rsidRPr="1FC5E705">
              <w:rPr>
                <w:noProof/>
                <w:sz w:val="22"/>
                <w:szCs w:val="22"/>
              </w:rPr>
              <w:t>Direct enforcement costs</w:t>
            </w:r>
          </w:p>
        </w:tc>
        <w:tc>
          <w:tcPr>
            <w:tcW w:w="410" w:type="pct"/>
            <w:tcBorders>
              <w:left w:val="double" w:sz="4" w:space="0" w:color="auto"/>
            </w:tcBorders>
            <w:tcMar>
              <w:top w:w="57" w:type="dxa"/>
              <w:left w:w="57" w:type="dxa"/>
              <w:bottom w:w="57" w:type="dxa"/>
              <w:right w:w="57" w:type="dxa"/>
            </w:tcMar>
            <w:vAlign w:val="center"/>
          </w:tcPr>
          <w:p w14:paraId="11A95F94" w14:textId="77777777" w:rsidR="00A71942" w:rsidRPr="005E22CD" w:rsidRDefault="00A71942" w:rsidP="00E276C8">
            <w:pPr>
              <w:spacing w:after="120"/>
              <w:rPr>
                <w:noProof/>
                <w:sz w:val="22"/>
                <w:szCs w:val="22"/>
              </w:rPr>
            </w:pPr>
            <w:r w:rsidRPr="1FC5E705">
              <w:rPr>
                <w:noProof/>
                <w:sz w:val="22"/>
                <w:szCs w:val="22"/>
              </w:rPr>
              <w:t>N/A</w:t>
            </w:r>
          </w:p>
        </w:tc>
        <w:tc>
          <w:tcPr>
            <w:tcW w:w="545" w:type="pct"/>
            <w:tcMar>
              <w:top w:w="57" w:type="dxa"/>
              <w:left w:w="57" w:type="dxa"/>
              <w:bottom w:w="57" w:type="dxa"/>
              <w:right w:w="57" w:type="dxa"/>
            </w:tcMar>
            <w:vAlign w:val="center"/>
          </w:tcPr>
          <w:p w14:paraId="29C45A6D" w14:textId="77777777" w:rsidR="00A71942" w:rsidRPr="005E22CD" w:rsidRDefault="00A71942" w:rsidP="00E276C8">
            <w:pPr>
              <w:spacing w:after="120"/>
              <w:rPr>
                <w:noProof/>
                <w:sz w:val="22"/>
                <w:szCs w:val="22"/>
              </w:rPr>
            </w:pPr>
            <w:r w:rsidRPr="1FC5E705">
              <w:rPr>
                <w:noProof/>
                <w:sz w:val="22"/>
                <w:szCs w:val="22"/>
              </w:rPr>
              <w:t>N/A</w:t>
            </w:r>
          </w:p>
        </w:tc>
        <w:tc>
          <w:tcPr>
            <w:tcW w:w="570" w:type="pct"/>
            <w:tcMar>
              <w:top w:w="57" w:type="dxa"/>
              <w:left w:w="57" w:type="dxa"/>
              <w:bottom w:w="57" w:type="dxa"/>
              <w:right w:w="57" w:type="dxa"/>
            </w:tcMar>
            <w:vAlign w:val="center"/>
          </w:tcPr>
          <w:p w14:paraId="6CCDE122" w14:textId="77777777" w:rsidR="00A71942" w:rsidRPr="005E22CD" w:rsidRDefault="00A71942" w:rsidP="00E276C8">
            <w:pPr>
              <w:spacing w:after="120"/>
              <w:rPr>
                <w:noProof/>
                <w:sz w:val="22"/>
                <w:szCs w:val="22"/>
              </w:rPr>
            </w:pPr>
            <w:r w:rsidRPr="1FC5E705">
              <w:rPr>
                <w:noProof/>
                <w:sz w:val="22"/>
                <w:szCs w:val="22"/>
              </w:rPr>
              <w:t>N/A</w:t>
            </w:r>
          </w:p>
        </w:tc>
        <w:tc>
          <w:tcPr>
            <w:tcW w:w="1070" w:type="pct"/>
            <w:tcMar>
              <w:top w:w="57" w:type="dxa"/>
              <w:left w:w="57" w:type="dxa"/>
              <w:bottom w:w="57" w:type="dxa"/>
              <w:right w:w="57" w:type="dxa"/>
            </w:tcMar>
            <w:vAlign w:val="center"/>
          </w:tcPr>
          <w:p w14:paraId="3142D7E1" w14:textId="77777777" w:rsidR="00A71942" w:rsidRPr="005E22CD" w:rsidRDefault="00A71942" w:rsidP="00E276C8">
            <w:pPr>
              <w:spacing w:after="120"/>
              <w:rPr>
                <w:noProof/>
                <w:sz w:val="22"/>
                <w:szCs w:val="22"/>
              </w:rPr>
            </w:pPr>
            <w:r w:rsidRPr="1FC5E705">
              <w:rPr>
                <w:noProof/>
                <w:sz w:val="22"/>
                <w:szCs w:val="22"/>
              </w:rPr>
              <w:t>N/A</w:t>
            </w:r>
          </w:p>
        </w:tc>
        <w:tc>
          <w:tcPr>
            <w:tcW w:w="355" w:type="pct"/>
            <w:tcMar>
              <w:top w:w="57" w:type="dxa"/>
              <w:left w:w="57" w:type="dxa"/>
              <w:bottom w:w="57" w:type="dxa"/>
              <w:right w:w="57" w:type="dxa"/>
            </w:tcMar>
            <w:vAlign w:val="center"/>
          </w:tcPr>
          <w:p w14:paraId="6C609665" w14:textId="77777777" w:rsidR="00A71942" w:rsidRPr="005E22CD" w:rsidRDefault="00A71942" w:rsidP="00E276C8">
            <w:pPr>
              <w:spacing w:after="120"/>
              <w:rPr>
                <w:noProof/>
                <w:sz w:val="22"/>
                <w:szCs w:val="22"/>
              </w:rPr>
            </w:pPr>
            <w:r w:rsidRPr="1FC5E705">
              <w:rPr>
                <w:noProof/>
                <w:sz w:val="22"/>
                <w:szCs w:val="22"/>
              </w:rPr>
              <w:t>N/A</w:t>
            </w:r>
          </w:p>
        </w:tc>
        <w:tc>
          <w:tcPr>
            <w:tcW w:w="1240" w:type="pct"/>
            <w:tcMar>
              <w:top w:w="57" w:type="dxa"/>
              <w:left w:w="57" w:type="dxa"/>
              <w:bottom w:w="57" w:type="dxa"/>
              <w:right w:w="57" w:type="dxa"/>
            </w:tcMar>
            <w:vAlign w:val="center"/>
          </w:tcPr>
          <w:p w14:paraId="5076A1B8"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05A45E73" w14:textId="77777777" w:rsidTr="1FC5E705">
        <w:tc>
          <w:tcPr>
            <w:tcW w:w="97" w:type="pct"/>
            <w:vMerge/>
            <w:tcMar>
              <w:top w:w="57" w:type="dxa"/>
              <w:left w:w="57" w:type="dxa"/>
              <w:bottom w:w="57" w:type="dxa"/>
              <w:right w:w="57" w:type="dxa"/>
            </w:tcMar>
          </w:tcPr>
          <w:p w14:paraId="58A93E36" w14:textId="77777777" w:rsidR="00A71942" w:rsidRPr="005E22CD" w:rsidRDefault="00A71942" w:rsidP="00E276C8">
            <w:pPr>
              <w:spacing w:after="120"/>
              <w:rPr>
                <w:noProof/>
                <w:sz w:val="22"/>
                <w:szCs w:val="22"/>
              </w:rPr>
            </w:pPr>
          </w:p>
        </w:tc>
        <w:tc>
          <w:tcPr>
            <w:tcW w:w="713" w:type="pct"/>
            <w:tcBorders>
              <w:bottom w:val="double" w:sz="4" w:space="0" w:color="auto"/>
              <w:right w:val="double" w:sz="4" w:space="0" w:color="auto"/>
            </w:tcBorders>
            <w:tcMar>
              <w:top w:w="57" w:type="dxa"/>
              <w:left w:w="57" w:type="dxa"/>
              <w:bottom w:w="57" w:type="dxa"/>
              <w:right w:w="57" w:type="dxa"/>
            </w:tcMar>
          </w:tcPr>
          <w:p w14:paraId="6FC48E3B" w14:textId="77777777" w:rsidR="00A71942" w:rsidRPr="005E22CD" w:rsidRDefault="00A71942" w:rsidP="00E276C8">
            <w:pPr>
              <w:spacing w:after="120"/>
              <w:rPr>
                <w:noProof/>
                <w:sz w:val="22"/>
                <w:szCs w:val="22"/>
              </w:rPr>
            </w:pPr>
            <w:r w:rsidRPr="1FC5E705">
              <w:rPr>
                <w:noProof/>
                <w:sz w:val="22"/>
                <w:szCs w:val="22"/>
              </w:rPr>
              <w:t>Indirect costs</w:t>
            </w:r>
          </w:p>
        </w:tc>
        <w:tc>
          <w:tcPr>
            <w:tcW w:w="410" w:type="pct"/>
            <w:tcBorders>
              <w:left w:val="double" w:sz="4" w:space="0" w:color="auto"/>
              <w:bottom w:val="double" w:sz="4" w:space="0" w:color="auto"/>
            </w:tcBorders>
            <w:tcMar>
              <w:top w:w="57" w:type="dxa"/>
              <w:left w:w="57" w:type="dxa"/>
              <w:bottom w:w="57" w:type="dxa"/>
              <w:right w:w="57" w:type="dxa"/>
            </w:tcMar>
            <w:vAlign w:val="center"/>
          </w:tcPr>
          <w:p w14:paraId="62916DDC" w14:textId="77777777" w:rsidR="00A71942" w:rsidRPr="005E22CD" w:rsidRDefault="00A71942" w:rsidP="00E276C8">
            <w:pPr>
              <w:spacing w:after="120"/>
              <w:rPr>
                <w:noProof/>
                <w:sz w:val="22"/>
                <w:szCs w:val="22"/>
              </w:rPr>
            </w:pPr>
            <w:r w:rsidRPr="1FC5E705">
              <w:rPr>
                <w:noProof/>
                <w:sz w:val="22"/>
                <w:szCs w:val="22"/>
              </w:rPr>
              <w:t>N/A</w:t>
            </w:r>
          </w:p>
        </w:tc>
        <w:tc>
          <w:tcPr>
            <w:tcW w:w="545" w:type="pct"/>
            <w:tcBorders>
              <w:bottom w:val="double" w:sz="4" w:space="0" w:color="auto"/>
            </w:tcBorders>
            <w:tcMar>
              <w:top w:w="57" w:type="dxa"/>
              <w:left w:w="57" w:type="dxa"/>
              <w:bottom w:w="57" w:type="dxa"/>
              <w:right w:w="57" w:type="dxa"/>
            </w:tcMar>
            <w:vAlign w:val="center"/>
          </w:tcPr>
          <w:p w14:paraId="003077A7" w14:textId="77777777" w:rsidR="00A71942" w:rsidRPr="005E22CD" w:rsidRDefault="00A71942" w:rsidP="00E276C8">
            <w:pPr>
              <w:spacing w:after="120"/>
              <w:rPr>
                <w:noProof/>
                <w:sz w:val="22"/>
                <w:szCs w:val="22"/>
              </w:rPr>
            </w:pPr>
            <w:r w:rsidRPr="1FC5E705">
              <w:rPr>
                <w:noProof/>
                <w:sz w:val="22"/>
                <w:szCs w:val="22"/>
              </w:rPr>
              <w:t>N/A</w:t>
            </w:r>
          </w:p>
        </w:tc>
        <w:tc>
          <w:tcPr>
            <w:tcW w:w="570" w:type="pct"/>
            <w:tcBorders>
              <w:bottom w:val="double" w:sz="4" w:space="0" w:color="auto"/>
            </w:tcBorders>
            <w:tcMar>
              <w:top w:w="57" w:type="dxa"/>
              <w:left w:w="57" w:type="dxa"/>
              <w:bottom w:w="57" w:type="dxa"/>
              <w:right w:w="57" w:type="dxa"/>
            </w:tcMar>
            <w:vAlign w:val="center"/>
          </w:tcPr>
          <w:p w14:paraId="5E6AF644" w14:textId="77777777" w:rsidR="00A71942" w:rsidRPr="005E22CD" w:rsidRDefault="00A71942" w:rsidP="00E276C8">
            <w:pPr>
              <w:spacing w:after="120"/>
              <w:rPr>
                <w:noProof/>
                <w:sz w:val="22"/>
                <w:szCs w:val="22"/>
              </w:rPr>
            </w:pPr>
            <w:r w:rsidRPr="1FC5E705">
              <w:rPr>
                <w:noProof/>
                <w:sz w:val="22"/>
                <w:szCs w:val="22"/>
              </w:rPr>
              <w:t>N/A</w:t>
            </w:r>
          </w:p>
        </w:tc>
        <w:tc>
          <w:tcPr>
            <w:tcW w:w="1070" w:type="pct"/>
            <w:tcBorders>
              <w:bottom w:val="double" w:sz="4" w:space="0" w:color="auto"/>
            </w:tcBorders>
            <w:tcMar>
              <w:top w:w="57" w:type="dxa"/>
              <w:left w:w="57" w:type="dxa"/>
              <w:bottom w:w="57" w:type="dxa"/>
              <w:right w:w="57" w:type="dxa"/>
            </w:tcMar>
            <w:vAlign w:val="center"/>
          </w:tcPr>
          <w:p w14:paraId="48767C2D" w14:textId="77777777" w:rsidR="00A71942" w:rsidRPr="005E22CD" w:rsidRDefault="00A71942" w:rsidP="00E276C8">
            <w:pPr>
              <w:spacing w:after="120"/>
              <w:rPr>
                <w:noProof/>
                <w:sz w:val="22"/>
                <w:szCs w:val="22"/>
              </w:rPr>
            </w:pPr>
            <w:r w:rsidRPr="1FC5E705">
              <w:rPr>
                <w:noProof/>
                <w:sz w:val="22"/>
                <w:szCs w:val="22"/>
              </w:rPr>
              <w:t>N/A</w:t>
            </w:r>
          </w:p>
        </w:tc>
        <w:tc>
          <w:tcPr>
            <w:tcW w:w="355" w:type="pct"/>
            <w:tcBorders>
              <w:bottom w:val="double" w:sz="4" w:space="0" w:color="auto"/>
            </w:tcBorders>
            <w:tcMar>
              <w:top w:w="57" w:type="dxa"/>
              <w:left w:w="57" w:type="dxa"/>
              <w:bottom w:w="57" w:type="dxa"/>
              <w:right w:w="57" w:type="dxa"/>
            </w:tcMar>
            <w:vAlign w:val="center"/>
          </w:tcPr>
          <w:p w14:paraId="04869AAD" w14:textId="77777777" w:rsidR="00A71942" w:rsidRPr="005E22CD" w:rsidRDefault="00A71942" w:rsidP="00E276C8">
            <w:pPr>
              <w:spacing w:after="120"/>
              <w:rPr>
                <w:noProof/>
                <w:sz w:val="22"/>
                <w:szCs w:val="22"/>
              </w:rPr>
            </w:pPr>
            <w:r w:rsidRPr="1FC5E705">
              <w:rPr>
                <w:noProof/>
                <w:sz w:val="22"/>
                <w:szCs w:val="22"/>
              </w:rPr>
              <w:t>N/A</w:t>
            </w:r>
          </w:p>
        </w:tc>
        <w:tc>
          <w:tcPr>
            <w:tcW w:w="1240" w:type="pct"/>
            <w:tcBorders>
              <w:bottom w:val="double" w:sz="4" w:space="0" w:color="auto"/>
            </w:tcBorders>
            <w:tcMar>
              <w:top w:w="57" w:type="dxa"/>
              <w:left w:w="57" w:type="dxa"/>
              <w:bottom w:w="57" w:type="dxa"/>
              <w:right w:w="57" w:type="dxa"/>
            </w:tcMar>
            <w:vAlign w:val="center"/>
          </w:tcPr>
          <w:p w14:paraId="3AE88789" w14:textId="77777777" w:rsidR="00A71942" w:rsidRPr="005E22CD" w:rsidRDefault="00A71942" w:rsidP="00E276C8">
            <w:pPr>
              <w:spacing w:after="120"/>
              <w:rPr>
                <w:noProof/>
                <w:sz w:val="22"/>
                <w:szCs w:val="22"/>
              </w:rPr>
            </w:pPr>
            <w:r w:rsidRPr="1FC5E705">
              <w:rPr>
                <w:noProof/>
                <w:sz w:val="22"/>
                <w:szCs w:val="22"/>
              </w:rPr>
              <w:t>N/A</w:t>
            </w:r>
          </w:p>
        </w:tc>
      </w:tr>
    </w:tbl>
    <w:p w14:paraId="0DC826CA" w14:textId="77777777" w:rsidR="00A71942" w:rsidRDefault="00A71942" w:rsidP="00E276C8">
      <w:pPr>
        <w:spacing w:line="240" w:lineRule="auto"/>
        <w:rPr>
          <w:b/>
          <w:bCs/>
          <w:noProof/>
        </w:rPr>
      </w:pPr>
      <w:r w:rsidRPr="1FC5E705">
        <w:rPr>
          <w:b/>
          <w:bCs/>
          <w:noProof/>
        </w:rPr>
        <w:t>Waste</w:t>
      </w:r>
    </w:p>
    <w:tbl>
      <w:tblPr>
        <w:tblStyle w:val="CV11"/>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0"/>
        <w:gridCol w:w="1642"/>
        <w:gridCol w:w="633"/>
        <w:gridCol w:w="4219"/>
        <w:gridCol w:w="707"/>
        <w:gridCol w:w="4252"/>
        <w:gridCol w:w="707"/>
        <w:gridCol w:w="1194"/>
      </w:tblGrid>
      <w:tr w:rsidR="00A71942" w:rsidRPr="00F92EAE" w14:paraId="4C7A0453" w14:textId="77777777" w:rsidTr="1FC5E705">
        <w:tc>
          <w:tcPr>
            <w:tcW w:w="0" w:type="auto"/>
            <w:gridSpan w:val="8"/>
            <w:shd w:val="clear" w:color="auto" w:fill="B7D4EF"/>
            <w:tcMar>
              <w:top w:w="57" w:type="dxa"/>
              <w:left w:w="57" w:type="dxa"/>
              <w:bottom w:w="57" w:type="dxa"/>
              <w:right w:w="57" w:type="dxa"/>
            </w:tcMar>
          </w:tcPr>
          <w:p w14:paraId="5284D206"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61D0D2D1" w14:textId="77777777" w:rsidTr="1FC5E705">
        <w:tc>
          <w:tcPr>
            <w:tcW w:w="0" w:type="auto"/>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0004BD52" w14:textId="77777777" w:rsidR="00A71942" w:rsidRPr="005E22CD" w:rsidRDefault="00A71942" w:rsidP="00E276C8">
            <w:pPr>
              <w:spacing w:after="120"/>
              <w:rPr>
                <w:b/>
                <w:bCs/>
                <w:noProof/>
                <w:sz w:val="22"/>
                <w:szCs w:val="22"/>
              </w:rPr>
            </w:pPr>
          </w:p>
        </w:tc>
        <w:tc>
          <w:tcPr>
            <w:tcW w:w="0" w:type="auto"/>
            <w:gridSpan w:val="2"/>
            <w:tcBorders>
              <w:left w:val="double" w:sz="4" w:space="0" w:color="auto"/>
            </w:tcBorders>
            <w:tcMar>
              <w:top w:w="57" w:type="dxa"/>
              <w:left w:w="57" w:type="dxa"/>
              <w:bottom w:w="57" w:type="dxa"/>
              <w:right w:w="57" w:type="dxa"/>
            </w:tcMar>
          </w:tcPr>
          <w:p w14:paraId="50DFAC1C"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0" w:type="auto"/>
            <w:gridSpan w:val="2"/>
            <w:tcMar>
              <w:top w:w="57" w:type="dxa"/>
              <w:left w:w="57" w:type="dxa"/>
              <w:bottom w:w="57" w:type="dxa"/>
              <w:right w:w="57" w:type="dxa"/>
            </w:tcMar>
          </w:tcPr>
          <w:p w14:paraId="2FDA864A"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0" w:type="auto"/>
            <w:gridSpan w:val="2"/>
            <w:tcMar>
              <w:top w:w="57" w:type="dxa"/>
              <w:left w:w="57" w:type="dxa"/>
              <w:bottom w:w="57" w:type="dxa"/>
              <w:right w:w="57" w:type="dxa"/>
            </w:tcMar>
          </w:tcPr>
          <w:p w14:paraId="6D5E9D98"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02771E8C" w14:textId="77777777" w:rsidTr="1FC5E705">
        <w:tc>
          <w:tcPr>
            <w:tcW w:w="0" w:type="auto"/>
            <w:gridSpan w:val="2"/>
            <w:vMerge/>
            <w:tcBorders>
              <w:tl2br w:val="double" w:sz="4" w:space="0" w:color="auto"/>
            </w:tcBorders>
            <w:tcMar>
              <w:top w:w="57" w:type="dxa"/>
              <w:left w:w="57" w:type="dxa"/>
              <w:bottom w:w="57" w:type="dxa"/>
              <w:right w:w="57" w:type="dxa"/>
            </w:tcMar>
          </w:tcPr>
          <w:p w14:paraId="23348CD8" w14:textId="77777777" w:rsidR="00A71942" w:rsidRPr="005E22CD" w:rsidRDefault="00A71942" w:rsidP="00E276C8">
            <w:pPr>
              <w:spacing w:after="120"/>
              <w:rPr>
                <w:b/>
                <w:noProof/>
                <w:sz w:val="22"/>
                <w:szCs w:val="22"/>
              </w:rPr>
            </w:pPr>
          </w:p>
        </w:tc>
        <w:tc>
          <w:tcPr>
            <w:tcW w:w="0" w:type="auto"/>
            <w:tcBorders>
              <w:left w:val="double" w:sz="4" w:space="0" w:color="auto"/>
              <w:bottom w:val="double" w:sz="4" w:space="0" w:color="auto"/>
            </w:tcBorders>
            <w:tcMar>
              <w:top w:w="57" w:type="dxa"/>
              <w:left w:w="57" w:type="dxa"/>
              <w:bottom w:w="57" w:type="dxa"/>
              <w:right w:w="57" w:type="dxa"/>
            </w:tcMar>
          </w:tcPr>
          <w:p w14:paraId="320C0A0B"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12EA1E17"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3A9126E2"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6D8D6D5D"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65A96AA4"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2F6CF81C"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27893CBF" w14:textId="77777777" w:rsidTr="1FC5E705">
        <w:trPr>
          <w:trHeight w:val="307"/>
        </w:trPr>
        <w:tc>
          <w:tcPr>
            <w:tcW w:w="0" w:type="auto"/>
            <w:vMerge w:val="restart"/>
            <w:tcMar>
              <w:top w:w="57" w:type="dxa"/>
              <w:left w:w="57" w:type="dxa"/>
              <w:bottom w:w="57" w:type="dxa"/>
              <w:right w:w="57" w:type="dxa"/>
            </w:tcMar>
            <w:vAlign w:val="center"/>
          </w:tcPr>
          <w:p w14:paraId="2EDB8234"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361ED837" w14:textId="77777777" w:rsidR="00A71942" w:rsidRPr="005E22CD" w:rsidRDefault="00A71942" w:rsidP="00E276C8">
            <w:pPr>
              <w:spacing w:after="120"/>
              <w:rPr>
                <w:noProof/>
                <w:sz w:val="22"/>
                <w:szCs w:val="22"/>
              </w:rPr>
            </w:pPr>
            <w:r w:rsidRPr="1FC5E705">
              <w:rPr>
                <w:noProof/>
                <w:sz w:val="22"/>
                <w:szCs w:val="22"/>
              </w:rPr>
              <w:t>Direct adjustment costs</w:t>
            </w:r>
          </w:p>
        </w:tc>
        <w:tc>
          <w:tcPr>
            <w:tcW w:w="0" w:type="auto"/>
            <w:tcBorders>
              <w:left w:val="double" w:sz="4" w:space="0" w:color="auto"/>
            </w:tcBorders>
            <w:tcMar>
              <w:top w:w="57" w:type="dxa"/>
              <w:left w:w="57" w:type="dxa"/>
              <w:bottom w:w="57" w:type="dxa"/>
              <w:right w:w="57" w:type="dxa"/>
            </w:tcMar>
            <w:vAlign w:val="center"/>
          </w:tcPr>
          <w:p w14:paraId="58597FD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C8AF88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A6C680B"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2BE05F84"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9BD059F"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438D8738"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3DA7C432" w14:textId="77777777" w:rsidTr="1FC5E705">
        <w:trPr>
          <w:trHeight w:val="307"/>
        </w:trPr>
        <w:tc>
          <w:tcPr>
            <w:tcW w:w="0" w:type="auto"/>
            <w:vMerge/>
            <w:tcMar>
              <w:top w:w="57" w:type="dxa"/>
              <w:left w:w="57" w:type="dxa"/>
              <w:bottom w:w="57" w:type="dxa"/>
              <w:right w:w="57" w:type="dxa"/>
            </w:tcMar>
            <w:vAlign w:val="center"/>
          </w:tcPr>
          <w:p w14:paraId="56EC3737"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3F0F0BED"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0" w:type="auto"/>
            <w:tcBorders>
              <w:left w:val="double" w:sz="4" w:space="0" w:color="auto"/>
            </w:tcBorders>
            <w:tcMar>
              <w:top w:w="57" w:type="dxa"/>
              <w:left w:w="57" w:type="dxa"/>
              <w:bottom w:w="57" w:type="dxa"/>
              <w:right w:w="57" w:type="dxa"/>
            </w:tcMar>
            <w:vAlign w:val="center"/>
          </w:tcPr>
          <w:p w14:paraId="3F495FD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CEF4FD0" w14:textId="77777777" w:rsidR="00A71942" w:rsidRPr="005E22CD" w:rsidRDefault="00A71942" w:rsidP="00E276C8">
            <w:pPr>
              <w:spacing w:after="120"/>
              <w:rPr>
                <w:noProof/>
                <w:sz w:val="22"/>
                <w:szCs w:val="22"/>
              </w:rPr>
            </w:pPr>
            <w:r w:rsidRPr="1FC5E705">
              <w:rPr>
                <w:noProof/>
                <w:sz w:val="22"/>
                <w:szCs w:val="22"/>
              </w:rPr>
              <w:t>N/A</w:t>
            </w:r>
          </w:p>
        </w:tc>
        <w:tc>
          <w:tcPr>
            <w:tcW w:w="0" w:type="auto"/>
            <w:gridSpan w:val="4"/>
            <w:tcMar>
              <w:top w:w="57" w:type="dxa"/>
              <w:left w:w="57" w:type="dxa"/>
              <w:bottom w:w="57" w:type="dxa"/>
              <w:right w:w="57" w:type="dxa"/>
            </w:tcMar>
            <w:vAlign w:val="center"/>
          </w:tcPr>
          <w:p w14:paraId="03D5D70D" w14:textId="18A30D92" w:rsidR="00A71942" w:rsidRPr="005E22CD" w:rsidRDefault="00A71942" w:rsidP="00E276C8">
            <w:pPr>
              <w:spacing w:after="120"/>
              <w:rPr>
                <w:noProof/>
                <w:sz w:val="22"/>
                <w:szCs w:val="22"/>
              </w:rPr>
            </w:pPr>
            <w:r w:rsidRPr="1FC5E705">
              <w:rPr>
                <w:noProof/>
                <w:sz w:val="22"/>
                <w:szCs w:val="22"/>
              </w:rPr>
              <w:t>MRV cost already applies since 2024. Annual MRV costs of EUR 7.8 – 78 million depending on plant size (6.2.2.6). Cost is minimised by building on existing ETS and Industrial Emissions Directive processes and practices (</w:t>
            </w:r>
            <w:r w:rsidR="00F642D7">
              <w:rPr>
                <w:noProof/>
                <w:sz w:val="22"/>
                <w:szCs w:val="22"/>
              </w:rPr>
              <w:t xml:space="preserve">Table 16 of main Impact Assessment, </w:t>
            </w:r>
            <w:r w:rsidRPr="1FC5E705">
              <w:rPr>
                <w:noProof/>
                <w:sz w:val="22"/>
                <w:szCs w:val="22"/>
              </w:rPr>
              <w:t>Annex 13, Section 1.6.2.1.1).</w:t>
            </w:r>
          </w:p>
        </w:tc>
      </w:tr>
      <w:tr w:rsidR="00A71942" w:rsidRPr="00F92EAE" w14:paraId="0C86E599" w14:textId="77777777" w:rsidTr="1FC5E705">
        <w:trPr>
          <w:trHeight w:val="307"/>
        </w:trPr>
        <w:tc>
          <w:tcPr>
            <w:tcW w:w="0" w:type="auto"/>
            <w:vMerge/>
            <w:tcMar>
              <w:top w:w="57" w:type="dxa"/>
              <w:left w:w="57" w:type="dxa"/>
              <w:bottom w:w="57" w:type="dxa"/>
              <w:right w:w="57" w:type="dxa"/>
            </w:tcMar>
            <w:vAlign w:val="center"/>
          </w:tcPr>
          <w:p w14:paraId="681E8E06"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773B708A"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0" w:type="auto"/>
            <w:tcBorders>
              <w:left w:val="double" w:sz="4" w:space="0" w:color="auto"/>
            </w:tcBorders>
            <w:tcMar>
              <w:top w:w="57" w:type="dxa"/>
              <w:left w:w="57" w:type="dxa"/>
              <w:bottom w:w="57" w:type="dxa"/>
              <w:right w:w="57" w:type="dxa"/>
            </w:tcMar>
            <w:vAlign w:val="center"/>
          </w:tcPr>
          <w:p w14:paraId="3E5961B5"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06063519"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72FB97A"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CEB5C68" w14:textId="34290900" w:rsidR="00A71942" w:rsidRPr="005E22CD" w:rsidRDefault="00A71942" w:rsidP="00E276C8">
            <w:pPr>
              <w:spacing w:after="120"/>
              <w:rPr>
                <w:noProof/>
                <w:sz w:val="22"/>
                <w:szCs w:val="22"/>
              </w:rPr>
            </w:pPr>
            <w:r w:rsidRPr="1FC5E705">
              <w:rPr>
                <w:noProof/>
                <w:sz w:val="22"/>
                <w:szCs w:val="22"/>
              </w:rPr>
              <w:t xml:space="preserve">Carbon cost for municipal waste estimated at EUR 39-66 per tonne in </w:t>
            </w:r>
            <w:r w:rsidRPr="5699EFF1">
              <w:rPr>
                <w:noProof/>
                <w:sz w:val="22"/>
                <w:szCs w:val="22"/>
              </w:rPr>
              <w:t>203</w:t>
            </w:r>
            <w:r w:rsidR="1A6E311D" w:rsidRPr="5699EFF1">
              <w:rPr>
                <w:noProof/>
                <w:sz w:val="22"/>
                <w:szCs w:val="22"/>
              </w:rPr>
              <w:t>1</w:t>
            </w:r>
            <w:r w:rsidRPr="1FC5E705">
              <w:rPr>
                <w:noProof/>
                <w:sz w:val="22"/>
                <w:szCs w:val="22"/>
              </w:rPr>
              <w:t xml:space="preserve"> (</w:t>
            </w:r>
            <w:r>
              <w:rPr>
                <w:noProof/>
                <w:sz w:val="22"/>
                <w:szCs w:val="22"/>
              </w:rPr>
              <w:t>Annex 13, Section 1.3</w:t>
            </w:r>
            <w:r w:rsidRPr="1FC5E705">
              <w:rPr>
                <w:noProof/>
                <w:sz w:val="22"/>
                <w:szCs w:val="22"/>
              </w:rPr>
              <w:t>).</w:t>
            </w:r>
          </w:p>
        </w:tc>
        <w:tc>
          <w:tcPr>
            <w:tcW w:w="0" w:type="auto"/>
            <w:tcMar>
              <w:top w:w="57" w:type="dxa"/>
              <w:left w:w="57" w:type="dxa"/>
              <w:bottom w:w="57" w:type="dxa"/>
              <w:right w:w="57" w:type="dxa"/>
            </w:tcMar>
            <w:vAlign w:val="center"/>
          </w:tcPr>
          <w:p w14:paraId="2C44C884"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5CD3569"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4F1D5D2A" w14:textId="77777777" w:rsidTr="1FC5E705">
        <w:trPr>
          <w:trHeight w:val="307"/>
        </w:trPr>
        <w:tc>
          <w:tcPr>
            <w:tcW w:w="0" w:type="auto"/>
            <w:vMerge/>
            <w:tcMar>
              <w:top w:w="57" w:type="dxa"/>
              <w:left w:w="57" w:type="dxa"/>
              <w:bottom w:w="57" w:type="dxa"/>
              <w:right w:w="57" w:type="dxa"/>
            </w:tcMar>
            <w:vAlign w:val="center"/>
          </w:tcPr>
          <w:p w14:paraId="2E22DA00"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0A120D6B" w14:textId="77777777" w:rsidR="00A71942" w:rsidRPr="005E22CD" w:rsidRDefault="00A71942" w:rsidP="00E276C8">
            <w:pPr>
              <w:spacing w:after="120"/>
              <w:rPr>
                <w:noProof/>
                <w:sz w:val="22"/>
                <w:szCs w:val="22"/>
              </w:rPr>
            </w:pPr>
            <w:r w:rsidRPr="1FC5E705">
              <w:rPr>
                <w:noProof/>
                <w:sz w:val="22"/>
                <w:szCs w:val="22"/>
              </w:rPr>
              <w:t>Direct enforcement costs</w:t>
            </w:r>
          </w:p>
        </w:tc>
        <w:tc>
          <w:tcPr>
            <w:tcW w:w="0" w:type="auto"/>
            <w:tcBorders>
              <w:left w:val="double" w:sz="4" w:space="0" w:color="auto"/>
            </w:tcBorders>
            <w:tcMar>
              <w:top w:w="57" w:type="dxa"/>
              <w:left w:w="57" w:type="dxa"/>
              <w:bottom w:w="57" w:type="dxa"/>
              <w:right w:w="57" w:type="dxa"/>
            </w:tcMar>
            <w:vAlign w:val="center"/>
          </w:tcPr>
          <w:p w14:paraId="7199660F"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24ED4363"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D3F0335"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56AE4B7"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0D51FDD"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B3443E3"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63BC6960" w14:textId="77777777" w:rsidTr="1FC5E705">
        <w:tc>
          <w:tcPr>
            <w:tcW w:w="0" w:type="auto"/>
            <w:vMerge/>
            <w:tcMar>
              <w:top w:w="57" w:type="dxa"/>
              <w:left w:w="57" w:type="dxa"/>
              <w:bottom w:w="57" w:type="dxa"/>
              <w:right w:w="57" w:type="dxa"/>
            </w:tcMar>
          </w:tcPr>
          <w:p w14:paraId="348BFE48" w14:textId="77777777" w:rsidR="00A71942" w:rsidRPr="005E22CD" w:rsidRDefault="00A71942" w:rsidP="00E276C8">
            <w:pPr>
              <w:spacing w:after="120"/>
              <w:rPr>
                <w:noProof/>
                <w:sz w:val="22"/>
                <w:szCs w:val="22"/>
              </w:rPr>
            </w:pPr>
          </w:p>
        </w:tc>
        <w:tc>
          <w:tcPr>
            <w:tcW w:w="0" w:type="auto"/>
            <w:tcBorders>
              <w:bottom w:val="double" w:sz="4" w:space="0" w:color="auto"/>
              <w:right w:val="double" w:sz="4" w:space="0" w:color="auto"/>
            </w:tcBorders>
            <w:tcMar>
              <w:top w:w="57" w:type="dxa"/>
              <w:left w:w="57" w:type="dxa"/>
              <w:bottom w:w="57" w:type="dxa"/>
              <w:right w:w="57" w:type="dxa"/>
            </w:tcMar>
          </w:tcPr>
          <w:p w14:paraId="79A6EAD1" w14:textId="77777777" w:rsidR="00A71942" w:rsidRPr="005E22CD" w:rsidRDefault="00A71942" w:rsidP="00E276C8">
            <w:pPr>
              <w:spacing w:after="120"/>
              <w:rPr>
                <w:noProof/>
                <w:sz w:val="22"/>
                <w:szCs w:val="22"/>
              </w:rPr>
            </w:pPr>
            <w:r w:rsidRPr="1FC5E705">
              <w:rPr>
                <w:noProof/>
                <w:sz w:val="22"/>
                <w:szCs w:val="22"/>
              </w:rPr>
              <w:t>Indirect costs</w:t>
            </w:r>
          </w:p>
        </w:tc>
        <w:tc>
          <w:tcPr>
            <w:tcW w:w="0" w:type="auto"/>
            <w:tcBorders>
              <w:left w:val="double" w:sz="4" w:space="0" w:color="auto"/>
              <w:bottom w:val="double" w:sz="4" w:space="0" w:color="auto"/>
            </w:tcBorders>
            <w:tcMar>
              <w:top w:w="57" w:type="dxa"/>
              <w:left w:w="57" w:type="dxa"/>
              <w:bottom w:w="57" w:type="dxa"/>
              <w:right w:w="57" w:type="dxa"/>
            </w:tcMar>
            <w:vAlign w:val="center"/>
          </w:tcPr>
          <w:p w14:paraId="138B4BE4"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61EB15F6" w14:textId="77777777" w:rsidR="00A71942" w:rsidRPr="005E22CD" w:rsidRDefault="00A71942" w:rsidP="00E276C8">
            <w:pPr>
              <w:spacing w:after="120"/>
              <w:rPr>
                <w:noProof/>
                <w:sz w:val="22"/>
                <w:szCs w:val="22"/>
              </w:rPr>
            </w:pPr>
            <w:r w:rsidRPr="1FC5E705">
              <w:rPr>
                <w:noProof/>
                <w:sz w:val="22"/>
                <w:szCs w:val="22"/>
              </w:rPr>
              <w:t>Average annual household waste management fee increases in the order of 4.5%-8.8% or EUR 10-15 on annual basis, based on current experience and depending on waste prevention and collection policies applied (6.2.5.6.)</w:t>
            </w:r>
          </w:p>
        </w:tc>
        <w:tc>
          <w:tcPr>
            <w:tcW w:w="0" w:type="auto"/>
            <w:tcBorders>
              <w:bottom w:val="double" w:sz="4" w:space="0" w:color="auto"/>
            </w:tcBorders>
            <w:tcMar>
              <w:top w:w="57" w:type="dxa"/>
              <w:left w:w="57" w:type="dxa"/>
              <w:bottom w:w="57" w:type="dxa"/>
              <w:right w:w="57" w:type="dxa"/>
            </w:tcMar>
            <w:vAlign w:val="center"/>
          </w:tcPr>
          <w:p w14:paraId="12B657AF"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784E9BD4" w14:textId="77777777" w:rsidR="00A71942" w:rsidRPr="005E22CD" w:rsidRDefault="00A71942" w:rsidP="00E276C8">
            <w:pPr>
              <w:spacing w:after="120"/>
              <w:rPr>
                <w:noProof/>
                <w:sz w:val="22"/>
                <w:szCs w:val="22"/>
              </w:rPr>
            </w:pPr>
            <w:r w:rsidRPr="1FC5E705">
              <w:rPr>
                <w:noProof/>
                <w:sz w:val="22"/>
                <w:szCs w:val="22"/>
              </w:rPr>
              <w:t>Cost passthrough to competent authorities projected to add 39-66% to gate fee if fully passed through (Annex 13, Section 1.3).</w:t>
            </w:r>
          </w:p>
          <w:p w14:paraId="7ABD0A40" w14:textId="77777777" w:rsidR="00A71942" w:rsidRPr="005E22CD" w:rsidRDefault="00A71942" w:rsidP="00E276C8">
            <w:pPr>
              <w:spacing w:after="120"/>
              <w:rPr>
                <w:noProof/>
                <w:sz w:val="22"/>
                <w:szCs w:val="22"/>
              </w:rPr>
            </w:pPr>
            <w:r w:rsidRPr="1FC5E705">
              <w:rPr>
                <w:noProof/>
                <w:sz w:val="22"/>
                <w:szCs w:val="22"/>
              </w:rPr>
              <w:t>Projected to foster increase in cost-mitigating actions: waste reduction (+10%-20%) and recycling (+16%-23%). (Annex 13, Section 1.6.2.1).</w:t>
            </w:r>
          </w:p>
        </w:tc>
        <w:tc>
          <w:tcPr>
            <w:tcW w:w="0" w:type="auto"/>
            <w:tcBorders>
              <w:bottom w:val="double" w:sz="4" w:space="0" w:color="auto"/>
            </w:tcBorders>
            <w:tcMar>
              <w:top w:w="57" w:type="dxa"/>
              <w:left w:w="57" w:type="dxa"/>
              <w:bottom w:w="57" w:type="dxa"/>
              <w:right w:w="57" w:type="dxa"/>
            </w:tcMar>
            <w:vAlign w:val="center"/>
          </w:tcPr>
          <w:p w14:paraId="413F2B5E"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2F6F8134" w14:textId="77777777" w:rsidR="00A71942" w:rsidRPr="005E22CD" w:rsidRDefault="00A71942" w:rsidP="00E276C8">
            <w:pPr>
              <w:spacing w:after="120"/>
              <w:rPr>
                <w:noProof/>
                <w:sz w:val="22"/>
                <w:szCs w:val="22"/>
              </w:rPr>
            </w:pPr>
            <w:r w:rsidRPr="1FC5E705">
              <w:rPr>
                <w:noProof/>
                <w:sz w:val="22"/>
                <w:szCs w:val="22"/>
              </w:rPr>
              <w:t>N/A</w:t>
            </w:r>
          </w:p>
        </w:tc>
      </w:tr>
    </w:tbl>
    <w:p w14:paraId="4E237EA3" w14:textId="77777777" w:rsidR="00A71942" w:rsidRDefault="00A71942" w:rsidP="00E276C8">
      <w:pPr>
        <w:spacing w:line="240" w:lineRule="auto"/>
        <w:rPr>
          <w:b/>
          <w:bCs/>
          <w:noProof/>
        </w:rPr>
      </w:pPr>
      <w:r w:rsidRPr="1FC5E705">
        <w:rPr>
          <w:b/>
          <w:bCs/>
          <w:noProof/>
        </w:rPr>
        <w:t>Carbon Capture and Utilisation</w:t>
      </w:r>
    </w:p>
    <w:p w14:paraId="42BE093C" w14:textId="77777777" w:rsidR="00A71942" w:rsidRDefault="00A71942" w:rsidP="00E276C8">
      <w:pPr>
        <w:pStyle w:val="ListParagraph"/>
        <w:numPr>
          <w:ilvl w:val="0"/>
          <w:numId w:val="41"/>
        </w:numPr>
        <w:spacing w:after="120" w:line="240" w:lineRule="auto"/>
        <w:contextualSpacing/>
        <w:rPr>
          <w:noProof/>
        </w:rPr>
      </w:pPr>
      <w:r>
        <w:rPr>
          <w:noProof/>
        </w:rPr>
        <w:t>The main effect of the preferred option reduces overall costs by providing more flexibility to operators.</w:t>
      </w:r>
    </w:p>
    <w:p w14:paraId="0F750A5B" w14:textId="77777777" w:rsidR="00A71942" w:rsidRPr="009F2B84" w:rsidRDefault="00A71942" w:rsidP="00E276C8">
      <w:pPr>
        <w:pStyle w:val="ListParagraph"/>
        <w:numPr>
          <w:ilvl w:val="0"/>
          <w:numId w:val="41"/>
        </w:numPr>
        <w:spacing w:after="120" w:line="240" w:lineRule="auto"/>
        <w:contextualSpacing/>
        <w:rPr>
          <w:noProof/>
        </w:rPr>
      </w:pPr>
      <w:r>
        <w:rPr>
          <w:noProof/>
        </w:rPr>
        <w:t>The proposal is to adopt hybrid downstream and midstream accounting, enabling operators who capture their CO2 emissions to pass the carbon cost down the supply chain to the eventual emitter, thereby adding flexibility compared to the baseline (upstream accounting with no opportunity to pass non-permanent carbon capture cost down the value chain).</w:t>
      </w:r>
    </w:p>
    <w:tbl>
      <w:tblPr>
        <w:tblStyle w:val="CV11"/>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1"/>
        <w:gridCol w:w="2013"/>
        <w:gridCol w:w="806"/>
        <w:gridCol w:w="1207"/>
        <w:gridCol w:w="672"/>
        <w:gridCol w:w="6903"/>
        <w:gridCol w:w="672"/>
        <w:gridCol w:w="1080"/>
      </w:tblGrid>
      <w:tr w:rsidR="00A71942" w:rsidRPr="00F92EAE" w14:paraId="606C7288" w14:textId="77777777" w:rsidTr="1FC5E705">
        <w:tc>
          <w:tcPr>
            <w:tcW w:w="0" w:type="auto"/>
            <w:gridSpan w:val="8"/>
            <w:shd w:val="clear" w:color="auto" w:fill="BAD2FF" w:themeFill="text2" w:themeFillTint="33"/>
            <w:tcMar>
              <w:top w:w="57" w:type="dxa"/>
              <w:left w:w="57" w:type="dxa"/>
              <w:bottom w:w="57" w:type="dxa"/>
              <w:right w:w="57" w:type="dxa"/>
            </w:tcMar>
          </w:tcPr>
          <w:p w14:paraId="181B0A72" w14:textId="77777777" w:rsidR="00A71942" w:rsidRPr="005E22CD" w:rsidRDefault="00A71942" w:rsidP="00E276C8">
            <w:pPr>
              <w:spacing w:after="120"/>
              <w:rPr>
                <w:b/>
                <w:bCs/>
                <w:noProof/>
                <w:sz w:val="22"/>
                <w:szCs w:val="22"/>
              </w:rPr>
            </w:pPr>
            <w:r w:rsidRPr="1FC5E705">
              <w:rPr>
                <w:b/>
                <w:bCs/>
                <w:noProof/>
                <w:sz w:val="22"/>
                <w:szCs w:val="22"/>
              </w:rPr>
              <w:t>II. Overview of costs – Preferred option</w:t>
            </w:r>
          </w:p>
        </w:tc>
      </w:tr>
      <w:tr w:rsidR="00A71942" w:rsidRPr="00F92EAE" w14:paraId="23F1028B" w14:textId="77777777" w:rsidTr="1FC5E705">
        <w:tc>
          <w:tcPr>
            <w:tcW w:w="0" w:type="auto"/>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3B72B14F" w14:textId="77777777" w:rsidR="00A71942" w:rsidRPr="005E22CD" w:rsidRDefault="00A71942" w:rsidP="00E276C8">
            <w:pPr>
              <w:spacing w:after="120"/>
              <w:rPr>
                <w:b/>
                <w:bCs/>
                <w:noProof/>
                <w:sz w:val="22"/>
                <w:szCs w:val="22"/>
              </w:rPr>
            </w:pPr>
          </w:p>
        </w:tc>
        <w:tc>
          <w:tcPr>
            <w:tcW w:w="0" w:type="auto"/>
            <w:gridSpan w:val="2"/>
            <w:tcBorders>
              <w:left w:val="double" w:sz="4" w:space="0" w:color="auto"/>
            </w:tcBorders>
            <w:tcMar>
              <w:top w:w="57" w:type="dxa"/>
              <w:left w:w="57" w:type="dxa"/>
              <w:bottom w:w="57" w:type="dxa"/>
              <w:right w:w="57" w:type="dxa"/>
            </w:tcMar>
          </w:tcPr>
          <w:p w14:paraId="3A08FEBD" w14:textId="77777777" w:rsidR="00A71942" w:rsidRPr="005E22CD" w:rsidRDefault="00A71942" w:rsidP="00E276C8">
            <w:pPr>
              <w:spacing w:after="120"/>
              <w:jc w:val="center"/>
              <w:rPr>
                <w:b/>
                <w:bCs/>
                <w:noProof/>
                <w:sz w:val="22"/>
                <w:szCs w:val="22"/>
              </w:rPr>
            </w:pPr>
            <w:r w:rsidRPr="1FC5E705">
              <w:rPr>
                <w:b/>
                <w:bCs/>
                <w:noProof/>
                <w:sz w:val="22"/>
                <w:szCs w:val="22"/>
              </w:rPr>
              <w:t>Citizens/Consumers</w:t>
            </w:r>
          </w:p>
        </w:tc>
        <w:tc>
          <w:tcPr>
            <w:tcW w:w="0" w:type="auto"/>
            <w:gridSpan w:val="2"/>
            <w:tcMar>
              <w:top w:w="57" w:type="dxa"/>
              <w:left w:w="57" w:type="dxa"/>
              <w:bottom w:w="57" w:type="dxa"/>
              <w:right w:w="57" w:type="dxa"/>
            </w:tcMar>
          </w:tcPr>
          <w:p w14:paraId="062166BD" w14:textId="77777777" w:rsidR="00A71942" w:rsidRPr="005E22CD" w:rsidRDefault="00A71942" w:rsidP="00E276C8">
            <w:pPr>
              <w:spacing w:after="120"/>
              <w:jc w:val="center"/>
              <w:rPr>
                <w:b/>
                <w:bCs/>
                <w:noProof/>
                <w:sz w:val="22"/>
                <w:szCs w:val="22"/>
              </w:rPr>
            </w:pPr>
            <w:r w:rsidRPr="1FC5E705">
              <w:rPr>
                <w:b/>
                <w:bCs/>
                <w:noProof/>
                <w:sz w:val="22"/>
                <w:szCs w:val="22"/>
              </w:rPr>
              <w:t>Businesses</w:t>
            </w:r>
          </w:p>
        </w:tc>
        <w:tc>
          <w:tcPr>
            <w:tcW w:w="0" w:type="auto"/>
            <w:gridSpan w:val="2"/>
            <w:tcMar>
              <w:top w:w="57" w:type="dxa"/>
              <w:left w:w="57" w:type="dxa"/>
              <w:bottom w:w="57" w:type="dxa"/>
              <w:right w:w="57" w:type="dxa"/>
            </w:tcMar>
          </w:tcPr>
          <w:p w14:paraId="4A6F1E7A" w14:textId="77777777" w:rsidR="00A71942" w:rsidRPr="005E22CD" w:rsidRDefault="00A71942" w:rsidP="00E276C8">
            <w:pPr>
              <w:spacing w:after="120"/>
              <w:jc w:val="center"/>
              <w:rPr>
                <w:b/>
                <w:bCs/>
                <w:noProof/>
                <w:sz w:val="22"/>
                <w:szCs w:val="22"/>
              </w:rPr>
            </w:pPr>
            <w:r w:rsidRPr="1FC5E705">
              <w:rPr>
                <w:b/>
                <w:bCs/>
                <w:noProof/>
                <w:sz w:val="22"/>
                <w:szCs w:val="22"/>
              </w:rPr>
              <w:t>Administrations</w:t>
            </w:r>
          </w:p>
        </w:tc>
      </w:tr>
      <w:tr w:rsidR="00A71942" w:rsidRPr="00F92EAE" w14:paraId="10A01B14" w14:textId="77777777" w:rsidTr="1FC5E705">
        <w:tc>
          <w:tcPr>
            <w:tcW w:w="0" w:type="auto"/>
            <w:gridSpan w:val="2"/>
            <w:vMerge/>
            <w:tcBorders>
              <w:tl2br w:val="double" w:sz="4" w:space="0" w:color="auto"/>
            </w:tcBorders>
            <w:tcMar>
              <w:top w:w="57" w:type="dxa"/>
              <w:left w:w="57" w:type="dxa"/>
              <w:bottom w:w="57" w:type="dxa"/>
              <w:right w:w="57" w:type="dxa"/>
            </w:tcMar>
          </w:tcPr>
          <w:p w14:paraId="6FFB4843" w14:textId="77777777" w:rsidR="00A71942" w:rsidRPr="005E22CD" w:rsidRDefault="00A71942" w:rsidP="00E276C8">
            <w:pPr>
              <w:spacing w:after="120"/>
              <w:rPr>
                <w:b/>
                <w:noProof/>
                <w:sz w:val="22"/>
                <w:szCs w:val="22"/>
              </w:rPr>
            </w:pPr>
          </w:p>
        </w:tc>
        <w:tc>
          <w:tcPr>
            <w:tcW w:w="0" w:type="auto"/>
            <w:tcBorders>
              <w:left w:val="double" w:sz="4" w:space="0" w:color="auto"/>
              <w:bottom w:val="double" w:sz="4" w:space="0" w:color="auto"/>
            </w:tcBorders>
            <w:tcMar>
              <w:top w:w="57" w:type="dxa"/>
              <w:left w:w="57" w:type="dxa"/>
              <w:bottom w:w="57" w:type="dxa"/>
              <w:right w:w="57" w:type="dxa"/>
            </w:tcMar>
          </w:tcPr>
          <w:p w14:paraId="16103445"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06B1ED59"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72EB1E3C"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40F3D8C3"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c>
          <w:tcPr>
            <w:tcW w:w="0" w:type="auto"/>
            <w:tcBorders>
              <w:bottom w:val="double" w:sz="4" w:space="0" w:color="auto"/>
            </w:tcBorders>
            <w:tcMar>
              <w:top w:w="57" w:type="dxa"/>
              <w:left w:w="57" w:type="dxa"/>
              <w:bottom w:w="57" w:type="dxa"/>
              <w:right w:w="57" w:type="dxa"/>
            </w:tcMar>
          </w:tcPr>
          <w:p w14:paraId="65CF7925" w14:textId="77777777" w:rsidR="00A71942" w:rsidRPr="005E22CD" w:rsidRDefault="00A71942" w:rsidP="00E276C8">
            <w:pPr>
              <w:spacing w:after="120"/>
              <w:jc w:val="center"/>
              <w:rPr>
                <w:b/>
                <w:bCs/>
                <w:noProof/>
                <w:sz w:val="22"/>
                <w:szCs w:val="22"/>
              </w:rPr>
            </w:pPr>
            <w:r w:rsidRPr="1FC5E705">
              <w:rPr>
                <w:b/>
                <w:bCs/>
                <w:noProof/>
                <w:sz w:val="22"/>
                <w:szCs w:val="22"/>
              </w:rPr>
              <w:t>One-off</w:t>
            </w:r>
          </w:p>
        </w:tc>
        <w:tc>
          <w:tcPr>
            <w:tcW w:w="0" w:type="auto"/>
            <w:tcBorders>
              <w:bottom w:val="double" w:sz="4" w:space="0" w:color="auto"/>
            </w:tcBorders>
            <w:tcMar>
              <w:top w:w="57" w:type="dxa"/>
              <w:left w:w="57" w:type="dxa"/>
              <w:bottom w:w="57" w:type="dxa"/>
              <w:right w:w="57" w:type="dxa"/>
            </w:tcMar>
          </w:tcPr>
          <w:p w14:paraId="63676525" w14:textId="77777777" w:rsidR="00A71942" w:rsidRPr="005E22CD" w:rsidRDefault="00A71942" w:rsidP="00E276C8">
            <w:pPr>
              <w:spacing w:after="120"/>
              <w:jc w:val="center"/>
              <w:rPr>
                <w:b/>
                <w:bCs/>
                <w:noProof/>
                <w:sz w:val="22"/>
                <w:szCs w:val="22"/>
              </w:rPr>
            </w:pPr>
            <w:r w:rsidRPr="1FC5E705">
              <w:rPr>
                <w:b/>
                <w:bCs/>
                <w:noProof/>
                <w:sz w:val="22"/>
                <w:szCs w:val="22"/>
              </w:rPr>
              <w:t>Recurrent</w:t>
            </w:r>
          </w:p>
        </w:tc>
      </w:tr>
      <w:tr w:rsidR="00A71942" w:rsidRPr="00F92EAE" w14:paraId="0A27B4AB" w14:textId="77777777" w:rsidTr="1FC5E705">
        <w:trPr>
          <w:trHeight w:val="307"/>
        </w:trPr>
        <w:tc>
          <w:tcPr>
            <w:tcW w:w="0" w:type="auto"/>
            <w:vMerge w:val="restart"/>
            <w:tcMar>
              <w:top w:w="57" w:type="dxa"/>
              <w:left w:w="57" w:type="dxa"/>
              <w:bottom w:w="57" w:type="dxa"/>
              <w:right w:w="57" w:type="dxa"/>
            </w:tcMar>
            <w:vAlign w:val="center"/>
          </w:tcPr>
          <w:p w14:paraId="693B918D"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2D4BAC69" w14:textId="77777777" w:rsidR="00A71942" w:rsidRPr="005E22CD" w:rsidRDefault="00A71942" w:rsidP="00E276C8">
            <w:pPr>
              <w:spacing w:after="120"/>
              <w:rPr>
                <w:noProof/>
                <w:sz w:val="22"/>
                <w:szCs w:val="22"/>
              </w:rPr>
            </w:pPr>
            <w:r w:rsidRPr="1FC5E705">
              <w:rPr>
                <w:noProof/>
                <w:sz w:val="22"/>
                <w:szCs w:val="22"/>
              </w:rPr>
              <w:t>Direct adjustment costs</w:t>
            </w:r>
          </w:p>
        </w:tc>
        <w:tc>
          <w:tcPr>
            <w:tcW w:w="0" w:type="auto"/>
            <w:tcBorders>
              <w:left w:val="double" w:sz="4" w:space="0" w:color="auto"/>
            </w:tcBorders>
            <w:tcMar>
              <w:top w:w="57" w:type="dxa"/>
              <w:left w:w="57" w:type="dxa"/>
              <w:bottom w:w="57" w:type="dxa"/>
              <w:right w:w="57" w:type="dxa"/>
            </w:tcMar>
            <w:vAlign w:val="center"/>
          </w:tcPr>
          <w:p w14:paraId="4B21F7F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1334F18"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86E2FAC"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1627BF5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0DE33423"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053CE8C"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6586053D" w14:textId="77777777" w:rsidTr="1FC5E705">
        <w:trPr>
          <w:trHeight w:val="307"/>
        </w:trPr>
        <w:tc>
          <w:tcPr>
            <w:tcW w:w="0" w:type="auto"/>
            <w:vMerge/>
            <w:tcMar>
              <w:top w:w="57" w:type="dxa"/>
              <w:left w:w="57" w:type="dxa"/>
              <w:bottom w:w="57" w:type="dxa"/>
              <w:right w:w="57" w:type="dxa"/>
            </w:tcMar>
            <w:vAlign w:val="center"/>
          </w:tcPr>
          <w:p w14:paraId="304AB580"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3D21BDE0" w14:textId="77777777" w:rsidR="00A71942" w:rsidRPr="005E22CD" w:rsidRDefault="00A71942" w:rsidP="00E276C8">
            <w:pPr>
              <w:spacing w:after="120"/>
              <w:rPr>
                <w:noProof/>
                <w:sz w:val="22"/>
                <w:szCs w:val="22"/>
              </w:rPr>
            </w:pPr>
            <w:r w:rsidRPr="1FC5E705">
              <w:rPr>
                <w:noProof/>
                <w:sz w:val="22"/>
                <w:szCs w:val="22"/>
              </w:rPr>
              <w:t>Direct administrative costs</w:t>
            </w:r>
          </w:p>
        </w:tc>
        <w:tc>
          <w:tcPr>
            <w:tcW w:w="0" w:type="auto"/>
            <w:tcBorders>
              <w:left w:val="double" w:sz="4" w:space="0" w:color="auto"/>
            </w:tcBorders>
            <w:tcMar>
              <w:top w:w="57" w:type="dxa"/>
              <w:left w:w="57" w:type="dxa"/>
              <w:bottom w:w="57" w:type="dxa"/>
              <w:right w:w="57" w:type="dxa"/>
            </w:tcMar>
            <w:vAlign w:val="center"/>
          </w:tcPr>
          <w:p w14:paraId="527E1410"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49D493E9"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B3B3346" w14:textId="77777777" w:rsidR="00A71942" w:rsidRPr="005E22CD" w:rsidRDefault="00A71942" w:rsidP="00E276C8">
            <w:pPr>
              <w:spacing w:after="120"/>
              <w:rPr>
                <w:noProof/>
                <w:sz w:val="22"/>
                <w:szCs w:val="22"/>
              </w:rPr>
            </w:pPr>
          </w:p>
        </w:tc>
        <w:tc>
          <w:tcPr>
            <w:tcW w:w="0" w:type="auto"/>
            <w:tcMar>
              <w:top w:w="57" w:type="dxa"/>
              <w:left w:w="57" w:type="dxa"/>
              <w:bottom w:w="57" w:type="dxa"/>
              <w:right w:w="57" w:type="dxa"/>
            </w:tcMar>
            <w:vAlign w:val="center"/>
          </w:tcPr>
          <w:p w14:paraId="292AF845" w14:textId="77777777" w:rsidR="00A71942" w:rsidRPr="005E22CD" w:rsidRDefault="00A71942" w:rsidP="00E276C8">
            <w:pPr>
              <w:spacing w:after="120"/>
              <w:rPr>
                <w:noProof/>
                <w:sz w:val="22"/>
                <w:szCs w:val="22"/>
              </w:rPr>
            </w:pPr>
            <w:r w:rsidRPr="1FC5E705">
              <w:rPr>
                <w:noProof/>
                <w:sz w:val="22"/>
                <w:szCs w:val="22"/>
              </w:rPr>
              <w:t>Simplification for operators who capture CO2. Operators will be able to report CO2 as captured and transferred to another ETS installation, regardless of the subsequent purpose (6.2.2.7).</w:t>
            </w:r>
          </w:p>
        </w:tc>
        <w:tc>
          <w:tcPr>
            <w:tcW w:w="0" w:type="auto"/>
            <w:tcMar>
              <w:top w:w="57" w:type="dxa"/>
              <w:left w:w="57" w:type="dxa"/>
              <w:bottom w:w="57" w:type="dxa"/>
              <w:right w:w="57" w:type="dxa"/>
            </w:tcMar>
            <w:vAlign w:val="center"/>
          </w:tcPr>
          <w:p w14:paraId="7083420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68849D9"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3E096681" w14:textId="77777777" w:rsidTr="1FC5E705">
        <w:trPr>
          <w:trHeight w:val="307"/>
        </w:trPr>
        <w:tc>
          <w:tcPr>
            <w:tcW w:w="0" w:type="auto"/>
            <w:vMerge/>
            <w:tcMar>
              <w:top w:w="57" w:type="dxa"/>
              <w:left w:w="57" w:type="dxa"/>
              <w:bottom w:w="57" w:type="dxa"/>
              <w:right w:w="57" w:type="dxa"/>
            </w:tcMar>
            <w:vAlign w:val="center"/>
          </w:tcPr>
          <w:p w14:paraId="6183D54B"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199A79D0" w14:textId="77777777" w:rsidR="00A71942" w:rsidRPr="005E22CD" w:rsidRDefault="00A71942" w:rsidP="00E276C8">
            <w:pPr>
              <w:spacing w:after="120"/>
              <w:rPr>
                <w:noProof/>
                <w:sz w:val="22"/>
                <w:szCs w:val="22"/>
              </w:rPr>
            </w:pPr>
            <w:r w:rsidRPr="1FC5E705">
              <w:rPr>
                <w:noProof/>
                <w:sz w:val="22"/>
                <w:szCs w:val="22"/>
              </w:rPr>
              <w:t>Direct regulatory fees and charges</w:t>
            </w:r>
          </w:p>
        </w:tc>
        <w:tc>
          <w:tcPr>
            <w:tcW w:w="0" w:type="auto"/>
            <w:tcBorders>
              <w:left w:val="double" w:sz="4" w:space="0" w:color="auto"/>
            </w:tcBorders>
            <w:tcMar>
              <w:top w:w="57" w:type="dxa"/>
              <w:left w:w="57" w:type="dxa"/>
              <w:bottom w:w="57" w:type="dxa"/>
              <w:right w:w="57" w:type="dxa"/>
            </w:tcMar>
            <w:vAlign w:val="center"/>
          </w:tcPr>
          <w:p w14:paraId="563FD2B0"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98297A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51FFF8B1"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3F48C25" w14:textId="77777777" w:rsidR="00A71942" w:rsidRPr="005E22CD" w:rsidRDefault="00A71942" w:rsidP="00E276C8">
            <w:pPr>
              <w:spacing w:after="120"/>
              <w:rPr>
                <w:noProof/>
                <w:sz w:val="22"/>
                <w:szCs w:val="22"/>
              </w:rPr>
            </w:pPr>
            <w:r w:rsidRPr="1FC5E705">
              <w:rPr>
                <w:noProof/>
                <w:sz w:val="22"/>
                <w:szCs w:val="22"/>
              </w:rPr>
              <w:t>Opportunity to reduce carbon costs by replacing direct emissions with CCU.</w:t>
            </w:r>
          </w:p>
          <w:p w14:paraId="37B14C39" w14:textId="77777777" w:rsidR="00A71942" w:rsidRPr="005E22CD" w:rsidRDefault="00A71942" w:rsidP="00E276C8">
            <w:pPr>
              <w:spacing w:after="120"/>
              <w:rPr>
                <w:noProof/>
                <w:sz w:val="22"/>
                <w:szCs w:val="22"/>
              </w:rPr>
            </w:pPr>
          </w:p>
          <w:p w14:paraId="27C5E5F3" w14:textId="77777777" w:rsidR="00A71942" w:rsidRPr="005E22CD" w:rsidRDefault="00A71942" w:rsidP="00E276C8">
            <w:pPr>
              <w:spacing w:after="120"/>
              <w:rPr>
                <w:noProof/>
                <w:sz w:val="22"/>
                <w:szCs w:val="22"/>
              </w:rPr>
            </w:pPr>
            <w:r w:rsidRPr="1FC5E705">
              <w:rPr>
                <w:noProof/>
                <w:sz w:val="22"/>
                <w:szCs w:val="22"/>
              </w:rPr>
              <w:t>Increase in compliance costs for e-fuel producers, who become responsible for fossil CO2 used in their production (6.2.1.8).</w:t>
            </w:r>
          </w:p>
        </w:tc>
        <w:tc>
          <w:tcPr>
            <w:tcW w:w="0" w:type="auto"/>
            <w:tcMar>
              <w:top w:w="57" w:type="dxa"/>
              <w:left w:w="57" w:type="dxa"/>
              <w:bottom w:w="57" w:type="dxa"/>
              <w:right w:w="57" w:type="dxa"/>
            </w:tcMar>
            <w:vAlign w:val="center"/>
          </w:tcPr>
          <w:p w14:paraId="6E135A70"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7817F9B"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78293148" w14:textId="77777777" w:rsidTr="1FC5E705">
        <w:trPr>
          <w:trHeight w:val="307"/>
        </w:trPr>
        <w:tc>
          <w:tcPr>
            <w:tcW w:w="0" w:type="auto"/>
            <w:vMerge/>
            <w:tcMar>
              <w:top w:w="57" w:type="dxa"/>
              <w:left w:w="57" w:type="dxa"/>
              <w:bottom w:w="57" w:type="dxa"/>
              <w:right w:w="57" w:type="dxa"/>
            </w:tcMar>
            <w:vAlign w:val="center"/>
          </w:tcPr>
          <w:p w14:paraId="09AE2CD2" w14:textId="77777777" w:rsidR="00A71942" w:rsidRPr="005E22CD" w:rsidRDefault="00A71942" w:rsidP="00E276C8">
            <w:pPr>
              <w:spacing w:after="120"/>
              <w:rPr>
                <w:noProof/>
                <w:sz w:val="22"/>
                <w:szCs w:val="22"/>
              </w:rPr>
            </w:pPr>
          </w:p>
        </w:tc>
        <w:tc>
          <w:tcPr>
            <w:tcW w:w="0" w:type="auto"/>
            <w:tcBorders>
              <w:right w:val="double" w:sz="4" w:space="0" w:color="auto"/>
            </w:tcBorders>
            <w:tcMar>
              <w:top w:w="57" w:type="dxa"/>
              <w:left w:w="57" w:type="dxa"/>
              <w:bottom w:w="57" w:type="dxa"/>
              <w:right w:w="57" w:type="dxa"/>
            </w:tcMar>
            <w:vAlign w:val="center"/>
          </w:tcPr>
          <w:p w14:paraId="79FA327A" w14:textId="77777777" w:rsidR="00A71942" w:rsidRPr="005E22CD" w:rsidRDefault="00A71942" w:rsidP="00E276C8">
            <w:pPr>
              <w:spacing w:after="120"/>
              <w:rPr>
                <w:noProof/>
                <w:sz w:val="22"/>
                <w:szCs w:val="22"/>
              </w:rPr>
            </w:pPr>
            <w:r w:rsidRPr="1FC5E705">
              <w:rPr>
                <w:noProof/>
                <w:sz w:val="22"/>
                <w:szCs w:val="22"/>
              </w:rPr>
              <w:t>Direct enforcement costs</w:t>
            </w:r>
          </w:p>
        </w:tc>
        <w:tc>
          <w:tcPr>
            <w:tcW w:w="0" w:type="auto"/>
            <w:tcBorders>
              <w:left w:val="double" w:sz="4" w:space="0" w:color="auto"/>
            </w:tcBorders>
            <w:tcMar>
              <w:top w:w="57" w:type="dxa"/>
              <w:left w:w="57" w:type="dxa"/>
              <w:bottom w:w="57" w:type="dxa"/>
              <w:right w:w="57" w:type="dxa"/>
            </w:tcMar>
            <w:vAlign w:val="center"/>
          </w:tcPr>
          <w:p w14:paraId="0E6F6962"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632AA034"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550CF4B"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82D595F"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3ECA655B" w14:textId="77777777" w:rsidR="00A71942" w:rsidRPr="005E22CD" w:rsidRDefault="00A71942" w:rsidP="00E276C8">
            <w:pPr>
              <w:spacing w:after="120"/>
              <w:rPr>
                <w:noProof/>
                <w:sz w:val="22"/>
                <w:szCs w:val="22"/>
              </w:rPr>
            </w:pPr>
            <w:r w:rsidRPr="1FC5E705">
              <w:rPr>
                <w:noProof/>
                <w:sz w:val="22"/>
                <w:szCs w:val="22"/>
              </w:rPr>
              <w:t>N/A</w:t>
            </w:r>
          </w:p>
        </w:tc>
        <w:tc>
          <w:tcPr>
            <w:tcW w:w="0" w:type="auto"/>
            <w:tcMar>
              <w:top w:w="57" w:type="dxa"/>
              <w:left w:w="57" w:type="dxa"/>
              <w:bottom w:w="57" w:type="dxa"/>
              <w:right w:w="57" w:type="dxa"/>
            </w:tcMar>
            <w:vAlign w:val="center"/>
          </w:tcPr>
          <w:p w14:paraId="759F37B6" w14:textId="77777777" w:rsidR="00A71942" w:rsidRPr="005E22CD" w:rsidRDefault="00A71942" w:rsidP="00E276C8">
            <w:pPr>
              <w:spacing w:after="120"/>
              <w:rPr>
                <w:noProof/>
                <w:sz w:val="22"/>
                <w:szCs w:val="22"/>
              </w:rPr>
            </w:pPr>
            <w:r w:rsidRPr="1FC5E705">
              <w:rPr>
                <w:noProof/>
                <w:sz w:val="22"/>
                <w:szCs w:val="22"/>
              </w:rPr>
              <w:t>N/A</w:t>
            </w:r>
          </w:p>
        </w:tc>
      </w:tr>
      <w:tr w:rsidR="00A71942" w:rsidRPr="00F92EAE" w14:paraId="50C18EB2" w14:textId="77777777" w:rsidTr="1FC5E705">
        <w:tc>
          <w:tcPr>
            <w:tcW w:w="0" w:type="auto"/>
            <w:vMerge/>
            <w:tcMar>
              <w:top w:w="57" w:type="dxa"/>
              <w:left w:w="57" w:type="dxa"/>
              <w:bottom w:w="57" w:type="dxa"/>
              <w:right w:w="57" w:type="dxa"/>
            </w:tcMar>
          </w:tcPr>
          <w:p w14:paraId="5F549436" w14:textId="77777777" w:rsidR="00A71942" w:rsidRPr="005E22CD" w:rsidRDefault="00A71942" w:rsidP="00E276C8">
            <w:pPr>
              <w:spacing w:after="120"/>
              <w:rPr>
                <w:noProof/>
                <w:sz w:val="22"/>
                <w:szCs w:val="22"/>
              </w:rPr>
            </w:pPr>
          </w:p>
        </w:tc>
        <w:tc>
          <w:tcPr>
            <w:tcW w:w="0" w:type="auto"/>
            <w:tcBorders>
              <w:bottom w:val="double" w:sz="4" w:space="0" w:color="auto"/>
              <w:right w:val="double" w:sz="4" w:space="0" w:color="auto"/>
            </w:tcBorders>
            <w:tcMar>
              <w:top w:w="57" w:type="dxa"/>
              <w:left w:w="57" w:type="dxa"/>
              <w:bottom w:w="57" w:type="dxa"/>
              <w:right w:w="57" w:type="dxa"/>
            </w:tcMar>
          </w:tcPr>
          <w:p w14:paraId="4AC6BB9A" w14:textId="77777777" w:rsidR="00A71942" w:rsidRPr="005E22CD" w:rsidRDefault="00A71942" w:rsidP="00E276C8">
            <w:pPr>
              <w:spacing w:after="120"/>
              <w:rPr>
                <w:noProof/>
                <w:sz w:val="22"/>
                <w:szCs w:val="22"/>
              </w:rPr>
            </w:pPr>
            <w:r w:rsidRPr="1FC5E705">
              <w:rPr>
                <w:noProof/>
                <w:sz w:val="22"/>
                <w:szCs w:val="22"/>
              </w:rPr>
              <w:t>Indirect costs</w:t>
            </w:r>
          </w:p>
        </w:tc>
        <w:tc>
          <w:tcPr>
            <w:tcW w:w="0" w:type="auto"/>
            <w:tcBorders>
              <w:left w:val="double" w:sz="4" w:space="0" w:color="auto"/>
              <w:bottom w:val="double" w:sz="4" w:space="0" w:color="auto"/>
            </w:tcBorders>
            <w:tcMar>
              <w:top w:w="57" w:type="dxa"/>
              <w:left w:w="57" w:type="dxa"/>
              <w:bottom w:w="57" w:type="dxa"/>
              <w:right w:w="57" w:type="dxa"/>
            </w:tcMar>
            <w:vAlign w:val="center"/>
          </w:tcPr>
          <w:p w14:paraId="4517D092"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3DA951C6"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23B2DF84"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2035827A"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3FDB4CA6" w14:textId="77777777" w:rsidR="00A71942" w:rsidRPr="005E22CD" w:rsidRDefault="00A71942" w:rsidP="00E276C8">
            <w:pPr>
              <w:spacing w:after="120"/>
              <w:rPr>
                <w:noProof/>
                <w:sz w:val="22"/>
                <w:szCs w:val="22"/>
              </w:rPr>
            </w:pPr>
            <w:r w:rsidRPr="1FC5E705">
              <w:rPr>
                <w:noProof/>
                <w:sz w:val="22"/>
                <w:szCs w:val="22"/>
              </w:rPr>
              <w:t>N/A</w:t>
            </w:r>
          </w:p>
        </w:tc>
        <w:tc>
          <w:tcPr>
            <w:tcW w:w="0" w:type="auto"/>
            <w:tcBorders>
              <w:bottom w:val="double" w:sz="4" w:space="0" w:color="auto"/>
            </w:tcBorders>
            <w:tcMar>
              <w:top w:w="57" w:type="dxa"/>
              <w:left w:w="57" w:type="dxa"/>
              <w:bottom w:w="57" w:type="dxa"/>
              <w:right w:w="57" w:type="dxa"/>
            </w:tcMar>
            <w:vAlign w:val="center"/>
          </w:tcPr>
          <w:p w14:paraId="5B185D56" w14:textId="77777777" w:rsidR="00A71942" w:rsidRPr="005E22CD" w:rsidRDefault="00A71942" w:rsidP="00E276C8">
            <w:pPr>
              <w:spacing w:after="120"/>
              <w:rPr>
                <w:noProof/>
                <w:sz w:val="22"/>
                <w:szCs w:val="22"/>
              </w:rPr>
            </w:pPr>
            <w:r w:rsidRPr="1FC5E705">
              <w:rPr>
                <w:noProof/>
                <w:sz w:val="22"/>
                <w:szCs w:val="22"/>
              </w:rPr>
              <w:t>N/A</w:t>
            </w:r>
          </w:p>
        </w:tc>
      </w:tr>
    </w:tbl>
    <w:p w14:paraId="2C8C366E" w14:textId="77777777" w:rsidR="00A71942" w:rsidRDefault="00A71942" w:rsidP="00E276C8">
      <w:pPr>
        <w:spacing w:line="240" w:lineRule="auto"/>
        <w:rPr>
          <w:b/>
          <w:bCs/>
          <w:noProof/>
        </w:rPr>
      </w:pPr>
    </w:p>
    <w:p w14:paraId="1A10E5CA" w14:textId="77777777" w:rsidR="00A71942" w:rsidRDefault="00A71942" w:rsidP="00E276C8">
      <w:pPr>
        <w:spacing w:line="240" w:lineRule="auto"/>
        <w:rPr>
          <w:noProof/>
        </w:rPr>
        <w:sectPr w:rsidR="00A71942" w:rsidSect="00A71942">
          <w:headerReference w:type="default" r:id="rId27"/>
          <w:footerReference w:type="default" r:id="rId28"/>
          <w:pgSz w:w="15840" w:h="12240" w:orient="landscape"/>
          <w:pgMar w:top="1440" w:right="1378" w:bottom="1276" w:left="958" w:header="0" w:footer="765" w:gutter="0"/>
          <w:cols w:space="720"/>
        </w:sectPr>
      </w:pPr>
    </w:p>
    <w:p w14:paraId="154C4955" w14:textId="77777777" w:rsidR="00A71942" w:rsidRDefault="00A71942" w:rsidP="00E276C8">
      <w:pPr>
        <w:pStyle w:val="Heading2COM"/>
        <w:spacing w:before="120" w:after="120" w:line="240" w:lineRule="auto"/>
        <w:outlineLvl w:val="2"/>
        <w15:collapsed w:val="0"/>
        <w:rPr>
          <w:noProof/>
        </w:rPr>
      </w:pPr>
      <w:bookmarkStart w:id="217" w:name="_Toc232611470"/>
      <w:bookmarkStart w:id="218" w:name="_Toc232758151"/>
      <w:r>
        <w:rPr>
          <w:noProof/>
        </w:rPr>
        <w:t>Application of the “one in, one out” approach – Preferred option</w:t>
      </w:r>
      <w:bookmarkEnd w:id="217"/>
      <w:bookmarkEnd w:id="218"/>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4005"/>
        <w:gridCol w:w="4037"/>
        <w:gridCol w:w="4241"/>
      </w:tblGrid>
      <w:tr w:rsidR="00A71942" w:rsidRPr="00F23865" w14:paraId="3C3290B0" w14:textId="77777777" w:rsidTr="1D855440">
        <w:tc>
          <w:tcPr>
            <w:tcW w:w="5000" w:type="pct"/>
            <w:gridSpan w:val="4"/>
            <w:shd w:val="clear" w:color="auto" w:fill="A8C7FF"/>
            <w:vAlign w:val="center"/>
          </w:tcPr>
          <w:p w14:paraId="2AA5F847"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sz w:val="22"/>
                <w:szCs w:val="22"/>
              </w:rPr>
              <w:t>III. Application of the ‘one in, one out’ approach – Preferred option</w:t>
            </w:r>
          </w:p>
        </w:tc>
      </w:tr>
      <w:tr w:rsidR="00A71942" w:rsidRPr="00F23865" w14:paraId="55D9B423" w14:textId="77777777" w:rsidTr="1D855440">
        <w:tc>
          <w:tcPr>
            <w:tcW w:w="847" w:type="pct"/>
            <w:shd w:val="clear" w:color="auto" w:fill="A8C7FF"/>
          </w:tcPr>
          <w:p w14:paraId="7AE5820E"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Type of burden</w:t>
            </w:r>
          </w:p>
        </w:tc>
        <w:tc>
          <w:tcPr>
            <w:tcW w:w="1354" w:type="pct"/>
            <w:shd w:val="clear" w:color="auto" w:fill="A8C7FF"/>
          </w:tcPr>
          <w:p w14:paraId="51BB5649" w14:textId="77777777" w:rsidR="00A71942" w:rsidRPr="00F23865" w:rsidRDefault="00A71942" w:rsidP="00E276C8">
            <w:pPr>
              <w:spacing w:after="120"/>
              <w:rPr>
                <w:b/>
                <w:bCs/>
                <w:noProof/>
                <w:sz w:val="22"/>
                <w:szCs w:val="22"/>
              </w:rPr>
            </w:pPr>
            <w:r w:rsidRPr="1FC5E705">
              <w:rPr>
                <w:b/>
                <w:bCs/>
                <w:noProof/>
                <w:sz w:val="22"/>
                <w:szCs w:val="22"/>
              </w:rPr>
              <w:t xml:space="preserve">One off </w:t>
            </w:r>
          </w:p>
          <w:p w14:paraId="1AEA0A76"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(annualised total net present value over the relevant period)</w:t>
            </w:r>
          </w:p>
        </w:tc>
        <w:tc>
          <w:tcPr>
            <w:tcW w:w="1365" w:type="pct"/>
            <w:shd w:val="clear" w:color="auto" w:fill="A8C7FF"/>
          </w:tcPr>
          <w:p w14:paraId="1F9FFF7A" w14:textId="77777777" w:rsidR="00A71942" w:rsidRPr="00F23865" w:rsidRDefault="00A71942" w:rsidP="00E276C8">
            <w:pPr>
              <w:spacing w:after="120"/>
              <w:rPr>
                <w:b/>
                <w:bCs/>
                <w:noProof/>
                <w:sz w:val="22"/>
                <w:szCs w:val="22"/>
              </w:rPr>
            </w:pPr>
            <w:r w:rsidRPr="1FC5E705">
              <w:rPr>
                <w:b/>
                <w:bCs/>
                <w:noProof/>
                <w:sz w:val="22"/>
                <w:szCs w:val="22"/>
              </w:rPr>
              <w:t xml:space="preserve">Recurrent </w:t>
            </w:r>
          </w:p>
          <w:p w14:paraId="58189E0C"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(nominal values)</w:t>
            </w:r>
          </w:p>
        </w:tc>
        <w:tc>
          <w:tcPr>
            <w:tcW w:w="1435" w:type="pct"/>
            <w:shd w:val="clear" w:color="auto" w:fill="A8C7FF"/>
          </w:tcPr>
          <w:p w14:paraId="43740B13"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Comments</w:t>
            </w:r>
          </w:p>
        </w:tc>
      </w:tr>
      <w:tr w:rsidR="00A71942" w:rsidRPr="00F23865" w14:paraId="11899D8F" w14:textId="77777777" w:rsidTr="1D855440">
        <w:tc>
          <w:tcPr>
            <w:tcW w:w="5000" w:type="pct"/>
            <w:gridSpan w:val="4"/>
          </w:tcPr>
          <w:p w14:paraId="1BE0938F"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i/>
                <w:iCs/>
                <w:noProof/>
                <w:color w:val="auto"/>
                <w:sz w:val="22"/>
                <w:szCs w:val="22"/>
              </w:rPr>
              <w:t>Businesses</w:t>
            </w:r>
          </w:p>
        </w:tc>
      </w:tr>
      <w:tr w:rsidR="00A71942" w:rsidRPr="00F23865" w14:paraId="1D38CD8B" w14:textId="77777777" w:rsidTr="1D855440">
        <w:tc>
          <w:tcPr>
            <w:tcW w:w="847" w:type="pct"/>
          </w:tcPr>
          <w:p w14:paraId="676E2ACC"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New administrative burdens (INs)</w:t>
            </w:r>
          </w:p>
        </w:tc>
        <w:tc>
          <w:tcPr>
            <w:tcW w:w="1354" w:type="pct"/>
          </w:tcPr>
          <w:p w14:paraId="086CC8A0" w14:textId="77777777" w:rsidR="00A71942" w:rsidRPr="00F23865" w:rsidRDefault="00A71942" w:rsidP="00E276C8">
            <w:pPr>
              <w:spacing w:after="120"/>
              <w:rPr>
                <w:noProof/>
                <w:sz w:val="22"/>
                <w:szCs w:val="22"/>
              </w:rPr>
            </w:pPr>
            <w:r w:rsidRPr="1FC5E705">
              <w:rPr>
                <w:noProof/>
                <w:sz w:val="22"/>
                <w:szCs w:val="22"/>
              </w:rPr>
              <w:t xml:space="preserve">Moderate. </w:t>
            </w:r>
          </w:p>
          <w:p w14:paraId="505966E9" w14:textId="77777777" w:rsidR="00A71942" w:rsidRPr="00F23865" w:rsidRDefault="00A71942" w:rsidP="00E276C8">
            <w:pPr>
              <w:spacing w:after="120"/>
              <w:rPr>
                <w:noProof/>
                <w:sz w:val="22"/>
                <w:szCs w:val="22"/>
              </w:rPr>
            </w:pPr>
            <w:r w:rsidRPr="1FC5E705">
              <w:rPr>
                <w:noProof/>
                <w:sz w:val="22"/>
                <w:szCs w:val="22"/>
              </w:rPr>
              <w:t>Includes:</w:t>
            </w:r>
          </w:p>
          <w:p w14:paraId="10CDC8BF" w14:textId="77777777" w:rsidR="00A71942" w:rsidRPr="00F23865" w:rsidRDefault="00A71942" w:rsidP="00E276C8">
            <w:pPr>
              <w:spacing w:after="120"/>
              <w:rPr>
                <w:noProof/>
                <w:sz w:val="22"/>
                <w:szCs w:val="22"/>
              </w:rPr>
            </w:pPr>
          </w:p>
          <w:p w14:paraId="419B0188" w14:textId="033C86C5" w:rsidR="00A71942" w:rsidRPr="00F23865" w:rsidRDefault="00A71942" w:rsidP="00E276C8">
            <w:pPr>
              <w:spacing w:after="120"/>
              <w:rPr>
                <w:noProof/>
                <w:sz w:val="22"/>
                <w:szCs w:val="22"/>
              </w:rPr>
            </w:pPr>
            <w:r w:rsidRPr="1FC5E705">
              <w:rPr>
                <w:noProof/>
                <w:sz w:val="22"/>
                <w:szCs w:val="22"/>
              </w:rPr>
              <w:t>EUR 8m EU-wide associated with free allocation conditionality. (Annex 12, Section 1.4.2.2</w:t>
            </w:r>
            <w:r>
              <w:rPr>
                <w:noProof/>
                <w:sz w:val="22"/>
                <w:szCs w:val="22"/>
              </w:rPr>
              <w:t>.1</w:t>
            </w:r>
            <w:r w:rsidRPr="1FC5E705">
              <w:rPr>
                <w:noProof/>
                <w:sz w:val="22"/>
                <w:szCs w:val="22"/>
              </w:rPr>
              <w:t>)</w:t>
            </w:r>
          </w:p>
          <w:p w14:paraId="72969672" w14:textId="77777777" w:rsidR="00A71942" w:rsidRPr="00F23865" w:rsidRDefault="00A71942" w:rsidP="00E276C8">
            <w:pPr>
              <w:spacing w:after="120"/>
              <w:rPr>
                <w:noProof/>
                <w:sz w:val="22"/>
                <w:szCs w:val="22"/>
              </w:rPr>
            </w:pPr>
          </w:p>
          <w:p w14:paraId="16167DAA" w14:textId="07C4D14E" w:rsidR="00A71942" w:rsidRPr="00F23865" w:rsidRDefault="00A71942" w:rsidP="00E276C8">
            <w:pPr>
              <w:pStyle w:val="BodyText"/>
              <w:spacing w:after="120"/>
              <w:jc w:val="left"/>
              <w:rPr>
                <w:rFonts w:cs="Times New Roman"/>
                <w:noProof/>
                <w:color w:val="auto"/>
                <w:sz w:val="22"/>
                <w:szCs w:val="22"/>
                <w:highlight w:val="yellow"/>
              </w:rPr>
            </w:pPr>
            <w:r w:rsidRPr="1FC5E705">
              <w:rPr>
                <w:rFonts w:cs="Times New Roman"/>
                <w:noProof/>
                <w:color w:val="auto"/>
                <w:sz w:val="22"/>
                <w:szCs w:val="22"/>
              </w:rPr>
              <w:t>Waste incineration facility. (Annex 13, Section 1.</w:t>
            </w:r>
            <w:r w:rsidR="00642160">
              <w:rPr>
                <w:rFonts w:cs="Times New Roman"/>
                <w:noProof/>
                <w:color w:val="auto"/>
                <w:sz w:val="22"/>
                <w:szCs w:val="22"/>
              </w:rPr>
              <w:t>7</w:t>
            </w:r>
            <w:r w:rsidRPr="1FC5E705">
              <w:rPr>
                <w:rFonts w:cs="Times New Roman"/>
                <w:noProof/>
                <w:color w:val="auto"/>
                <w:sz w:val="22"/>
                <w:szCs w:val="22"/>
              </w:rPr>
              <w:t>.2)</w:t>
            </w:r>
          </w:p>
          <w:p w14:paraId="77DFAC1C" w14:textId="77777777" w:rsidR="00A71942" w:rsidRPr="00F23865" w:rsidRDefault="00A71942" w:rsidP="00E276C8">
            <w:pPr>
              <w:pStyle w:val="BodyText"/>
              <w:spacing w:after="120"/>
              <w:jc w:val="left"/>
              <w:rPr>
                <w:rFonts w:cs="Times New Roman"/>
                <w:noProof/>
                <w:color w:val="auto"/>
                <w:sz w:val="22"/>
                <w:szCs w:val="22"/>
              </w:rPr>
            </w:pPr>
          </w:p>
          <w:p w14:paraId="5ADAA7B4" w14:textId="77777777" w:rsidR="00A71942" w:rsidRPr="00F23865" w:rsidRDefault="00A71942" w:rsidP="00E276C8">
            <w:pPr>
              <w:pStyle w:val="BodyText"/>
              <w:spacing w:after="120"/>
              <w:jc w:val="left"/>
              <w:rPr>
                <w:rFonts w:cs="Times New Roman"/>
                <w:noProof/>
                <w:color w:val="auto"/>
                <w:sz w:val="22"/>
                <w:szCs w:val="22"/>
              </w:rPr>
            </w:pPr>
            <w:r w:rsidRPr="1FC5E705">
              <w:rPr>
                <w:rFonts w:cs="Times New Roman"/>
                <w:noProof/>
                <w:color w:val="auto"/>
                <w:sz w:val="22"/>
                <w:szCs w:val="22"/>
              </w:rPr>
              <w:t xml:space="preserve">Maritime: ETS extension to smaller vessels </w:t>
            </w:r>
          </w:p>
        </w:tc>
        <w:tc>
          <w:tcPr>
            <w:tcW w:w="1365" w:type="pct"/>
          </w:tcPr>
          <w:p w14:paraId="11609636" w14:textId="77777777" w:rsidR="00A71942" w:rsidRPr="00F23865" w:rsidRDefault="00A71942" w:rsidP="00E276C8">
            <w:pPr>
              <w:spacing w:after="120"/>
              <w:rPr>
                <w:noProof/>
                <w:sz w:val="22"/>
                <w:szCs w:val="22"/>
              </w:rPr>
            </w:pPr>
            <w:r w:rsidRPr="1FC5E705">
              <w:rPr>
                <w:noProof/>
                <w:sz w:val="22"/>
                <w:szCs w:val="22"/>
              </w:rPr>
              <w:t>Includes:</w:t>
            </w:r>
          </w:p>
          <w:p w14:paraId="416F45B9" w14:textId="77777777" w:rsidR="00A71942" w:rsidRPr="00F23865" w:rsidRDefault="00A71942" w:rsidP="00E276C8">
            <w:pPr>
              <w:spacing w:after="120"/>
              <w:rPr>
                <w:noProof/>
                <w:sz w:val="22"/>
                <w:szCs w:val="22"/>
              </w:rPr>
            </w:pPr>
          </w:p>
          <w:p w14:paraId="64D29535" w14:textId="21AAF1BC" w:rsidR="00A91C50" w:rsidRDefault="00A91C50" w:rsidP="00E276C8">
            <w:pPr>
              <w:pStyle w:val="BodyText"/>
              <w:spacing w:after="120"/>
              <w:jc w:val="left"/>
              <w:rPr>
                <w:rFonts w:cs="Times New Roman"/>
                <w:noProof/>
                <w:color w:val="auto"/>
                <w:sz w:val="22"/>
                <w:szCs w:val="22"/>
              </w:rPr>
            </w:pPr>
          </w:p>
          <w:p w14:paraId="37695D4E" w14:textId="3C5E2247" w:rsidR="00A71942" w:rsidRPr="00F23865" w:rsidRDefault="00A71942" w:rsidP="00E276C8">
            <w:pPr>
              <w:pStyle w:val="BodyText"/>
              <w:spacing w:after="120"/>
              <w:jc w:val="left"/>
              <w:rPr>
                <w:rFonts w:cs="Times New Roman"/>
                <w:noProof/>
                <w:color w:val="auto"/>
                <w:sz w:val="22"/>
                <w:szCs w:val="22"/>
                <w:highlight w:val="yellow"/>
              </w:rPr>
            </w:pPr>
            <w:r w:rsidRPr="1FC5E705">
              <w:rPr>
                <w:rFonts w:cs="Times New Roman"/>
                <w:noProof/>
                <w:color w:val="auto"/>
                <w:sz w:val="22"/>
                <w:szCs w:val="22"/>
              </w:rPr>
              <w:t>Maritime: ETS extension to smaller vessels</w:t>
            </w:r>
            <w:r>
              <w:rPr>
                <w:rFonts w:cs="Times New Roman"/>
                <w:noProof/>
                <w:color w:val="auto"/>
                <w:sz w:val="22"/>
                <w:szCs w:val="22"/>
              </w:rPr>
              <w:t>. Estimated at EUR 15m total cost</w:t>
            </w:r>
            <w:r w:rsidRPr="1FC5E705">
              <w:rPr>
                <w:rFonts w:cs="Times New Roman"/>
                <w:noProof/>
                <w:color w:val="auto"/>
                <w:sz w:val="22"/>
                <w:szCs w:val="22"/>
              </w:rPr>
              <w:t xml:space="preserve"> (6.2.</w:t>
            </w:r>
            <w:r>
              <w:rPr>
                <w:rFonts w:cs="Times New Roman"/>
                <w:noProof/>
                <w:color w:val="auto"/>
                <w:sz w:val="22"/>
                <w:szCs w:val="22"/>
              </w:rPr>
              <w:t>2.4</w:t>
            </w:r>
            <w:r w:rsidRPr="1FC5E705">
              <w:rPr>
                <w:rFonts w:cs="Times New Roman"/>
                <w:noProof/>
                <w:color w:val="auto"/>
                <w:sz w:val="22"/>
                <w:szCs w:val="22"/>
              </w:rPr>
              <w:t>)</w:t>
            </w:r>
          </w:p>
        </w:tc>
        <w:tc>
          <w:tcPr>
            <w:tcW w:w="1435" w:type="pct"/>
          </w:tcPr>
          <w:p w14:paraId="602D4E87" w14:textId="77777777" w:rsidR="00A71942" w:rsidRPr="00F23865" w:rsidRDefault="00A71942" w:rsidP="00E276C8">
            <w:pPr>
              <w:spacing w:after="120"/>
              <w:jc w:val="left"/>
              <w:rPr>
                <w:noProof/>
                <w:sz w:val="22"/>
                <w:szCs w:val="22"/>
              </w:rPr>
            </w:pPr>
            <w:r w:rsidRPr="1FC5E705">
              <w:rPr>
                <w:noProof/>
                <w:sz w:val="22"/>
                <w:szCs w:val="22"/>
              </w:rPr>
              <w:t>Administrative effort associated with use of measures that are optional for operators:</w:t>
            </w:r>
          </w:p>
          <w:p w14:paraId="452A7F0A" w14:textId="77777777" w:rsidR="00A71942" w:rsidRPr="00F23865" w:rsidRDefault="00A71942" w:rsidP="00E276C8">
            <w:pPr>
              <w:pStyle w:val="ListParagraph"/>
              <w:numPr>
                <w:ilvl w:val="0"/>
                <w:numId w:val="39"/>
              </w:numPr>
              <w:spacing w:after="120"/>
              <w:ind w:left="314"/>
              <w:jc w:val="left"/>
              <w:rPr>
                <w:b/>
                <w:bCs/>
                <w:noProof/>
                <w:sz w:val="22"/>
                <w:szCs w:val="22"/>
              </w:rPr>
            </w:pPr>
            <w:r w:rsidRPr="1FC5E705">
              <w:rPr>
                <w:noProof/>
                <w:sz w:val="22"/>
                <w:szCs w:val="22"/>
              </w:rPr>
              <w:t>New MRV requirements for CCU operators;</w:t>
            </w:r>
          </w:p>
          <w:p w14:paraId="0A586EFD" w14:textId="77777777" w:rsidR="00A71942" w:rsidRPr="00F23865" w:rsidRDefault="00A71942" w:rsidP="00E276C8">
            <w:pPr>
              <w:pStyle w:val="ListParagraph"/>
              <w:numPr>
                <w:ilvl w:val="0"/>
                <w:numId w:val="39"/>
              </w:numPr>
              <w:spacing w:after="120"/>
              <w:ind w:left="314"/>
              <w:rPr>
                <w:b/>
                <w:bCs/>
                <w:noProof/>
                <w:sz w:val="22"/>
                <w:szCs w:val="22"/>
              </w:rPr>
            </w:pPr>
            <w:r w:rsidRPr="1FC5E705">
              <w:rPr>
                <w:noProof/>
                <w:sz w:val="22"/>
                <w:szCs w:val="22"/>
              </w:rPr>
              <w:t>Reporting for removals certification</w:t>
            </w:r>
          </w:p>
          <w:p w14:paraId="7DA696E7" w14:textId="77777777" w:rsidR="00A71942" w:rsidRPr="00F23865" w:rsidRDefault="00A71942" w:rsidP="00E276C8">
            <w:pPr>
              <w:spacing w:after="120"/>
              <w:ind w:left="-46"/>
              <w:rPr>
                <w:b/>
                <w:bCs/>
                <w:noProof/>
                <w:sz w:val="22"/>
                <w:szCs w:val="22"/>
              </w:rPr>
            </w:pPr>
          </w:p>
          <w:p w14:paraId="7AF8288E" w14:textId="77777777" w:rsidR="00A71942" w:rsidRPr="00F23865" w:rsidRDefault="00A71942" w:rsidP="00E276C8">
            <w:pPr>
              <w:pStyle w:val="BodyText"/>
              <w:spacing w:after="120"/>
              <w:rPr>
                <w:rFonts w:cs="Times New Roman"/>
                <w:noProof/>
                <w:color w:val="auto"/>
                <w:sz w:val="22"/>
                <w:szCs w:val="22"/>
                <w:highlight w:val="yellow"/>
              </w:rPr>
            </w:pPr>
          </w:p>
        </w:tc>
      </w:tr>
      <w:tr w:rsidR="00A71942" w:rsidRPr="00F23865" w14:paraId="617EA186" w14:textId="77777777" w:rsidTr="1D855440">
        <w:tc>
          <w:tcPr>
            <w:tcW w:w="847" w:type="pct"/>
          </w:tcPr>
          <w:p w14:paraId="27320E03"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Removed administrative burdens (OUTs)</w:t>
            </w:r>
          </w:p>
        </w:tc>
        <w:tc>
          <w:tcPr>
            <w:tcW w:w="1354" w:type="pct"/>
          </w:tcPr>
          <w:p w14:paraId="46504BA0" w14:textId="3C6E1670" w:rsidR="00A71942" w:rsidRPr="00F23865" w:rsidRDefault="00A71942" w:rsidP="00E276C8">
            <w:pPr>
              <w:pStyle w:val="BodyText"/>
              <w:spacing w:after="120"/>
              <w:rPr>
                <w:rFonts w:cs="Times New Roman"/>
                <w:noProof/>
                <w:color w:val="auto"/>
                <w:sz w:val="22"/>
                <w:szCs w:val="22"/>
              </w:rPr>
            </w:pPr>
            <w:r w:rsidRPr="1D855440">
              <w:rPr>
                <w:rFonts w:cs="Times New Roman"/>
                <w:noProof/>
                <w:color w:val="auto"/>
                <w:sz w:val="22"/>
                <w:szCs w:val="22"/>
              </w:rPr>
              <w:t>Simplification from discontinuing carbon-leakage risk updates</w:t>
            </w:r>
            <w:r w:rsidR="642CB8F8" w:rsidRPr="1D855440">
              <w:rPr>
                <w:rFonts w:cs="Times New Roman"/>
                <w:noProof/>
                <w:color w:val="auto"/>
                <w:sz w:val="22"/>
                <w:szCs w:val="22"/>
              </w:rPr>
              <w:t xml:space="preserve"> </w:t>
            </w:r>
            <w:r w:rsidR="642CB8F8" w:rsidRPr="00E276C8">
              <w:rPr>
                <w:noProof/>
                <w:color w:val="auto"/>
                <w:sz w:val="22"/>
              </w:rPr>
              <w:t xml:space="preserve">– </w:t>
            </w:r>
            <w:r w:rsidR="522DFF57" w:rsidRPr="00E276C8">
              <w:rPr>
                <w:noProof/>
                <w:color w:val="auto"/>
                <w:sz w:val="22"/>
              </w:rPr>
              <w:t>approx</w:t>
            </w:r>
            <w:r w:rsidR="522DFF57" w:rsidRPr="1D855440">
              <w:rPr>
                <w:rFonts w:cs="Times New Roman"/>
                <w:noProof/>
                <w:color w:val="auto"/>
                <w:sz w:val="22"/>
                <w:szCs w:val="22"/>
              </w:rPr>
              <w:t>.</w:t>
            </w:r>
            <w:r w:rsidR="642CB8F8" w:rsidRPr="00E276C8">
              <w:rPr>
                <w:noProof/>
                <w:color w:val="auto"/>
                <w:sz w:val="22"/>
              </w:rPr>
              <w:t xml:space="preserve"> EUR 27m savings based on 2015 cost calculations (SWD(2015)135</w:t>
            </w:r>
            <w:r w:rsidR="642CB8F8" w:rsidRPr="1D855440">
              <w:rPr>
                <w:rFonts w:cs="Times New Roman"/>
                <w:noProof/>
                <w:color w:val="auto"/>
                <w:sz w:val="22"/>
                <w:szCs w:val="22"/>
              </w:rPr>
              <w:t>)</w:t>
            </w:r>
            <w:r w:rsidR="642CB8F8" w:rsidRPr="00E276C8">
              <w:rPr>
                <w:noProof/>
                <w:color w:val="auto"/>
                <w:sz w:val="22"/>
              </w:rPr>
              <w:t xml:space="preserve"> -</w:t>
            </w:r>
            <w:r w:rsidRPr="1D855440">
              <w:rPr>
                <w:rFonts w:cs="Times New Roman"/>
                <w:noProof/>
                <w:color w:val="auto"/>
                <w:sz w:val="22"/>
                <w:szCs w:val="22"/>
              </w:rPr>
              <w:t xml:space="preserve"> (Annex 12, Section 1.3)</w:t>
            </w:r>
          </w:p>
          <w:p w14:paraId="62034BBE"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Simplification and limited extension of derogations in maritime (6.2.2.4)</w:t>
            </w:r>
          </w:p>
        </w:tc>
        <w:tc>
          <w:tcPr>
            <w:tcW w:w="1365" w:type="pct"/>
          </w:tcPr>
          <w:p w14:paraId="337DAB30"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Simplification and limited extension of derogations in maritime (6.2.2.4)</w:t>
            </w:r>
          </w:p>
          <w:p w14:paraId="771D313E"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Lower administrative burden in aviation (6.2.2.3)</w:t>
            </w:r>
          </w:p>
        </w:tc>
        <w:tc>
          <w:tcPr>
            <w:tcW w:w="1435" w:type="pct"/>
          </w:tcPr>
          <w:p w14:paraId="35F70B70" w14:textId="77777777" w:rsidR="00A71942" w:rsidRPr="00F23865" w:rsidRDefault="00A71942" w:rsidP="00E276C8">
            <w:pPr>
              <w:pStyle w:val="BodyText"/>
              <w:spacing w:after="120"/>
              <w:rPr>
                <w:rFonts w:cs="Times New Roman"/>
                <w:noProof/>
                <w:color w:val="auto"/>
                <w:sz w:val="22"/>
                <w:szCs w:val="22"/>
              </w:rPr>
            </w:pPr>
          </w:p>
        </w:tc>
      </w:tr>
      <w:tr w:rsidR="00A71942" w:rsidRPr="00F23865" w14:paraId="2EF8A2FD" w14:textId="77777777" w:rsidTr="1D855440">
        <w:tc>
          <w:tcPr>
            <w:tcW w:w="847" w:type="pct"/>
          </w:tcPr>
          <w:p w14:paraId="520789B7"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Net administrative burdens*</w:t>
            </w:r>
          </w:p>
        </w:tc>
        <w:tc>
          <w:tcPr>
            <w:tcW w:w="1354" w:type="pct"/>
          </w:tcPr>
          <w:p w14:paraId="063B0AE0"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w:t>
            </w:r>
          </w:p>
        </w:tc>
        <w:tc>
          <w:tcPr>
            <w:tcW w:w="1365" w:type="pct"/>
          </w:tcPr>
          <w:p w14:paraId="221CDB3D"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w:t>
            </w:r>
          </w:p>
        </w:tc>
        <w:tc>
          <w:tcPr>
            <w:tcW w:w="1435" w:type="pct"/>
          </w:tcPr>
          <w:p w14:paraId="48137EEA"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Net increase mainly from new operator groups and conditionality requirement for free allocation</w:t>
            </w:r>
          </w:p>
        </w:tc>
      </w:tr>
      <w:tr w:rsidR="00A71942" w:rsidRPr="00F23865" w14:paraId="760EB034" w14:textId="77777777" w:rsidTr="1D855440">
        <w:tc>
          <w:tcPr>
            <w:tcW w:w="847" w:type="pct"/>
          </w:tcPr>
          <w:p w14:paraId="13917E6F"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Adjustment costs **</w:t>
            </w:r>
          </w:p>
        </w:tc>
        <w:tc>
          <w:tcPr>
            <w:tcW w:w="1354" w:type="pct"/>
          </w:tcPr>
          <w:p w14:paraId="4FAC167B"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w:t>
            </w:r>
          </w:p>
        </w:tc>
        <w:tc>
          <w:tcPr>
            <w:tcW w:w="1365" w:type="pct"/>
          </w:tcPr>
          <w:p w14:paraId="17E74254"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w:t>
            </w:r>
          </w:p>
        </w:tc>
        <w:tc>
          <w:tcPr>
            <w:tcW w:w="1435" w:type="pct"/>
          </w:tcPr>
          <w:p w14:paraId="1DE85B99"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One-off system adjustments (permit updates, MRV digitalisation, registry onboarding)</w:t>
            </w:r>
          </w:p>
        </w:tc>
      </w:tr>
      <w:tr w:rsidR="00A71942" w:rsidRPr="00F23865" w14:paraId="6215AF6E" w14:textId="77777777" w:rsidTr="1D855440">
        <w:tc>
          <w:tcPr>
            <w:tcW w:w="5000" w:type="pct"/>
            <w:gridSpan w:val="4"/>
          </w:tcPr>
          <w:p w14:paraId="2C8AC0DD" w14:textId="77777777" w:rsidR="00A71942" w:rsidRPr="00F23865" w:rsidRDefault="00A71942" w:rsidP="00E276C8">
            <w:pPr>
              <w:pStyle w:val="BodyText"/>
              <w:spacing w:after="120"/>
              <w:rPr>
                <w:rFonts w:cs="Times New Roman"/>
                <w:noProof/>
                <w:color w:val="auto"/>
                <w:sz w:val="22"/>
                <w:szCs w:val="22"/>
              </w:rPr>
            </w:pPr>
            <w:r w:rsidRPr="1FC5E705">
              <w:rPr>
                <w:rFonts w:cs="Times New Roman"/>
                <w:i/>
                <w:iCs/>
                <w:noProof/>
                <w:color w:val="auto"/>
                <w:sz w:val="22"/>
                <w:szCs w:val="22"/>
              </w:rPr>
              <w:t>Public authorities</w:t>
            </w:r>
          </w:p>
        </w:tc>
      </w:tr>
      <w:tr w:rsidR="00A71942" w:rsidRPr="00F23865" w14:paraId="045F0361" w14:textId="77777777" w:rsidTr="1D855440">
        <w:tc>
          <w:tcPr>
            <w:tcW w:w="847" w:type="pct"/>
          </w:tcPr>
          <w:p w14:paraId="74F8044C" w14:textId="77777777" w:rsidR="00A71942" w:rsidRPr="00F23865" w:rsidRDefault="00A71942" w:rsidP="00E276C8">
            <w:pPr>
              <w:pStyle w:val="BodyText"/>
              <w:spacing w:after="120"/>
              <w:rPr>
                <w:rFonts w:cs="Times New Roman"/>
                <w:b/>
                <w:bCs/>
                <w:i/>
                <w:iCs/>
                <w:noProof/>
                <w:color w:val="auto"/>
                <w:sz w:val="22"/>
                <w:szCs w:val="22"/>
              </w:rPr>
            </w:pPr>
            <w:r w:rsidRPr="1FC5E705">
              <w:rPr>
                <w:rFonts w:cs="Times New Roman"/>
                <w:b/>
                <w:bCs/>
                <w:noProof/>
                <w:color w:val="auto"/>
                <w:sz w:val="22"/>
                <w:szCs w:val="22"/>
              </w:rPr>
              <w:t>New administrative burdens (INs)</w:t>
            </w:r>
          </w:p>
        </w:tc>
        <w:tc>
          <w:tcPr>
            <w:tcW w:w="1354" w:type="pct"/>
          </w:tcPr>
          <w:p w14:paraId="69C9C2AE"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 (registry updates, verification oversight)</w:t>
            </w:r>
          </w:p>
        </w:tc>
        <w:tc>
          <w:tcPr>
            <w:tcW w:w="1365" w:type="pct"/>
          </w:tcPr>
          <w:p w14:paraId="7C3E7CC7"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 (compliance monitoring, MRV verification)</w:t>
            </w:r>
          </w:p>
        </w:tc>
        <w:tc>
          <w:tcPr>
            <w:tcW w:w="1435" w:type="pct"/>
          </w:tcPr>
          <w:p w14:paraId="0445C9E5"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Expansion of ETS coverage (MWIs, CCU, CDR); verification of free-allocation conditionality.</w:t>
            </w:r>
          </w:p>
        </w:tc>
      </w:tr>
      <w:tr w:rsidR="00A71942" w:rsidRPr="00F23865" w14:paraId="701D882B" w14:textId="77777777" w:rsidTr="1D855440">
        <w:tc>
          <w:tcPr>
            <w:tcW w:w="847" w:type="pct"/>
          </w:tcPr>
          <w:p w14:paraId="4C1141A8"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Removed administrative burdens (OUTs)</w:t>
            </w:r>
          </w:p>
        </w:tc>
        <w:tc>
          <w:tcPr>
            <w:tcW w:w="1354" w:type="pct"/>
          </w:tcPr>
          <w:p w14:paraId="4D10A452"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Minor</w:t>
            </w:r>
          </w:p>
        </w:tc>
        <w:tc>
          <w:tcPr>
            <w:tcW w:w="1365" w:type="pct"/>
          </w:tcPr>
          <w:p w14:paraId="127CB2E9"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Minor</w:t>
            </w:r>
          </w:p>
        </w:tc>
        <w:tc>
          <w:tcPr>
            <w:tcW w:w="1435" w:type="pct"/>
          </w:tcPr>
          <w:p w14:paraId="54E8554F"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Fewer carbon leakage list review; harmonised verification guidance</w:t>
            </w:r>
          </w:p>
        </w:tc>
      </w:tr>
      <w:tr w:rsidR="00A71942" w:rsidRPr="00F23865" w14:paraId="7EC6AEBB" w14:textId="77777777" w:rsidTr="1D855440">
        <w:tc>
          <w:tcPr>
            <w:tcW w:w="847" w:type="pct"/>
          </w:tcPr>
          <w:p w14:paraId="37FDDCF9"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Net administrative burdens*</w:t>
            </w:r>
          </w:p>
        </w:tc>
        <w:tc>
          <w:tcPr>
            <w:tcW w:w="1354" w:type="pct"/>
          </w:tcPr>
          <w:p w14:paraId="2112FFF8"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w:t>
            </w:r>
          </w:p>
        </w:tc>
        <w:tc>
          <w:tcPr>
            <w:tcW w:w="1365" w:type="pct"/>
          </w:tcPr>
          <w:p w14:paraId="70F299D1"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w:t>
            </w:r>
          </w:p>
        </w:tc>
        <w:tc>
          <w:tcPr>
            <w:tcW w:w="1435" w:type="pct"/>
          </w:tcPr>
          <w:p w14:paraId="2603E721"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Can be absorbed within existing ETS structures and systems</w:t>
            </w:r>
          </w:p>
        </w:tc>
      </w:tr>
      <w:tr w:rsidR="00A71942" w:rsidRPr="00F23865" w14:paraId="3D234DC8" w14:textId="77777777" w:rsidTr="1D855440">
        <w:tc>
          <w:tcPr>
            <w:tcW w:w="847" w:type="pct"/>
          </w:tcPr>
          <w:p w14:paraId="272A42A8" w14:textId="77777777" w:rsidR="00A71942" w:rsidRPr="00F23865" w:rsidRDefault="00A71942" w:rsidP="00E276C8">
            <w:pPr>
              <w:pStyle w:val="BodyText"/>
              <w:spacing w:after="120"/>
              <w:rPr>
                <w:rFonts w:cs="Times New Roman"/>
                <w:b/>
                <w:bCs/>
                <w:noProof/>
                <w:color w:val="auto"/>
                <w:sz w:val="22"/>
                <w:szCs w:val="22"/>
              </w:rPr>
            </w:pPr>
            <w:r w:rsidRPr="1FC5E705">
              <w:rPr>
                <w:rFonts w:cs="Times New Roman"/>
                <w:b/>
                <w:bCs/>
                <w:noProof/>
                <w:color w:val="auto"/>
                <w:sz w:val="22"/>
                <w:szCs w:val="22"/>
              </w:rPr>
              <w:t>Total administrative burdens</w:t>
            </w:r>
          </w:p>
        </w:tc>
        <w:tc>
          <w:tcPr>
            <w:tcW w:w="1354" w:type="pct"/>
          </w:tcPr>
          <w:p w14:paraId="1B4BF14A"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 overall increase</w:t>
            </w:r>
          </w:p>
        </w:tc>
        <w:tc>
          <w:tcPr>
            <w:tcW w:w="1365" w:type="pct"/>
          </w:tcPr>
          <w:p w14:paraId="4B745795"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Moderate overall increase</w:t>
            </w:r>
          </w:p>
        </w:tc>
        <w:tc>
          <w:tcPr>
            <w:tcW w:w="1435" w:type="pct"/>
          </w:tcPr>
          <w:p w14:paraId="4950D5B5" w14:textId="77777777" w:rsidR="00A71942" w:rsidRPr="00F23865" w:rsidRDefault="00A71942" w:rsidP="00E276C8">
            <w:pPr>
              <w:pStyle w:val="BodyText"/>
              <w:spacing w:after="120"/>
              <w:rPr>
                <w:rFonts w:cs="Times New Roman"/>
                <w:noProof/>
                <w:color w:val="auto"/>
                <w:sz w:val="22"/>
                <w:szCs w:val="22"/>
              </w:rPr>
            </w:pPr>
            <w:r w:rsidRPr="1FC5E705">
              <w:rPr>
                <w:rFonts w:cs="Times New Roman"/>
                <w:noProof/>
                <w:color w:val="auto"/>
                <w:sz w:val="22"/>
                <w:szCs w:val="22"/>
              </w:rPr>
              <w:t>New obligations offset partly by avoided costs for small emitters and simplifications</w:t>
            </w:r>
          </w:p>
        </w:tc>
      </w:tr>
    </w:tbl>
    <w:p w14:paraId="0E6BC102" w14:textId="77777777" w:rsidR="00A71942" w:rsidRPr="00F23865" w:rsidRDefault="00A71942" w:rsidP="00E276C8">
      <w:pPr>
        <w:spacing w:line="240" w:lineRule="auto"/>
        <w:jc w:val="left"/>
        <w:rPr>
          <w:rFonts w:eastAsiaTheme="majorEastAsia"/>
          <w:b/>
          <w:bCs/>
          <w:smallCaps/>
          <w:noProof/>
          <w:color w:val="000000"/>
          <w:sz w:val="22"/>
          <w:szCs w:val="22"/>
          <w:shd w:val="clear" w:color="auto" w:fill="FFFFFF"/>
        </w:rPr>
      </w:pPr>
      <w:bookmarkStart w:id="219" w:name="_Toc225152965"/>
      <w:r w:rsidRPr="1FC5E705">
        <w:rPr>
          <w:noProof/>
          <w:sz w:val="22"/>
          <w:szCs w:val="22"/>
        </w:rPr>
        <w:br w:type="page"/>
      </w:r>
    </w:p>
    <w:p w14:paraId="56D82AEA" w14:textId="77777777" w:rsidR="00A71942" w:rsidRPr="00303DB1" w:rsidRDefault="00A71942" w:rsidP="00E276C8">
      <w:pPr>
        <w:pStyle w:val="Heading1COM"/>
        <w:spacing w:before="120" w:after="120" w:line="240" w:lineRule="auto"/>
        <w:outlineLvl w:val="1"/>
        <w:rPr>
          <w:noProof/>
        </w:rPr>
      </w:pPr>
      <w:bookmarkStart w:id="220" w:name="_Toc232611471"/>
      <w:bookmarkStart w:id="221" w:name="_Toc232758152"/>
      <w:r>
        <w:rPr>
          <w:noProof/>
        </w:rPr>
        <w:t>Relevant Sustainable Development Goals</w:t>
      </w:r>
      <w:bookmarkEnd w:id="219"/>
      <w:bookmarkEnd w:id="220"/>
      <w:bookmarkEnd w:id="221"/>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0191"/>
        <w:gridCol w:w="3024"/>
      </w:tblGrid>
      <w:tr w:rsidR="00A71942" w:rsidRPr="00E039BA" w14:paraId="353490B2" w14:textId="77777777" w:rsidTr="1FC5E705">
        <w:tc>
          <w:tcPr>
            <w:tcW w:w="0" w:type="auto"/>
            <w:gridSpan w:val="3"/>
            <w:shd w:val="clear" w:color="auto" w:fill="A8C7FF"/>
          </w:tcPr>
          <w:p w14:paraId="3DF32DE5" w14:textId="77777777" w:rsidR="00A71942" w:rsidRPr="00E039BA" w:rsidRDefault="00A71942" w:rsidP="00E276C8">
            <w:pPr>
              <w:spacing w:after="120"/>
              <w:rPr>
                <w:b/>
                <w:bCs/>
                <w:noProof/>
                <w:sz w:val="22"/>
                <w:szCs w:val="22"/>
              </w:rPr>
            </w:pPr>
            <w:r w:rsidRPr="1FC5E705">
              <w:rPr>
                <w:b/>
                <w:bCs/>
                <w:noProof/>
                <w:sz w:val="22"/>
                <w:szCs w:val="22"/>
              </w:rPr>
              <w:t>IV. Overview of relevant Sustainable Development Goals – Preferred Option</w:t>
            </w:r>
          </w:p>
        </w:tc>
      </w:tr>
      <w:tr w:rsidR="00A71942" w:rsidRPr="00E039BA" w14:paraId="56817E97" w14:textId="77777777" w:rsidTr="1FC5E705">
        <w:tc>
          <w:tcPr>
            <w:tcW w:w="1555" w:type="dxa"/>
            <w:shd w:val="clear" w:color="auto" w:fill="A8C7FF"/>
          </w:tcPr>
          <w:p w14:paraId="3C9FC2B9" w14:textId="77777777" w:rsidR="00A71942" w:rsidRPr="00E039BA" w:rsidRDefault="00A71942" w:rsidP="00E276C8">
            <w:pPr>
              <w:spacing w:after="120"/>
              <w:rPr>
                <w:b/>
                <w:bCs/>
                <w:noProof/>
                <w:sz w:val="22"/>
                <w:szCs w:val="22"/>
              </w:rPr>
            </w:pPr>
            <w:r w:rsidRPr="1FC5E705">
              <w:rPr>
                <w:b/>
                <w:bCs/>
                <w:noProof/>
                <w:sz w:val="22"/>
                <w:szCs w:val="22"/>
              </w:rPr>
              <w:t>Relevant SDG</w:t>
            </w:r>
          </w:p>
        </w:tc>
        <w:tc>
          <w:tcPr>
            <w:tcW w:w="10206" w:type="dxa"/>
            <w:shd w:val="clear" w:color="auto" w:fill="A8C7FF"/>
          </w:tcPr>
          <w:p w14:paraId="57FE06AD" w14:textId="77777777" w:rsidR="00A71942" w:rsidRPr="00E039BA" w:rsidRDefault="00A71942" w:rsidP="00E276C8">
            <w:pPr>
              <w:spacing w:after="120"/>
              <w:rPr>
                <w:b/>
                <w:bCs/>
                <w:noProof/>
                <w:sz w:val="22"/>
                <w:szCs w:val="22"/>
              </w:rPr>
            </w:pPr>
            <w:r w:rsidRPr="1FC5E705">
              <w:rPr>
                <w:b/>
                <w:bCs/>
                <w:noProof/>
                <w:sz w:val="22"/>
                <w:szCs w:val="22"/>
              </w:rPr>
              <w:t>Expected progress towards the goal</w:t>
            </w:r>
          </w:p>
        </w:tc>
        <w:tc>
          <w:tcPr>
            <w:tcW w:w="3027" w:type="dxa"/>
            <w:shd w:val="clear" w:color="auto" w:fill="A8C7FF"/>
          </w:tcPr>
          <w:p w14:paraId="47530206" w14:textId="77777777" w:rsidR="00A71942" w:rsidRPr="00E039BA" w:rsidRDefault="00A71942" w:rsidP="00E276C8">
            <w:pPr>
              <w:spacing w:after="120"/>
              <w:rPr>
                <w:b/>
                <w:bCs/>
                <w:noProof/>
                <w:sz w:val="22"/>
                <w:szCs w:val="22"/>
              </w:rPr>
            </w:pPr>
            <w:r w:rsidRPr="1FC5E705">
              <w:rPr>
                <w:b/>
                <w:bCs/>
                <w:noProof/>
                <w:sz w:val="22"/>
                <w:szCs w:val="22"/>
              </w:rPr>
              <w:t>Comments</w:t>
            </w:r>
          </w:p>
        </w:tc>
      </w:tr>
      <w:tr w:rsidR="00A71942" w:rsidRPr="00E039BA" w14:paraId="1972EF47" w14:textId="77777777" w:rsidTr="1FC5E705">
        <w:tc>
          <w:tcPr>
            <w:tcW w:w="1555" w:type="dxa"/>
          </w:tcPr>
          <w:p w14:paraId="40E23B9A" w14:textId="77777777" w:rsidR="00A71942" w:rsidRPr="00E039BA" w:rsidRDefault="00A71942" w:rsidP="00E276C8">
            <w:pPr>
              <w:spacing w:after="120"/>
              <w:rPr>
                <w:b/>
                <w:bCs/>
                <w:noProof/>
                <w:sz w:val="22"/>
                <w:szCs w:val="22"/>
              </w:rPr>
            </w:pPr>
            <w:r w:rsidRPr="1FC5E705">
              <w:rPr>
                <w:b/>
                <w:bCs/>
                <w:noProof/>
                <w:sz w:val="22"/>
                <w:szCs w:val="22"/>
              </w:rPr>
              <w:t>SDG 13 – Climate Action</w:t>
            </w:r>
          </w:p>
        </w:tc>
        <w:tc>
          <w:tcPr>
            <w:tcW w:w="10206" w:type="dxa"/>
          </w:tcPr>
          <w:p w14:paraId="42154721" w14:textId="77777777" w:rsidR="00A71942" w:rsidRPr="00E039BA" w:rsidRDefault="00A71942" w:rsidP="00E276C8">
            <w:pPr>
              <w:spacing w:after="120"/>
              <w:rPr>
                <w:noProof/>
                <w:sz w:val="22"/>
                <w:szCs w:val="22"/>
              </w:rPr>
            </w:pPr>
            <w:r w:rsidRPr="1FC5E705">
              <w:rPr>
                <w:noProof/>
                <w:sz w:val="22"/>
                <w:szCs w:val="22"/>
              </w:rPr>
              <w:t xml:space="preserve">The revised ETS cap trajectory and inclusion of additional sectors (MWIs, CCU, removals) will contribute to the EU’s economy-wide GHG reduction target for 2040, ensuring continued progress towards the EU’s 2050 climate-neutrality target, which in turn contributes to SDG 13. </w:t>
            </w:r>
          </w:p>
          <w:p w14:paraId="4556A211" w14:textId="77777777" w:rsidR="00A71942" w:rsidRPr="00E039BA" w:rsidRDefault="00A71942" w:rsidP="00E276C8">
            <w:pPr>
              <w:spacing w:after="120"/>
              <w:rPr>
                <w:noProof/>
                <w:sz w:val="22"/>
                <w:szCs w:val="22"/>
              </w:rPr>
            </w:pPr>
            <w:r w:rsidRPr="1FC5E705">
              <w:rPr>
                <w:noProof/>
                <w:sz w:val="22"/>
                <w:szCs w:val="22"/>
              </w:rPr>
              <w:t xml:space="preserve">The proposal also reduces the share of GHG emissions that are not subject to carbon pricing by expanding  the EU ETS scope in shipping, maritime and waste. </w:t>
            </w:r>
          </w:p>
          <w:p w14:paraId="2794414A" w14:textId="77777777" w:rsidR="00A71942" w:rsidRPr="00E039BA" w:rsidRDefault="00A71942" w:rsidP="00E276C8">
            <w:pPr>
              <w:spacing w:after="120"/>
              <w:rPr>
                <w:noProof/>
                <w:sz w:val="22"/>
                <w:szCs w:val="22"/>
              </w:rPr>
            </w:pPr>
            <w:r w:rsidRPr="1FC5E705">
              <w:rPr>
                <w:noProof/>
                <w:sz w:val="22"/>
                <w:szCs w:val="22"/>
              </w:rPr>
              <w:t xml:space="preserve">The extension of the scope of the EU ETS maritime sector with smaller ships and the new measures to better avoid the risk of carbon leakage incentivise shipowners and relevant operators to adopt cleaner technologies, alternative fuels, and energy-efficient practices. This supports Target 13.3 by strengthening institutional and industry capacity for mitigation and low-carbon transition. </w:t>
            </w:r>
          </w:p>
          <w:p w14:paraId="7D9988EC" w14:textId="77777777" w:rsidR="00A71942" w:rsidRPr="00E039BA" w:rsidRDefault="00A71942" w:rsidP="00E276C8">
            <w:pPr>
              <w:spacing w:after="120"/>
              <w:rPr>
                <w:noProof/>
                <w:sz w:val="22"/>
                <w:szCs w:val="22"/>
              </w:rPr>
            </w:pPr>
            <w:r w:rsidRPr="1FC5E705">
              <w:rPr>
                <w:noProof/>
                <w:sz w:val="22"/>
                <w:szCs w:val="22"/>
              </w:rPr>
              <w:t xml:space="preserve">Similarly, the EU is appropriately bringing effective carbon pricing into a larger share of the hard to abate aviation sector, aligning with SDG 13). </w:t>
            </w:r>
          </w:p>
        </w:tc>
        <w:tc>
          <w:tcPr>
            <w:tcW w:w="3027" w:type="dxa"/>
          </w:tcPr>
          <w:p w14:paraId="0626CC29" w14:textId="77777777" w:rsidR="00A71942" w:rsidRPr="00E039BA" w:rsidRDefault="00A71942" w:rsidP="00E276C8">
            <w:pPr>
              <w:spacing w:after="120"/>
              <w:rPr>
                <w:noProof/>
                <w:sz w:val="22"/>
                <w:szCs w:val="22"/>
              </w:rPr>
            </w:pPr>
            <w:r w:rsidRPr="1FC5E705">
              <w:rPr>
                <w:noProof/>
                <w:sz w:val="22"/>
                <w:szCs w:val="22"/>
              </w:rPr>
              <w:t>Positive contribution is reinforced by improved market stability (MSR reform) and stronger investment incentives.</w:t>
            </w:r>
          </w:p>
        </w:tc>
      </w:tr>
      <w:tr w:rsidR="00A71942" w:rsidRPr="00E039BA" w14:paraId="6AE091EA" w14:textId="77777777" w:rsidTr="1FC5E705">
        <w:tc>
          <w:tcPr>
            <w:tcW w:w="1555" w:type="dxa"/>
          </w:tcPr>
          <w:p w14:paraId="69523AFA" w14:textId="77777777" w:rsidR="00A71942" w:rsidRPr="00E039BA" w:rsidRDefault="00A71942" w:rsidP="00E276C8">
            <w:pPr>
              <w:spacing w:after="120"/>
              <w:rPr>
                <w:b/>
                <w:bCs/>
                <w:noProof/>
                <w:sz w:val="22"/>
                <w:szCs w:val="22"/>
              </w:rPr>
            </w:pPr>
            <w:r w:rsidRPr="1FC5E705">
              <w:rPr>
                <w:b/>
                <w:bCs/>
                <w:noProof/>
                <w:sz w:val="22"/>
                <w:szCs w:val="22"/>
              </w:rPr>
              <w:t>SDG 9 – Industry, Innovation and Infrastructure</w:t>
            </w:r>
          </w:p>
        </w:tc>
        <w:tc>
          <w:tcPr>
            <w:tcW w:w="10206" w:type="dxa"/>
          </w:tcPr>
          <w:p w14:paraId="12AD6DE7" w14:textId="77777777" w:rsidR="00A71942" w:rsidRPr="00E039BA" w:rsidRDefault="00A71942" w:rsidP="00E276C8">
            <w:pPr>
              <w:spacing w:after="120"/>
              <w:rPr>
                <w:noProof/>
                <w:sz w:val="22"/>
                <w:szCs w:val="22"/>
              </w:rPr>
            </w:pPr>
            <w:r w:rsidRPr="1FC5E705">
              <w:rPr>
                <w:noProof/>
                <w:sz w:val="22"/>
                <w:szCs w:val="22"/>
              </w:rPr>
              <w:t>Strengthened support instruments (notably Industrial Decarbonisation Bank), conditional free allocation (linked to verified climate-neutral investment plans), scope extension (to waste and removals), and account changes for CCU, drive large-scale deployment of low-carbon technologies and new infrastructure for CCU and CDR.</w:t>
            </w:r>
            <w:r w:rsidRPr="1FC5E705">
              <w:rPr>
                <w:b/>
                <w:bCs/>
                <w:noProof/>
                <w:sz w:val="22"/>
                <w:szCs w:val="22"/>
              </w:rPr>
              <w:t xml:space="preserve"> </w:t>
            </w:r>
          </w:p>
          <w:p w14:paraId="225DEBAB" w14:textId="77777777" w:rsidR="00A71942" w:rsidRPr="00E039BA" w:rsidRDefault="00A71942" w:rsidP="00E276C8">
            <w:pPr>
              <w:spacing w:after="120"/>
              <w:rPr>
                <w:noProof/>
                <w:sz w:val="22"/>
                <w:szCs w:val="22"/>
              </w:rPr>
            </w:pPr>
            <w:r w:rsidRPr="1FC5E705">
              <w:rPr>
                <w:noProof/>
                <w:sz w:val="22"/>
                <w:szCs w:val="22"/>
              </w:rPr>
              <w:t xml:space="preserve">Support mechanism for fuels and propulsion technologies in maritime helps companies to modernise their fleet and incentivises clean fuels and technology production in the EU. </w:t>
            </w:r>
          </w:p>
          <w:p w14:paraId="0826D42B" w14:textId="77777777" w:rsidR="00A71942" w:rsidRPr="00E039BA" w:rsidRDefault="00A71942" w:rsidP="00E276C8">
            <w:pPr>
              <w:spacing w:after="120"/>
              <w:rPr>
                <w:noProof/>
                <w:sz w:val="22"/>
                <w:szCs w:val="22"/>
              </w:rPr>
            </w:pPr>
            <w:r w:rsidRPr="1FC5E705">
              <w:rPr>
                <w:noProof/>
                <w:sz w:val="22"/>
                <w:szCs w:val="22"/>
              </w:rPr>
              <w:t>Similarly, support mechanism for sustainable aviation fuels incentivises clean fuels and technology production in the EU. Both support mechanisms are contributing directly to Target 9.4, which concerns the upgrading of infrastructure and industries to be sustainable and resource-efficient.</w:t>
            </w:r>
          </w:p>
          <w:p w14:paraId="54A62F51" w14:textId="77777777" w:rsidR="00A71942" w:rsidRPr="00E039BA" w:rsidRDefault="00A71942" w:rsidP="00E276C8">
            <w:pPr>
              <w:spacing w:after="120"/>
              <w:rPr>
                <w:noProof/>
                <w:sz w:val="22"/>
                <w:szCs w:val="22"/>
              </w:rPr>
            </w:pPr>
            <w:r w:rsidRPr="1FC5E705">
              <w:rPr>
                <w:noProof/>
                <w:sz w:val="22"/>
                <w:szCs w:val="22"/>
              </w:rPr>
              <w:t xml:space="preserve">The extension of the scope of maritime sector in the EU ETS to smaller ships incentivises the shipping industry to innovate and even upgrade its fleets to meet environmental and climate goals. </w:t>
            </w:r>
          </w:p>
          <w:p w14:paraId="06720B06" w14:textId="77777777" w:rsidR="00A71942" w:rsidRPr="00E039BA" w:rsidRDefault="00A71942" w:rsidP="00E276C8">
            <w:pPr>
              <w:spacing w:after="120"/>
              <w:rPr>
                <w:noProof/>
                <w:sz w:val="22"/>
                <w:szCs w:val="22"/>
              </w:rPr>
            </w:pPr>
            <w:r w:rsidRPr="1FC5E705">
              <w:rPr>
                <w:noProof/>
                <w:sz w:val="22"/>
                <w:szCs w:val="22"/>
              </w:rPr>
              <w:t xml:space="preserve">Revenues generated through the ETS, alongside support from the EU Innovation Fund and other EU facilitating framework, enable Member States to finance research and deployment of breakthrough technologies, advancing Target 9.b on supporting domestic technology development and industrial diversification. Together, these efforts help build a resilient and competitive sectors that foster sustainable industrialization, in fill alignment with Target 9.2, which aims to promote inclusive and sustainable industrial growth. </w:t>
            </w:r>
          </w:p>
        </w:tc>
        <w:tc>
          <w:tcPr>
            <w:tcW w:w="3027" w:type="dxa"/>
          </w:tcPr>
          <w:p w14:paraId="601D9B6D" w14:textId="77777777" w:rsidR="00A71942" w:rsidRPr="00E039BA" w:rsidRDefault="00A71942" w:rsidP="00E276C8">
            <w:pPr>
              <w:spacing w:after="120"/>
              <w:rPr>
                <w:noProof/>
                <w:sz w:val="22"/>
                <w:szCs w:val="22"/>
              </w:rPr>
            </w:pPr>
            <w:r w:rsidRPr="1FC5E705">
              <w:rPr>
                <w:noProof/>
                <w:sz w:val="22"/>
                <w:szCs w:val="22"/>
              </w:rPr>
              <w:t>Strongly positive effect on industrial innovation. Transitional compliance costs may challenge some energy-intensive sectors, but these are mitigated by funding from auction revenues and innovation instruments.</w:t>
            </w:r>
          </w:p>
        </w:tc>
      </w:tr>
      <w:tr w:rsidR="00A71942" w:rsidRPr="00E039BA" w14:paraId="526227DB" w14:textId="77777777" w:rsidTr="1FC5E705">
        <w:tc>
          <w:tcPr>
            <w:tcW w:w="1555" w:type="dxa"/>
          </w:tcPr>
          <w:p w14:paraId="444ABEBC" w14:textId="77777777" w:rsidR="00A71942" w:rsidRPr="00E039BA" w:rsidRDefault="00A71942" w:rsidP="00E276C8">
            <w:pPr>
              <w:spacing w:after="120"/>
              <w:rPr>
                <w:b/>
                <w:bCs/>
                <w:noProof/>
                <w:sz w:val="22"/>
                <w:szCs w:val="22"/>
              </w:rPr>
            </w:pPr>
            <w:r w:rsidRPr="1FC5E705">
              <w:rPr>
                <w:b/>
                <w:bCs/>
                <w:noProof/>
                <w:sz w:val="22"/>
                <w:szCs w:val="22"/>
              </w:rPr>
              <w:t>SDG 7 – Affordable and Clean Energy</w:t>
            </w:r>
          </w:p>
        </w:tc>
        <w:tc>
          <w:tcPr>
            <w:tcW w:w="10206" w:type="dxa"/>
          </w:tcPr>
          <w:p w14:paraId="02840E8A" w14:textId="77777777" w:rsidR="00A71942" w:rsidRPr="00E039BA" w:rsidRDefault="00A71942" w:rsidP="00E276C8">
            <w:pPr>
              <w:spacing w:after="120"/>
              <w:rPr>
                <w:noProof/>
                <w:sz w:val="22"/>
                <w:szCs w:val="22"/>
              </w:rPr>
            </w:pPr>
            <w:r w:rsidRPr="1FC5E705">
              <w:rPr>
                <w:noProof/>
                <w:sz w:val="22"/>
                <w:szCs w:val="22"/>
              </w:rPr>
              <w:t>Continued carbon pricing across energy and industrial sectors and extension to waste-to-energy strengthens the competitiveness of renewable and low-carbon energy sources. Expected increase in power-sector decarbonisation supports progress towards affordable, clean energy. The proposal also helps expand the market for cleaner fuels in aviation and shipping.</w:t>
            </w:r>
          </w:p>
        </w:tc>
        <w:tc>
          <w:tcPr>
            <w:tcW w:w="3027" w:type="dxa"/>
          </w:tcPr>
          <w:p w14:paraId="1F2E6840" w14:textId="77777777" w:rsidR="00A71942" w:rsidRPr="00E039BA" w:rsidRDefault="00A71942" w:rsidP="00E276C8">
            <w:pPr>
              <w:spacing w:after="120"/>
              <w:rPr>
                <w:noProof/>
                <w:sz w:val="22"/>
                <w:szCs w:val="22"/>
              </w:rPr>
            </w:pPr>
            <w:r w:rsidRPr="1FC5E705">
              <w:rPr>
                <w:noProof/>
                <w:sz w:val="22"/>
                <w:szCs w:val="22"/>
              </w:rPr>
              <w:t>Carbon costs may temporarily raise electricity prices; revenues can be used to support vulnerable consumers, electro-intensive industries and energy-efficiency measures.</w:t>
            </w:r>
          </w:p>
        </w:tc>
      </w:tr>
      <w:tr w:rsidR="00A71942" w:rsidRPr="00E039BA" w14:paraId="3DDFDADB" w14:textId="77777777" w:rsidTr="1FC5E705">
        <w:tc>
          <w:tcPr>
            <w:tcW w:w="1555" w:type="dxa"/>
          </w:tcPr>
          <w:p w14:paraId="1A9FEDC7" w14:textId="77777777" w:rsidR="00A71942" w:rsidRPr="00E039BA" w:rsidRDefault="00A71942" w:rsidP="00E276C8">
            <w:pPr>
              <w:spacing w:after="120"/>
              <w:rPr>
                <w:b/>
                <w:bCs/>
                <w:noProof/>
                <w:sz w:val="22"/>
                <w:szCs w:val="22"/>
              </w:rPr>
            </w:pPr>
            <w:r w:rsidRPr="1FC5E705">
              <w:rPr>
                <w:b/>
                <w:bCs/>
                <w:noProof/>
                <w:sz w:val="22"/>
                <w:szCs w:val="22"/>
              </w:rPr>
              <w:t>SDG 11 – Sustainable Cities and Communities</w:t>
            </w:r>
          </w:p>
        </w:tc>
        <w:tc>
          <w:tcPr>
            <w:tcW w:w="10206" w:type="dxa"/>
          </w:tcPr>
          <w:p w14:paraId="0471B061" w14:textId="77777777" w:rsidR="00A71942" w:rsidRPr="00E039BA" w:rsidRDefault="00A71942" w:rsidP="00E276C8">
            <w:pPr>
              <w:spacing w:after="120"/>
              <w:rPr>
                <w:noProof/>
                <w:sz w:val="22"/>
                <w:szCs w:val="22"/>
              </w:rPr>
            </w:pPr>
            <w:r w:rsidRPr="1FC5E705">
              <w:rPr>
                <w:noProof/>
                <w:sz w:val="22"/>
                <w:szCs w:val="22"/>
              </w:rPr>
              <w:t xml:space="preserve">Inclusion of municipal waste incineration installations reduces local air-pollutant emissions and promotes cleaner urban waste management. </w:t>
            </w:r>
          </w:p>
        </w:tc>
        <w:tc>
          <w:tcPr>
            <w:tcW w:w="3027" w:type="dxa"/>
          </w:tcPr>
          <w:p w14:paraId="18883ED9" w14:textId="77777777" w:rsidR="00A71942" w:rsidRPr="00E039BA" w:rsidRDefault="00A71942" w:rsidP="00E276C8">
            <w:pPr>
              <w:spacing w:after="120"/>
              <w:rPr>
                <w:noProof/>
                <w:sz w:val="22"/>
                <w:szCs w:val="22"/>
              </w:rPr>
            </w:pPr>
            <w:r w:rsidRPr="1FC5E705">
              <w:rPr>
                <w:noProof/>
                <w:sz w:val="22"/>
                <w:szCs w:val="22"/>
              </w:rPr>
              <w:t>Positive benefits for public health and air quality; implementation costs for municipalities can be offset by improved sorting and recycling incentives.</w:t>
            </w:r>
          </w:p>
        </w:tc>
      </w:tr>
      <w:tr w:rsidR="00A71942" w:rsidRPr="00E039BA" w14:paraId="7DD98696" w14:textId="77777777" w:rsidTr="1FC5E705">
        <w:tc>
          <w:tcPr>
            <w:tcW w:w="1555" w:type="dxa"/>
          </w:tcPr>
          <w:p w14:paraId="4FDBDD19" w14:textId="77777777" w:rsidR="00A71942" w:rsidRPr="00E039BA" w:rsidRDefault="00A71942" w:rsidP="00E276C8">
            <w:pPr>
              <w:spacing w:after="120"/>
              <w:rPr>
                <w:b/>
                <w:bCs/>
                <w:noProof/>
                <w:sz w:val="22"/>
                <w:szCs w:val="22"/>
              </w:rPr>
            </w:pPr>
            <w:r w:rsidRPr="1FC5E705">
              <w:rPr>
                <w:b/>
                <w:bCs/>
                <w:noProof/>
                <w:sz w:val="22"/>
                <w:szCs w:val="22"/>
              </w:rPr>
              <w:t>SDG 12 – Responsible Consumption and Production</w:t>
            </w:r>
          </w:p>
        </w:tc>
        <w:tc>
          <w:tcPr>
            <w:tcW w:w="10206" w:type="dxa"/>
          </w:tcPr>
          <w:p w14:paraId="40BDE43E" w14:textId="77777777" w:rsidR="00A71942" w:rsidRPr="00E039BA" w:rsidRDefault="00A71942" w:rsidP="00E276C8">
            <w:pPr>
              <w:spacing w:after="120"/>
              <w:rPr>
                <w:noProof/>
                <w:sz w:val="22"/>
                <w:szCs w:val="22"/>
              </w:rPr>
            </w:pPr>
            <w:r w:rsidRPr="1FC5E705">
              <w:rPr>
                <w:noProof/>
                <w:sz w:val="22"/>
                <w:szCs w:val="22"/>
              </w:rPr>
              <w:t xml:space="preserve">ETS coverage of waste incineration and CCU processes encourages circular resource use and waste prevention, supporting responsible production and consumption patterns. </w:t>
            </w:r>
          </w:p>
          <w:p w14:paraId="4FEA0865" w14:textId="77777777" w:rsidR="00A71942" w:rsidRPr="00E039BA" w:rsidRDefault="00A71942" w:rsidP="00E276C8">
            <w:pPr>
              <w:spacing w:after="120"/>
              <w:rPr>
                <w:noProof/>
                <w:sz w:val="22"/>
                <w:szCs w:val="22"/>
              </w:rPr>
            </w:pPr>
            <w:r w:rsidRPr="1FC5E705">
              <w:rPr>
                <w:noProof/>
                <w:sz w:val="22"/>
                <w:szCs w:val="22"/>
              </w:rPr>
              <w:t xml:space="preserve">The extension of the EU ETS scope to private and business jets, used by a very limited group of citizens, will encourage more responsible consumption within aviation; It will also bring in additional ETS revenues, ensuring aviation contributes to the EU decarbonisation. </w:t>
            </w:r>
          </w:p>
          <w:p w14:paraId="6050FDC8" w14:textId="77777777" w:rsidR="00A71942" w:rsidRPr="00E039BA" w:rsidRDefault="00A71942" w:rsidP="00E276C8">
            <w:pPr>
              <w:spacing w:after="120"/>
              <w:rPr>
                <w:noProof/>
                <w:sz w:val="22"/>
                <w:szCs w:val="22"/>
              </w:rPr>
            </w:pPr>
            <w:r w:rsidRPr="1FC5E705">
              <w:rPr>
                <w:noProof/>
                <w:sz w:val="22"/>
                <w:szCs w:val="22"/>
              </w:rPr>
              <w:t xml:space="preserve">Similarly, the extension of the scope of the EU ETS to smaller maritime vessels will encourage more responsible consumption and production patterns within shipping. </w:t>
            </w:r>
          </w:p>
          <w:p w14:paraId="1E24BB7F" w14:textId="77777777" w:rsidR="00A71942" w:rsidRPr="00E039BA" w:rsidRDefault="00A71942" w:rsidP="00E276C8">
            <w:pPr>
              <w:spacing w:after="120"/>
              <w:rPr>
                <w:noProof/>
                <w:sz w:val="22"/>
                <w:szCs w:val="22"/>
              </w:rPr>
            </w:pPr>
            <w:r w:rsidRPr="1FC5E705">
              <w:rPr>
                <w:noProof/>
                <w:sz w:val="22"/>
                <w:szCs w:val="22"/>
              </w:rPr>
              <w:t xml:space="preserve">Furthermore, the EU ETS fosters transparency and accountability by requiring detailed and simplified emissions reporting, aligning with Target 12.6, which calls for shipping companies to adopt sustainable practices and integrate sustainability information into reporting cycles. </w:t>
            </w:r>
          </w:p>
        </w:tc>
        <w:tc>
          <w:tcPr>
            <w:tcW w:w="3027" w:type="dxa"/>
          </w:tcPr>
          <w:p w14:paraId="0239C8D0" w14:textId="77777777" w:rsidR="00A71942" w:rsidRPr="00E039BA" w:rsidRDefault="00A71942" w:rsidP="00E276C8">
            <w:pPr>
              <w:spacing w:after="120"/>
              <w:rPr>
                <w:noProof/>
                <w:sz w:val="22"/>
                <w:szCs w:val="22"/>
              </w:rPr>
            </w:pPr>
            <w:r w:rsidRPr="1FC5E705">
              <w:rPr>
                <w:noProof/>
                <w:sz w:val="22"/>
                <w:szCs w:val="22"/>
              </w:rPr>
              <w:t>Positive effect may be constrained by limited short-term recycling capacity; accompanying waste policy measures will mitigate this.</w:t>
            </w:r>
          </w:p>
        </w:tc>
      </w:tr>
      <w:tr w:rsidR="00A71942" w:rsidRPr="00E039BA" w14:paraId="3F72EDF9" w14:textId="77777777" w:rsidTr="1FC5E705">
        <w:tc>
          <w:tcPr>
            <w:tcW w:w="1555" w:type="dxa"/>
          </w:tcPr>
          <w:p w14:paraId="1D0D1D16" w14:textId="77777777" w:rsidR="00A71942" w:rsidRPr="00E039BA" w:rsidRDefault="00A71942" w:rsidP="00E276C8">
            <w:pPr>
              <w:spacing w:after="120"/>
              <w:rPr>
                <w:b/>
                <w:bCs/>
                <w:noProof/>
                <w:sz w:val="22"/>
                <w:szCs w:val="22"/>
              </w:rPr>
            </w:pPr>
            <w:r w:rsidRPr="1FC5E705">
              <w:rPr>
                <w:b/>
                <w:bCs/>
                <w:noProof/>
                <w:sz w:val="22"/>
                <w:szCs w:val="22"/>
              </w:rPr>
              <w:t>SDG 8 – Decent Work and Economic Growth</w:t>
            </w:r>
          </w:p>
        </w:tc>
        <w:tc>
          <w:tcPr>
            <w:tcW w:w="10206" w:type="dxa"/>
          </w:tcPr>
          <w:p w14:paraId="1B219176" w14:textId="77777777" w:rsidR="00A71942" w:rsidRPr="00E039BA" w:rsidRDefault="00A71942" w:rsidP="00E276C8">
            <w:pPr>
              <w:spacing w:after="120"/>
              <w:rPr>
                <w:noProof/>
                <w:sz w:val="22"/>
                <w:szCs w:val="22"/>
              </w:rPr>
            </w:pPr>
            <w:r w:rsidRPr="1FC5E705">
              <w:rPr>
                <w:noProof/>
                <w:sz w:val="22"/>
                <w:szCs w:val="22"/>
              </w:rPr>
              <w:t>The transition towards climate-neutral industry and investments spurred notably via the Industrial Decarbonisation Bank support is expected to create skilled jobs in green technology sectors in all ETS sectors and in circular economy sectors.</w:t>
            </w:r>
          </w:p>
        </w:tc>
        <w:tc>
          <w:tcPr>
            <w:tcW w:w="3027" w:type="dxa"/>
          </w:tcPr>
          <w:p w14:paraId="71D625BE" w14:textId="77777777" w:rsidR="00A71942" w:rsidRPr="00E039BA" w:rsidRDefault="00A71942" w:rsidP="00E276C8">
            <w:pPr>
              <w:spacing w:after="120"/>
              <w:rPr>
                <w:noProof/>
                <w:sz w:val="22"/>
                <w:szCs w:val="22"/>
              </w:rPr>
            </w:pPr>
            <w:r w:rsidRPr="1FC5E705">
              <w:rPr>
                <w:noProof/>
                <w:sz w:val="22"/>
                <w:szCs w:val="22"/>
              </w:rPr>
              <w:t>Short-term adjustment costs may occur in carbon-intensive regions; Just Transition and Innovation Funds provide mitigation.</w:t>
            </w:r>
          </w:p>
        </w:tc>
      </w:tr>
      <w:tr w:rsidR="00A71942" w:rsidRPr="00E039BA" w14:paraId="16CA2D44" w14:textId="77777777" w:rsidTr="1FC5E705">
        <w:tc>
          <w:tcPr>
            <w:tcW w:w="1555" w:type="dxa"/>
          </w:tcPr>
          <w:p w14:paraId="37203E5A" w14:textId="77777777" w:rsidR="00A71942" w:rsidRPr="00E039BA" w:rsidRDefault="00A71942" w:rsidP="00E276C8">
            <w:pPr>
              <w:spacing w:after="120"/>
              <w:rPr>
                <w:b/>
                <w:bCs/>
                <w:noProof/>
                <w:sz w:val="22"/>
                <w:szCs w:val="22"/>
              </w:rPr>
            </w:pPr>
            <w:r w:rsidRPr="1FC5E705">
              <w:rPr>
                <w:b/>
                <w:bCs/>
                <w:noProof/>
                <w:sz w:val="22"/>
                <w:szCs w:val="22"/>
              </w:rPr>
              <w:t>SDG 3 – Good Health and Well-being</w:t>
            </w:r>
          </w:p>
        </w:tc>
        <w:tc>
          <w:tcPr>
            <w:tcW w:w="10206" w:type="dxa"/>
          </w:tcPr>
          <w:p w14:paraId="6B04D4D0" w14:textId="77777777" w:rsidR="00A71942" w:rsidRPr="00E039BA" w:rsidRDefault="00A71942" w:rsidP="00E276C8">
            <w:pPr>
              <w:spacing w:after="120"/>
              <w:rPr>
                <w:noProof/>
                <w:sz w:val="22"/>
                <w:szCs w:val="22"/>
              </w:rPr>
            </w:pPr>
            <w:r w:rsidRPr="1FC5E705">
              <w:rPr>
                <w:noProof/>
                <w:sz w:val="22"/>
                <w:szCs w:val="22"/>
              </w:rPr>
              <w:t>Reduced industrial and waste sector emissions, and incentives to reduce aviation and maritime emissions lead to improved air quality and lower exposure to harmful pollutants, benefiting public health.</w:t>
            </w:r>
          </w:p>
          <w:p w14:paraId="336532C3" w14:textId="77777777" w:rsidR="00A71942" w:rsidRPr="00E039BA" w:rsidRDefault="00A71942" w:rsidP="00E276C8">
            <w:pPr>
              <w:spacing w:after="120"/>
              <w:rPr>
                <w:noProof/>
                <w:sz w:val="22"/>
                <w:szCs w:val="22"/>
              </w:rPr>
            </w:pPr>
            <w:r w:rsidRPr="1FC5E705">
              <w:rPr>
                <w:noProof/>
                <w:sz w:val="22"/>
                <w:szCs w:val="22"/>
              </w:rPr>
              <w:t>By encouraging the shipping sector to switch to sustainable fuels and adopt more efficient and innovative technologies, the ETS, including SMaP, contributes to lowering air pollution levels in coastal and port communities, directly advancing Target 3.9, which aims to improve health conditions by reducing illnesses and deaths from hazardous chemicals and air and water pollution. Additionally, improved air quality benefits vulnerable populations, including children and the elderly citizens, supporting the broader goal of ensuring healthy lives and promoting well-being for all ages</w:t>
            </w:r>
          </w:p>
        </w:tc>
        <w:tc>
          <w:tcPr>
            <w:tcW w:w="3027" w:type="dxa"/>
          </w:tcPr>
          <w:p w14:paraId="4C593EC7" w14:textId="77777777" w:rsidR="00A71942" w:rsidRPr="00E039BA" w:rsidRDefault="00A71942" w:rsidP="00E276C8">
            <w:pPr>
              <w:spacing w:after="120"/>
              <w:rPr>
                <w:noProof/>
                <w:sz w:val="22"/>
                <w:szCs w:val="22"/>
              </w:rPr>
            </w:pPr>
            <w:r w:rsidRPr="1FC5E705">
              <w:rPr>
                <w:noProof/>
                <w:sz w:val="22"/>
                <w:szCs w:val="22"/>
              </w:rPr>
              <w:t>Health co-benefits complement environmental gains</w:t>
            </w:r>
          </w:p>
        </w:tc>
      </w:tr>
      <w:tr w:rsidR="00A71942" w:rsidRPr="00E039BA" w14:paraId="46825990" w14:textId="77777777" w:rsidTr="1FC5E705">
        <w:trPr>
          <w:trHeight w:val="300"/>
        </w:trPr>
        <w:tc>
          <w:tcPr>
            <w:tcW w:w="1555" w:type="dxa"/>
          </w:tcPr>
          <w:p w14:paraId="65373C6D" w14:textId="77777777" w:rsidR="00A71942" w:rsidRPr="00E039BA" w:rsidRDefault="00A71942" w:rsidP="00E276C8">
            <w:pPr>
              <w:spacing w:after="120"/>
              <w:rPr>
                <w:b/>
                <w:bCs/>
                <w:noProof/>
                <w:sz w:val="22"/>
                <w:szCs w:val="22"/>
              </w:rPr>
            </w:pPr>
            <w:r w:rsidRPr="1FC5E705">
              <w:rPr>
                <w:b/>
                <w:bCs/>
                <w:noProof/>
                <w:sz w:val="22"/>
                <w:szCs w:val="22"/>
              </w:rPr>
              <w:t>SDG 14 – LIFE below Water</w:t>
            </w:r>
          </w:p>
        </w:tc>
        <w:tc>
          <w:tcPr>
            <w:tcW w:w="10206" w:type="dxa"/>
          </w:tcPr>
          <w:p w14:paraId="131620AE" w14:textId="77777777" w:rsidR="00A71942" w:rsidRPr="00E039BA" w:rsidRDefault="00A71942" w:rsidP="00E276C8">
            <w:pPr>
              <w:spacing w:after="120"/>
              <w:rPr>
                <w:noProof/>
                <w:sz w:val="22"/>
                <w:szCs w:val="22"/>
              </w:rPr>
            </w:pPr>
            <w:r w:rsidRPr="1FC5E705">
              <w:rPr>
                <w:noProof/>
                <w:sz w:val="22"/>
                <w:szCs w:val="22"/>
              </w:rPr>
              <w:t>EU ETS supports SDG 14 as one of the main EU instruments for reducing greenhouse gas emissions, damage marine ecosystems through both global warming and ocean acidification.</w:t>
            </w:r>
          </w:p>
          <w:p w14:paraId="52F06915" w14:textId="77777777" w:rsidR="00A71942" w:rsidRPr="00E039BA" w:rsidRDefault="00A71942" w:rsidP="00E276C8">
            <w:pPr>
              <w:spacing w:after="120"/>
              <w:rPr>
                <w:noProof/>
                <w:sz w:val="22"/>
                <w:szCs w:val="22"/>
              </w:rPr>
            </w:pPr>
            <w:r w:rsidRPr="1FC5E705">
              <w:rPr>
                <w:noProof/>
                <w:sz w:val="22"/>
                <w:szCs w:val="22"/>
              </w:rPr>
              <w:t xml:space="preserve">The EU ETS for maritime plays significant role in protecting our oceans by encouraging the shipping sector to operate in a more sustainable way according to the SDGs. Beyond reducing GHGs, the policy promotes cleaner fuels, energy efficiency and better practices that help reduce emissions and pollutants affecting marine life. This supports the goal of maintaining healthy and productive seas by limiting factors such as acidification and chemical contamination, which directly impact biodiversity. Moreover, by promoting the innovation and better environmental monitoring, the EU ETS helps improve how the way the shipping sector manages its environmental footprint, contributing to stronger scientific understanding and responsible stewardship of ocean resources. In this way, the maritime ETS supports the long-term maintenance of the shipping industry while safeguarding marine ecosystems, aligning closely with the broader aims of SDG 14. </w:t>
            </w:r>
          </w:p>
        </w:tc>
        <w:tc>
          <w:tcPr>
            <w:tcW w:w="3027" w:type="dxa"/>
          </w:tcPr>
          <w:p w14:paraId="6BFC3B78" w14:textId="77777777" w:rsidR="00A71942" w:rsidRPr="00E039BA" w:rsidRDefault="00A71942" w:rsidP="00E276C8">
            <w:pPr>
              <w:spacing w:after="120"/>
              <w:rPr>
                <w:noProof/>
                <w:sz w:val="22"/>
                <w:szCs w:val="22"/>
              </w:rPr>
            </w:pPr>
            <w:r w:rsidRPr="1FC5E705">
              <w:rPr>
                <w:noProof/>
                <w:sz w:val="22"/>
                <w:szCs w:val="22"/>
              </w:rPr>
              <w:t>Marine biodiversity and ecosystems’ co-benefits complement environmental gains</w:t>
            </w:r>
          </w:p>
        </w:tc>
      </w:tr>
    </w:tbl>
    <w:p w14:paraId="11B2C39B" w14:textId="77777777" w:rsidR="00A71942" w:rsidRDefault="00A71942" w:rsidP="00E276C8">
      <w:pPr>
        <w:spacing w:line="240" w:lineRule="auto"/>
        <w:rPr>
          <w:noProof/>
          <w:sz w:val="22"/>
          <w:szCs w:val="22"/>
        </w:rPr>
        <w:sectPr w:rsidR="00A71942" w:rsidSect="00A71942">
          <w:headerReference w:type="default" r:id="rId29"/>
          <w:footerReference w:type="default" r:id="rId30"/>
          <w:headerReference w:type="first" r:id="rId31"/>
          <w:footerReference w:type="first" r:id="rId32"/>
          <w:pgSz w:w="16838" w:h="11906" w:orient="landscape"/>
          <w:pgMar w:top="1587" w:right="1020" w:bottom="1558" w:left="1020" w:header="601" w:footer="1077" w:gutter="0"/>
          <w:cols w:space="720"/>
          <w:titlePg/>
          <w:docGrid w:linePitch="326"/>
        </w:sectPr>
      </w:pPr>
    </w:p>
    <w:p w14:paraId="1206C011" w14:textId="77777777" w:rsidR="00A71942" w:rsidRDefault="00A71942" w:rsidP="00E276C8">
      <w:pPr>
        <w:pStyle w:val="AnnexTitle"/>
        <w:spacing w:before="120" w:after="120" w:line="240" w:lineRule="auto"/>
        <w:rPr>
          <w:noProof/>
        </w:rPr>
      </w:pPr>
      <w:bookmarkStart w:id="222" w:name="_Toc232591569"/>
      <w:bookmarkStart w:id="223" w:name="_Toc232611472"/>
      <w:bookmarkStart w:id="224" w:name="_Toc232758153"/>
      <w:r>
        <w:rPr>
          <w:noProof/>
        </w:rPr>
        <w:t>Annex 4: Modelling</w:t>
      </w:r>
      <w:bookmarkEnd w:id="222"/>
      <w:bookmarkEnd w:id="223"/>
      <w:bookmarkEnd w:id="224"/>
    </w:p>
    <w:p w14:paraId="28030CD7" w14:textId="77777777" w:rsidR="00A71942" w:rsidRPr="002B0D84" w:rsidRDefault="00A71942" w:rsidP="00E276C8">
      <w:pPr>
        <w:pStyle w:val="Heading1COM"/>
        <w:numPr>
          <w:ilvl w:val="0"/>
          <w:numId w:val="0"/>
        </w:numPr>
        <w:spacing w:before="120" w:after="120" w:line="240" w:lineRule="auto"/>
        <w:ind w:left="360"/>
        <w:outlineLvl w:val="1"/>
        <w:rPr>
          <w:noProof/>
        </w:rPr>
      </w:pPr>
      <w:bookmarkStart w:id="225" w:name="_Toc232611473"/>
      <w:bookmarkStart w:id="226" w:name="_Toc232758154"/>
      <w:r>
        <w:rPr>
          <w:noProof/>
        </w:rPr>
        <w:t>List of Tables</w:t>
      </w:r>
      <w:bookmarkEnd w:id="225"/>
      <w:bookmarkEnd w:id="226"/>
    </w:p>
    <w:p w14:paraId="770B1E99" w14:textId="1AFCBEB1" w:rsidR="00BF07F6" w:rsidRDefault="00A71942"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r>
        <w:rPr>
          <w:noProof/>
        </w:rPr>
        <w:fldChar w:fldCharType="begin"/>
      </w:r>
      <w:r w:rsidRPr="002B0D84">
        <w:rPr>
          <w:noProof/>
        </w:rPr>
        <w:instrText xml:space="preserve"> TOC \h \z \t "Table title" \c </w:instrText>
      </w:r>
      <w:r>
        <w:rPr>
          <w:noProof/>
        </w:rPr>
        <w:fldChar w:fldCharType="separate"/>
      </w:r>
      <w:hyperlink w:anchor="_Toc232758453" w:history="1">
        <w:r w:rsidR="40328C90" w:rsidRPr="1FC5E705">
          <w:rPr>
            <w:rStyle w:val="Hyperlink"/>
            <w:noProof/>
          </w:rPr>
          <w:t>Table 1:</w:t>
        </w:r>
        <w:r>
          <w:rPr>
            <w:noProof/>
          </w:rPr>
          <w:tab/>
        </w:r>
        <w:r w:rsidR="40328C90" w:rsidRPr="1FC5E705">
          <w:rPr>
            <w:rStyle w:val="Hyperlink"/>
            <w:noProof/>
          </w:rPr>
          <w:t>Overview of assumptions modelled using AERO-MS</w:t>
        </w:r>
        <w:r>
          <w:rPr>
            <w:noProof/>
          </w:rPr>
          <w:tab/>
        </w:r>
        <w:r w:rsidR="00BF07F6">
          <w:rPr>
            <w:noProof/>
            <w:webHidden/>
          </w:rPr>
          <w:fldChar w:fldCharType="begin"/>
        </w:r>
        <w:r w:rsidR="00BF07F6">
          <w:rPr>
            <w:noProof/>
            <w:webHidden/>
          </w:rPr>
          <w:instrText xml:space="preserve"> PAGEREF _Toc232758453 \h </w:instrText>
        </w:r>
        <w:r w:rsidR="00BF07F6">
          <w:rPr>
            <w:noProof/>
            <w:webHidden/>
          </w:rPr>
        </w:r>
        <w:r w:rsidR="00BF07F6">
          <w:rPr>
            <w:noProof/>
            <w:webHidden/>
          </w:rPr>
          <w:fldChar w:fldCharType="separate"/>
        </w:r>
        <w:r w:rsidR="00D749DC">
          <w:rPr>
            <w:noProof/>
            <w:webHidden/>
          </w:rPr>
          <w:t>56</w:t>
        </w:r>
        <w:r w:rsidR="00BF07F6">
          <w:rPr>
            <w:noProof/>
            <w:webHidden/>
          </w:rPr>
          <w:fldChar w:fldCharType="end"/>
        </w:r>
      </w:hyperlink>
    </w:p>
    <w:p w14:paraId="5B971425" w14:textId="6DB3C878" w:rsidR="00BF07F6"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55" w:history="1">
        <w:r w:rsidRPr="1FC5E705">
          <w:rPr>
            <w:rStyle w:val="Hyperlink"/>
            <w:noProof/>
          </w:rPr>
          <w:t>Table 2:</w:t>
        </w:r>
        <w:r w:rsidR="00BF07F6">
          <w:rPr>
            <w:noProof/>
          </w:rPr>
          <w:tab/>
        </w:r>
        <w:r w:rsidRPr="1FC5E705">
          <w:rPr>
            <w:rStyle w:val="Hyperlink"/>
            <w:noProof/>
          </w:rPr>
          <w:t>Regional resolution of the GEM-E3 model</w:t>
        </w:r>
        <w:r w:rsidR="00BF07F6">
          <w:rPr>
            <w:noProof/>
          </w:rPr>
          <w:tab/>
        </w:r>
        <w:r w:rsidR="00BF07F6">
          <w:rPr>
            <w:noProof/>
            <w:webHidden/>
          </w:rPr>
          <w:fldChar w:fldCharType="begin"/>
        </w:r>
        <w:r w:rsidR="00BF07F6">
          <w:rPr>
            <w:noProof/>
            <w:webHidden/>
          </w:rPr>
          <w:instrText xml:space="preserve"> PAGEREF _Toc232758455 \h </w:instrText>
        </w:r>
        <w:r w:rsidR="00BF07F6">
          <w:rPr>
            <w:noProof/>
            <w:webHidden/>
          </w:rPr>
        </w:r>
        <w:r w:rsidR="00BF07F6">
          <w:rPr>
            <w:noProof/>
            <w:webHidden/>
          </w:rPr>
          <w:fldChar w:fldCharType="separate"/>
        </w:r>
        <w:r w:rsidR="00D749DC">
          <w:rPr>
            <w:noProof/>
            <w:webHidden/>
          </w:rPr>
          <w:t>62</w:t>
        </w:r>
        <w:r w:rsidR="00BF07F6">
          <w:rPr>
            <w:noProof/>
            <w:webHidden/>
          </w:rPr>
          <w:fldChar w:fldCharType="end"/>
        </w:r>
      </w:hyperlink>
    </w:p>
    <w:p w14:paraId="4DECAF80" w14:textId="6E60E0E1" w:rsidR="00BF07F6"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56" w:history="1">
        <w:r w:rsidRPr="1FC5E705">
          <w:rPr>
            <w:rStyle w:val="Hyperlink"/>
            <w:noProof/>
          </w:rPr>
          <w:t>Table 3:</w:t>
        </w:r>
        <w:r w:rsidR="00BF07F6">
          <w:rPr>
            <w:noProof/>
          </w:rPr>
          <w:tab/>
        </w:r>
        <w:r w:rsidRPr="1FC5E705">
          <w:rPr>
            <w:rStyle w:val="Hyperlink"/>
            <w:noProof/>
          </w:rPr>
          <w:t>Sectoral resolution of the GEM-E3 model</w:t>
        </w:r>
        <w:r w:rsidR="00BF07F6">
          <w:rPr>
            <w:noProof/>
          </w:rPr>
          <w:tab/>
        </w:r>
        <w:r w:rsidR="00BF07F6">
          <w:rPr>
            <w:noProof/>
            <w:webHidden/>
          </w:rPr>
          <w:fldChar w:fldCharType="begin"/>
        </w:r>
        <w:r w:rsidR="00BF07F6">
          <w:rPr>
            <w:noProof/>
            <w:webHidden/>
          </w:rPr>
          <w:instrText xml:space="preserve"> PAGEREF _Toc232758456 \h </w:instrText>
        </w:r>
        <w:r w:rsidR="00BF07F6">
          <w:rPr>
            <w:noProof/>
            <w:webHidden/>
          </w:rPr>
        </w:r>
        <w:r w:rsidR="00BF07F6">
          <w:rPr>
            <w:noProof/>
            <w:webHidden/>
          </w:rPr>
          <w:fldChar w:fldCharType="separate"/>
        </w:r>
        <w:r w:rsidR="00D749DC">
          <w:rPr>
            <w:noProof/>
            <w:webHidden/>
          </w:rPr>
          <w:t>64</w:t>
        </w:r>
        <w:r w:rsidR="00BF07F6">
          <w:rPr>
            <w:noProof/>
            <w:webHidden/>
          </w:rPr>
          <w:fldChar w:fldCharType="end"/>
        </w:r>
      </w:hyperlink>
    </w:p>
    <w:p w14:paraId="0C15A190" w14:textId="3CA08284" w:rsidR="00BF07F6" w:rsidRPr="00F971BC"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57" w:history="1">
        <w:r w:rsidRPr="1FC5E705">
          <w:rPr>
            <w:rStyle w:val="Hyperlink"/>
            <w:noProof/>
          </w:rPr>
          <w:t>Table 4:</w:t>
        </w:r>
        <w:r w:rsidR="00BF07F6">
          <w:rPr>
            <w:noProof/>
          </w:rPr>
          <w:tab/>
        </w:r>
        <w:r w:rsidRPr="1FC5E705">
          <w:rPr>
            <w:rStyle w:val="Hyperlink"/>
            <w:noProof/>
          </w:rPr>
          <w:t>Data sources used in GEM-E3 model for the base year calibration</w:t>
        </w:r>
        <w:r w:rsidR="00BF07F6">
          <w:rPr>
            <w:noProof/>
          </w:rPr>
          <w:tab/>
        </w:r>
        <w:r w:rsidR="00BF07F6" w:rsidRPr="00F971BC">
          <w:rPr>
            <w:noProof/>
            <w:webHidden/>
          </w:rPr>
          <w:fldChar w:fldCharType="begin"/>
        </w:r>
        <w:r w:rsidR="00BF07F6" w:rsidRPr="00F971BC">
          <w:rPr>
            <w:noProof/>
            <w:webHidden/>
          </w:rPr>
          <w:instrText xml:space="preserve"> PAGEREF _Toc232758457 \h </w:instrText>
        </w:r>
        <w:r w:rsidR="00BF07F6" w:rsidRPr="00F971BC">
          <w:rPr>
            <w:noProof/>
            <w:webHidden/>
          </w:rPr>
        </w:r>
        <w:r w:rsidR="00BF07F6" w:rsidRPr="00F971BC">
          <w:rPr>
            <w:noProof/>
            <w:webHidden/>
          </w:rPr>
          <w:fldChar w:fldCharType="separate"/>
        </w:r>
        <w:r w:rsidR="00D749DC">
          <w:rPr>
            <w:noProof/>
            <w:webHidden/>
          </w:rPr>
          <w:t>65</w:t>
        </w:r>
        <w:r w:rsidR="00BF07F6" w:rsidRPr="00F971BC">
          <w:rPr>
            <w:noProof/>
            <w:webHidden/>
          </w:rPr>
          <w:fldChar w:fldCharType="end"/>
        </w:r>
      </w:hyperlink>
    </w:p>
    <w:p w14:paraId="34E3BF8B" w14:textId="594653FC" w:rsidR="00BF07F6" w:rsidRPr="00F971BC"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58" w:history="1">
        <w:r w:rsidRPr="1FC5E705">
          <w:rPr>
            <w:rStyle w:val="Hyperlink"/>
            <w:noProof/>
            <w:lang w:val="en-IE"/>
          </w:rPr>
          <w:t>Table 5:</w:t>
        </w:r>
        <w:r w:rsidR="00BF07F6">
          <w:rPr>
            <w:noProof/>
          </w:rPr>
          <w:tab/>
        </w:r>
        <w:r w:rsidRPr="1FC5E705">
          <w:rPr>
            <w:rStyle w:val="Hyperlink"/>
            <w:noProof/>
          </w:rPr>
          <w:t>Fossil fuel price assumptions</w:t>
        </w:r>
        <w:r w:rsidR="00BF07F6">
          <w:rPr>
            <w:noProof/>
          </w:rPr>
          <w:tab/>
        </w:r>
        <w:r w:rsidR="00BF07F6" w:rsidRPr="00F971BC">
          <w:rPr>
            <w:noProof/>
            <w:webHidden/>
          </w:rPr>
          <w:fldChar w:fldCharType="begin"/>
        </w:r>
        <w:r w:rsidR="00BF07F6" w:rsidRPr="00F971BC">
          <w:rPr>
            <w:noProof/>
            <w:webHidden/>
          </w:rPr>
          <w:instrText xml:space="preserve"> PAGEREF _Toc232758458 \h </w:instrText>
        </w:r>
        <w:r w:rsidR="00BF07F6" w:rsidRPr="00F971BC">
          <w:rPr>
            <w:noProof/>
            <w:webHidden/>
          </w:rPr>
        </w:r>
        <w:r w:rsidR="00BF07F6" w:rsidRPr="00F971BC">
          <w:rPr>
            <w:noProof/>
            <w:webHidden/>
          </w:rPr>
          <w:fldChar w:fldCharType="separate"/>
        </w:r>
        <w:r w:rsidR="00D749DC">
          <w:rPr>
            <w:noProof/>
            <w:webHidden/>
          </w:rPr>
          <w:t>69</w:t>
        </w:r>
        <w:r w:rsidR="00BF07F6" w:rsidRPr="00F971BC">
          <w:rPr>
            <w:noProof/>
            <w:webHidden/>
          </w:rPr>
          <w:fldChar w:fldCharType="end"/>
        </w:r>
      </w:hyperlink>
    </w:p>
    <w:p w14:paraId="2038141C" w14:textId="3BD10048" w:rsidR="00BF07F6" w:rsidRPr="00F971BC"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59" w:history="1">
        <w:r w:rsidRPr="1FC5E705">
          <w:rPr>
            <w:rStyle w:val="Hyperlink"/>
            <w:noProof/>
          </w:rPr>
          <w:t>Table 6:</w:t>
        </w:r>
        <w:r w:rsidR="00BF07F6">
          <w:rPr>
            <w:noProof/>
          </w:rPr>
          <w:tab/>
        </w:r>
        <w:r w:rsidRPr="1FC5E705">
          <w:rPr>
            <w:rStyle w:val="Hyperlink"/>
            <w:noProof/>
          </w:rPr>
          <w:t>Overview of the development of the baseline at the non-EU level</w:t>
        </w:r>
        <w:r w:rsidR="00BF07F6">
          <w:rPr>
            <w:noProof/>
          </w:rPr>
          <w:tab/>
        </w:r>
        <w:r w:rsidR="00BF07F6" w:rsidRPr="00F971BC">
          <w:rPr>
            <w:noProof/>
            <w:webHidden/>
          </w:rPr>
          <w:fldChar w:fldCharType="begin"/>
        </w:r>
        <w:r w:rsidR="00BF07F6" w:rsidRPr="00F971BC">
          <w:rPr>
            <w:noProof/>
            <w:webHidden/>
          </w:rPr>
          <w:instrText xml:space="preserve"> PAGEREF _Toc232758459 \h </w:instrText>
        </w:r>
        <w:r w:rsidR="00BF07F6" w:rsidRPr="00F971BC">
          <w:rPr>
            <w:noProof/>
            <w:webHidden/>
          </w:rPr>
        </w:r>
        <w:r w:rsidR="00BF07F6" w:rsidRPr="00F971BC">
          <w:rPr>
            <w:noProof/>
            <w:webHidden/>
          </w:rPr>
          <w:fldChar w:fldCharType="separate"/>
        </w:r>
        <w:r w:rsidR="00D749DC">
          <w:rPr>
            <w:noProof/>
            <w:webHidden/>
          </w:rPr>
          <w:t>71</w:t>
        </w:r>
        <w:r w:rsidR="00BF07F6" w:rsidRPr="00F971BC">
          <w:rPr>
            <w:noProof/>
            <w:webHidden/>
          </w:rPr>
          <w:fldChar w:fldCharType="end"/>
        </w:r>
      </w:hyperlink>
    </w:p>
    <w:p w14:paraId="22683D22" w14:textId="203A9B6F" w:rsidR="00BF07F6" w:rsidRPr="00F971BC"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60" w:history="1">
        <w:r w:rsidRPr="1FC5E705">
          <w:rPr>
            <w:rStyle w:val="Hyperlink"/>
            <w:noProof/>
          </w:rPr>
          <w:t>Table 7:</w:t>
        </w:r>
        <w:r w:rsidR="00BF07F6">
          <w:rPr>
            <w:noProof/>
          </w:rPr>
          <w:tab/>
        </w:r>
        <w:r w:rsidRPr="1FC5E705">
          <w:rPr>
            <w:rStyle w:val="Hyperlink"/>
            <w:noProof/>
          </w:rPr>
          <w:t>Overview of the development of the baseline at the EU level</w:t>
        </w:r>
        <w:r w:rsidR="00BF07F6">
          <w:rPr>
            <w:noProof/>
          </w:rPr>
          <w:tab/>
        </w:r>
        <w:r w:rsidR="00BF07F6" w:rsidRPr="00F971BC">
          <w:rPr>
            <w:noProof/>
            <w:webHidden/>
          </w:rPr>
          <w:fldChar w:fldCharType="begin"/>
        </w:r>
        <w:r w:rsidR="00BF07F6" w:rsidRPr="00F971BC">
          <w:rPr>
            <w:noProof/>
            <w:webHidden/>
          </w:rPr>
          <w:instrText xml:space="preserve"> PAGEREF _Toc232758460 \h </w:instrText>
        </w:r>
        <w:r w:rsidR="00BF07F6" w:rsidRPr="00F971BC">
          <w:rPr>
            <w:noProof/>
            <w:webHidden/>
          </w:rPr>
        </w:r>
        <w:r w:rsidR="00BF07F6" w:rsidRPr="00F971BC">
          <w:rPr>
            <w:noProof/>
            <w:webHidden/>
          </w:rPr>
          <w:fldChar w:fldCharType="separate"/>
        </w:r>
        <w:r w:rsidR="00D749DC">
          <w:rPr>
            <w:noProof/>
            <w:webHidden/>
          </w:rPr>
          <w:t>72</w:t>
        </w:r>
        <w:r w:rsidR="00BF07F6" w:rsidRPr="00F971BC">
          <w:rPr>
            <w:noProof/>
            <w:webHidden/>
          </w:rPr>
          <w:fldChar w:fldCharType="end"/>
        </w:r>
      </w:hyperlink>
    </w:p>
    <w:p w14:paraId="13FDF55B" w14:textId="3D9727DD" w:rsidR="00BF07F6" w:rsidRDefault="40328C90" w:rsidP="00975687">
      <w:pPr>
        <w:pStyle w:val="TableofFigures"/>
        <w:tabs>
          <w:tab w:val="left" w:pos="1200"/>
          <w:tab w:val="right" w:leader="dot" w:pos="9016"/>
        </w:tabs>
        <w:spacing w:line="240" w:lineRule="auto"/>
        <w:rPr>
          <w:rFonts w:asciiTheme="minorHAnsi" w:eastAsiaTheme="minorEastAsia" w:hAnsiTheme="minorHAnsi" w:cstheme="minorBidi"/>
          <w:noProof/>
          <w:color w:val="auto"/>
          <w:kern w:val="2"/>
          <w:lang w:val="en-IE" w:eastAsia="en-IE"/>
          <w14:ligatures w14:val="standardContextual"/>
        </w:rPr>
      </w:pPr>
      <w:hyperlink w:anchor="_Toc232758461" w:history="1">
        <w:r w:rsidRPr="1FC5E705">
          <w:rPr>
            <w:rStyle w:val="Hyperlink"/>
            <w:noProof/>
          </w:rPr>
          <w:t>Table 8:</w:t>
        </w:r>
        <w:r w:rsidR="00BF07F6">
          <w:rPr>
            <w:noProof/>
          </w:rPr>
          <w:tab/>
        </w:r>
        <w:r w:rsidRPr="1FC5E705">
          <w:rPr>
            <w:rStyle w:val="Hyperlink"/>
            <w:noProof/>
          </w:rPr>
          <w:t>Overview of the development of the policy scenario at the EU level</w:t>
        </w:r>
        <w:r w:rsidR="00BF07F6">
          <w:rPr>
            <w:noProof/>
          </w:rPr>
          <w:tab/>
        </w:r>
        <w:r w:rsidR="00BF07F6" w:rsidRPr="00F971BC">
          <w:rPr>
            <w:noProof/>
            <w:webHidden/>
          </w:rPr>
          <w:fldChar w:fldCharType="begin"/>
        </w:r>
        <w:r w:rsidR="00BF07F6" w:rsidRPr="00F971BC">
          <w:rPr>
            <w:noProof/>
            <w:webHidden/>
          </w:rPr>
          <w:instrText xml:space="preserve"> PAGEREF _Toc232758461 \h </w:instrText>
        </w:r>
        <w:r w:rsidR="00BF07F6" w:rsidRPr="00F971BC">
          <w:rPr>
            <w:noProof/>
            <w:webHidden/>
          </w:rPr>
        </w:r>
        <w:r w:rsidR="00BF07F6" w:rsidRPr="00F971BC">
          <w:rPr>
            <w:noProof/>
            <w:webHidden/>
          </w:rPr>
          <w:fldChar w:fldCharType="separate"/>
        </w:r>
        <w:r w:rsidR="00D749DC">
          <w:rPr>
            <w:noProof/>
            <w:webHidden/>
          </w:rPr>
          <w:t>74</w:t>
        </w:r>
        <w:r w:rsidR="00BF07F6" w:rsidRPr="00F971BC">
          <w:rPr>
            <w:noProof/>
            <w:webHidden/>
          </w:rPr>
          <w:fldChar w:fldCharType="end"/>
        </w:r>
      </w:hyperlink>
    </w:p>
    <w:p w14:paraId="4B408B27" w14:textId="53D265DF" w:rsidR="00A71942" w:rsidRPr="002B0D84" w:rsidRDefault="00A71942" w:rsidP="00E276C8">
      <w:pPr>
        <w:spacing w:line="240" w:lineRule="auto"/>
        <w:jc w:val="left"/>
        <w:rPr>
          <w:noProof/>
        </w:rPr>
      </w:pPr>
      <w:r>
        <w:rPr>
          <w:noProof/>
        </w:rPr>
        <w:fldChar w:fldCharType="end"/>
      </w:r>
    </w:p>
    <w:p w14:paraId="10D72724" w14:textId="694137ED" w:rsidR="00D749DC" w:rsidRPr="00D749DC" w:rsidRDefault="00A71942" w:rsidP="00D749DC">
      <w:pPr>
        <w:pStyle w:val="TableofFigures"/>
        <w:tabs>
          <w:tab w:val="left" w:pos="1200"/>
          <w:tab w:val="right" w:leader="dot" w:pos="9016"/>
        </w:tabs>
        <w:spacing w:line="240" w:lineRule="auto"/>
        <w:rPr>
          <w:rStyle w:val="Hyperlink"/>
          <w:noProof/>
        </w:rPr>
      </w:pPr>
      <w:bookmarkStart w:id="227" w:name="_Toc232611474"/>
      <w:bookmarkStart w:id="228" w:name="_Toc232758155"/>
      <w:r>
        <w:rPr>
          <w:noProof/>
        </w:rPr>
        <w:t>List of Figures</w:t>
      </w:r>
      <w:bookmarkEnd w:id="227"/>
      <w:bookmarkEnd w:id="228"/>
      <w:r w:rsidRPr="00D749DC">
        <w:rPr>
          <w:rStyle w:val="Hyperlink"/>
          <w:noProof/>
        </w:rPr>
        <w:fldChar w:fldCharType="begin"/>
      </w:r>
      <w:r w:rsidRPr="00D749DC">
        <w:rPr>
          <w:rStyle w:val="Hyperlink"/>
          <w:noProof/>
        </w:rPr>
        <w:instrText xml:space="preserve"> TOC \h \z \t "Figure title" \c </w:instrText>
      </w:r>
      <w:r w:rsidRPr="00D749DC">
        <w:rPr>
          <w:rStyle w:val="Hyperlink"/>
          <w:noProof/>
        </w:rPr>
        <w:fldChar w:fldCharType="separate"/>
      </w:r>
    </w:p>
    <w:p w14:paraId="29054428" w14:textId="33CB5A5A" w:rsidR="00D749DC" w:rsidRPr="00D749DC" w:rsidRDefault="00D749DC" w:rsidP="00D749DC">
      <w:pPr>
        <w:pStyle w:val="TableofFigures"/>
        <w:tabs>
          <w:tab w:val="left" w:pos="1200"/>
          <w:tab w:val="right" w:leader="dot" w:pos="9016"/>
        </w:tabs>
        <w:spacing w:line="240" w:lineRule="auto"/>
        <w:rPr>
          <w:rStyle w:val="Hyperlink"/>
          <w:noProof/>
        </w:rPr>
      </w:pPr>
      <w:hyperlink w:anchor="_Toc234931457" w:history="1">
        <w:r w:rsidRPr="00DD3333">
          <w:rPr>
            <w:rStyle w:val="Hyperlink"/>
            <w:noProof/>
          </w:rPr>
          <w:t>Figure 1:</w:t>
        </w:r>
        <w:r w:rsidRPr="00D749DC">
          <w:rPr>
            <w:rStyle w:val="Hyperlink"/>
            <w:noProof/>
          </w:rPr>
          <w:tab/>
        </w:r>
        <w:r w:rsidRPr="00DD3333">
          <w:rPr>
            <w:rStyle w:val="Hyperlink"/>
            <w:noProof/>
          </w:rPr>
          <w:t>Main modelling suite used for GHG projections.</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_Toc234931457 \h </w:instrText>
        </w:r>
        <w:r w:rsidRPr="00D749DC">
          <w:rPr>
            <w:rStyle w:val="Hyperlink"/>
            <w:noProof/>
            <w:webHidden/>
          </w:rPr>
        </w:r>
        <w:r w:rsidRPr="00D749DC">
          <w:rPr>
            <w:rStyle w:val="Hyperlink"/>
            <w:noProof/>
            <w:webHidden/>
          </w:rPr>
          <w:fldChar w:fldCharType="separate"/>
        </w:r>
        <w:r w:rsidRPr="00D749DC">
          <w:rPr>
            <w:rStyle w:val="Hyperlink"/>
            <w:noProof/>
            <w:webHidden/>
          </w:rPr>
          <w:t>55</w:t>
        </w:r>
        <w:r w:rsidRPr="00D749DC">
          <w:rPr>
            <w:rStyle w:val="Hyperlink"/>
            <w:noProof/>
            <w:webHidden/>
          </w:rPr>
          <w:fldChar w:fldCharType="end"/>
        </w:r>
      </w:hyperlink>
    </w:p>
    <w:p w14:paraId="4A146F39" w14:textId="4BB2628C" w:rsidR="00D749DC" w:rsidRPr="00D749DC" w:rsidRDefault="00D749DC" w:rsidP="00D749DC">
      <w:pPr>
        <w:pStyle w:val="TableofFigures"/>
        <w:tabs>
          <w:tab w:val="left" w:pos="1200"/>
          <w:tab w:val="right" w:leader="dot" w:pos="9016"/>
        </w:tabs>
        <w:spacing w:line="240" w:lineRule="auto"/>
        <w:rPr>
          <w:rStyle w:val="Hyperlink"/>
          <w:noProof/>
        </w:rPr>
      </w:pPr>
      <w:hyperlink w:anchor="_Toc234931458" w:history="1">
        <w:r w:rsidRPr="00DD3333">
          <w:rPr>
            <w:rStyle w:val="Hyperlink"/>
            <w:noProof/>
          </w:rPr>
          <w:t>Figure 2:</w:t>
        </w:r>
        <w:r w:rsidRPr="00D749DC">
          <w:rPr>
            <w:rStyle w:val="Hyperlink"/>
            <w:noProof/>
          </w:rPr>
          <w:tab/>
        </w:r>
        <w:r w:rsidRPr="00DD3333">
          <w:rPr>
            <w:rStyle w:val="Hyperlink"/>
            <w:noProof/>
          </w:rPr>
          <w:t>PRIMES model structure.</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_Toc234931458 \h </w:instrText>
        </w:r>
        <w:r w:rsidRPr="00D749DC">
          <w:rPr>
            <w:rStyle w:val="Hyperlink"/>
            <w:noProof/>
            <w:webHidden/>
          </w:rPr>
        </w:r>
        <w:r w:rsidRPr="00D749DC">
          <w:rPr>
            <w:rStyle w:val="Hyperlink"/>
            <w:noProof/>
            <w:webHidden/>
          </w:rPr>
          <w:fldChar w:fldCharType="separate"/>
        </w:r>
        <w:r w:rsidRPr="00D749DC">
          <w:rPr>
            <w:rStyle w:val="Hyperlink"/>
            <w:noProof/>
            <w:webHidden/>
          </w:rPr>
          <w:t>57</w:t>
        </w:r>
        <w:r w:rsidRPr="00D749DC">
          <w:rPr>
            <w:rStyle w:val="Hyperlink"/>
            <w:noProof/>
            <w:webHidden/>
          </w:rPr>
          <w:fldChar w:fldCharType="end"/>
        </w:r>
      </w:hyperlink>
    </w:p>
    <w:p w14:paraId="0CFBBC7F" w14:textId="3E213A5E" w:rsidR="00D749DC" w:rsidRPr="00D749DC" w:rsidRDefault="00D749DC" w:rsidP="00D749DC">
      <w:pPr>
        <w:pStyle w:val="TableofFigures"/>
        <w:tabs>
          <w:tab w:val="left" w:pos="1200"/>
          <w:tab w:val="right" w:leader="dot" w:pos="9016"/>
        </w:tabs>
        <w:spacing w:line="240" w:lineRule="auto"/>
        <w:rPr>
          <w:rStyle w:val="Hyperlink"/>
          <w:noProof/>
        </w:rPr>
      </w:pPr>
      <w:hyperlink w:anchor="_Toc234931459" w:history="1">
        <w:r w:rsidRPr="00DD3333">
          <w:rPr>
            <w:rStyle w:val="Hyperlink"/>
            <w:noProof/>
          </w:rPr>
          <w:t>Figure 3:</w:t>
        </w:r>
        <w:r w:rsidRPr="00D749DC">
          <w:rPr>
            <w:rStyle w:val="Hyperlink"/>
            <w:noProof/>
          </w:rPr>
          <w:tab/>
        </w:r>
        <w:r w:rsidRPr="00DD3333">
          <w:rPr>
            <w:rStyle w:val="Hyperlink"/>
            <w:noProof/>
          </w:rPr>
          <w:t>Schematic representation of the GEM-E3 model</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_Toc234931459 \h </w:instrText>
        </w:r>
        <w:r w:rsidRPr="00D749DC">
          <w:rPr>
            <w:rStyle w:val="Hyperlink"/>
            <w:noProof/>
            <w:webHidden/>
          </w:rPr>
        </w:r>
        <w:r w:rsidRPr="00D749DC">
          <w:rPr>
            <w:rStyle w:val="Hyperlink"/>
            <w:noProof/>
            <w:webHidden/>
          </w:rPr>
          <w:fldChar w:fldCharType="separate"/>
        </w:r>
        <w:r w:rsidRPr="00D749DC">
          <w:rPr>
            <w:rStyle w:val="Hyperlink"/>
            <w:noProof/>
            <w:webHidden/>
          </w:rPr>
          <w:t>60</w:t>
        </w:r>
        <w:r w:rsidRPr="00D749DC">
          <w:rPr>
            <w:rStyle w:val="Hyperlink"/>
            <w:noProof/>
            <w:webHidden/>
          </w:rPr>
          <w:fldChar w:fldCharType="end"/>
        </w:r>
      </w:hyperlink>
    </w:p>
    <w:p w14:paraId="307AFEFF" w14:textId="0A218FCB"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0" w:history="1">
        <w:r w:rsidRPr="00DD3333">
          <w:rPr>
            <w:rStyle w:val="Hyperlink"/>
            <w:noProof/>
          </w:rPr>
          <w:t>Figure 4:</w:t>
        </w:r>
        <w:r w:rsidRPr="00D749DC">
          <w:rPr>
            <w:rStyle w:val="Hyperlink"/>
            <w:noProof/>
          </w:rPr>
          <w:tab/>
        </w:r>
        <w:r w:rsidRPr="00DD3333">
          <w:rPr>
            <w:rStyle w:val="Hyperlink"/>
            <w:noProof/>
          </w:rPr>
          <w:t>GEM-E3 system dimensions</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_Toc234931460 \h </w:instrText>
        </w:r>
        <w:r w:rsidRPr="00D749DC">
          <w:rPr>
            <w:rStyle w:val="Hyperlink"/>
            <w:noProof/>
            <w:webHidden/>
          </w:rPr>
        </w:r>
        <w:r w:rsidRPr="00D749DC">
          <w:rPr>
            <w:rStyle w:val="Hyperlink"/>
            <w:noProof/>
            <w:webHidden/>
          </w:rPr>
          <w:fldChar w:fldCharType="separate"/>
        </w:r>
        <w:r w:rsidRPr="00D749DC">
          <w:rPr>
            <w:rStyle w:val="Hyperlink"/>
            <w:noProof/>
            <w:webHidden/>
          </w:rPr>
          <w:t>61</w:t>
        </w:r>
        <w:r w:rsidRPr="00D749DC">
          <w:rPr>
            <w:rStyle w:val="Hyperlink"/>
            <w:noProof/>
            <w:webHidden/>
          </w:rPr>
          <w:fldChar w:fldCharType="end"/>
        </w:r>
      </w:hyperlink>
    </w:p>
    <w:p w14:paraId="79955294" w14:textId="4A743B54"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1" w:history="1">
        <w:r w:rsidRPr="00DD3333">
          <w:rPr>
            <w:rStyle w:val="Hyperlink"/>
            <w:noProof/>
          </w:rPr>
          <w:t>Figure 5:</w:t>
        </w:r>
        <w:r w:rsidRPr="00D749DC">
          <w:rPr>
            <w:rStyle w:val="Hyperlink"/>
            <w:noProof/>
          </w:rPr>
          <w:tab/>
        </w:r>
        <w:r w:rsidRPr="00DD3333">
          <w:rPr>
            <w:rStyle w:val="Hyperlink"/>
            <w:noProof/>
          </w:rPr>
          <w:t>POTEnCIA model structure</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_Toc234931461 \h </w:instrText>
        </w:r>
        <w:r w:rsidRPr="00D749DC">
          <w:rPr>
            <w:rStyle w:val="Hyperlink"/>
            <w:noProof/>
            <w:webHidden/>
          </w:rPr>
        </w:r>
        <w:r w:rsidRPr="00D749DC">
          <w:rPr>
            <w:rStyle w:val="Hyperlink"/>
            <w:noProof/>
            <w:webHidden/>
          </w:rPr>
          <w:fldChar w:fldCharType="separate"/>
        </w:r>
        <w:r w:rsidRPr="00D749DC">
          <w:rPr>
            <w:rStyle w:val="Hyperlink"/>
            <w:noProof/>
            <w:webHidden/>
          </w:rPr>
          <w:t>67</w:t>
        </w:r>
        <w:r w:rsidRPr="00D749DC">
          <w:rPr>
            <w:rStyle w:val="Hyperlink"/>
            <w:noProof/>
            <w:webHidden/>
          </w:rPr>
          <w:fldChar w:fldCharType="end"/>
        </w:r>
      </w:hyperlink>
    </w:p>
    <w:p w14:paraId="708DDEB7" w14:textId="06085DDE"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2" w:history="1">
        <w:r w:rsidRPr="00D749DC">
          <w:rPr>
            <w:rStyle w:val="Hyperlink"/>
            <w:noProof/>
          </w:rPr>
          <w:t>Figure 6:</w:t>
        </w:r>
        <w:r w:rsidRPr="00D749DC">
          <w:rPr>
            <w:rStyle w:val="Hyperlink"/>
            <w:noProof/>
          </w:rPr>
          <w:tab/>
        </w:r>
        <w:r w:rsidRPr="00DD3333">
          <w:rPr>
            <w:rStyle w:val="Hyperlink"/>
            <w:noProof/>
          </w:rPr>
          <w:t>Population assumptions</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_Toc234931462 \h </w:instrText>
        </w:r>
        <w:r w:rsidRPr="00D749DC">
          <w:rPr>
            <w:rStyle w:val="Hyperlink"/>
            <w:noProof/>
            <w:webHidden/>
          </w:rPr>
        </w:r>
        <w:r w:rsidRPr="00D749DC">
          <w:rPr>
            <w:rStyle w:val="Hyperlink"/>
            <w:noProof/>
            <w:webHidden/>
          </w:rPr>
          <w:fldChar w:fldCharType="separate"/>
        </w:r>
        <w:r w:rsidRPr="00D749DC">
          <w:rPr>
            <w:rStyle w:val="Hyperlink"/>
            <w:noProof/>
            <w:webHidden/>
          </w:rPr>
          <w:t>68</w:t>
        </w:r>
        <w:r w:rsidRPr="00D749DC">
          <w:rPr>
            <w:rStyle w:val="Hyperlink"/>
            <w:noProof/>
            <w:webHidden/>
          </w:rPr>
          <w:fldChar w:fldCharType="end"/>
        </w:r>
      </w:hyperlink>
    </w:p>
    <w:p w14:paraId="0DA60280" w14:textId="1CB458EF"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3" w:history="1">
        <w:r w:rsidRPr="00D749DC">
          <w:rPr>
            <w:rStyle w:val="Hyperlink"/>
            <w:noProof/>
          </w:rPr>
          <w:t>Figure 7:</w:t>
        </w:r>
        <w:r w:rsidRPr="00D749DC">
          <w:rPr>
            <w:rStyle w:val="Hyperlink"/>
            <w:noProof/>
          </w:rPr>
          <w:tab/>
        </w:r>
        <w:r w:rsidRPr="00DD3333">
          <w:rPr>
            <w:rStyle w:val="Hyperlink"/>
            <w:noProof/>
          </w:rPr>
          <w:t>EU GDP (2015 = 100) and GDP growth (%)</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_Toc234931463 \h </w:instrText>
        </w:r>
        <w:r w:rsidRPr="00D749DC">
          <w:rPr>
            <w:rStyle w:val="Hyperlink"/>
            <w:noProof/>
            <w:webHidden/>
          </w:rPr>
        </w:r>
        <w:r w:rsidRPr="00D749DC">
          <w:rPr>
            <w:rStyle w:val="Hyperlink"/>
            <w:noProof/>
            <w:webHidden/>
          </w:rPr>
          <w:fldChar w:fldCharType="separate"/>
        </w:r>
        <w:r w:rsidRPr="00D749DC">
          <w:rPr>
            <w:rStyle w:val="Hyperlink"/>
            <w:noProof/>
            <w:webHidden/>
          </w:rPr>
          <w:t>69</w:t>
        </w:r>
        <w:r w:rsidRPr="00D749DC">
          <w:rPr>
            <w:rStyle w:val="Hyperlink"/>
            <w:noProof/>
            <w:webHidden/>
          </w:rPr>
          <w:fldChar w:fldCharType="end"/>
        </w:r>
      </w:hyperlink>
    </w:p>
    <w:p w14:paraId="34BAB142" w14:textId="0773D58B"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4" w:history="1">
        <w:r w:rsidRPr="00DD3333">
          <w:rPr>
            <w:rStyle w:val="Hyperlink"/>
            <w:noProof/>
          </w:rPr>
          <w:t>Figure 8:</w:t>
        </w:r>
        <w:r w:rsidRPr="00D749DC">
          <w:rPr>
            <w:rStyle w:val="Hyperlink"/>
            <w:noProof/>
          </w:rPr>
          <w:tab/>
        </w:r>
        <w:r w:rsidRPr="00DD3333">
          <w:rPr>
            <w:rStyle w:val="Hyperlink"/>
            <w:noProof/>
          </w:rPr>
          <w:t>POLES-Enerdata multi-issue energy model</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_Toc234931464 \h </w:instrText>
        </w:r>
        <w:r w:rsidRPr="00D749DC">
          <w:rPr>
            <w:rStyle w:val="Hyperlink"/>
            <w:noProof/>
            <w:webHidden/>
          </w:rPr>
        </w:r>
        <w:r w:rsidRPr="00D749DC">
          <w:rPr>
            <w:rStyle w:val="Hyperlink"/>
            <w:noProof/>
            <w:webHidden/>
          </w:rPr>
          <w:fldChar w:fldCharType="separate"/>
        </w:r>
        <w:r w:rsidRPr="00D749DC">
          <w:rPr>
            <w:rStyle w:val="Hyperlink"/>
            <w:noProof/>
            <w:webHidden/>
          </w:rPr>
          <w:t>77</w:t>
        </w:r>
        <w:r w:rsidRPr="00D749DC">
          <w:rPr>
            <w:rStyle w:val="Hyperlink"/>
            <w:noProof/>
            <w:webHidden/>
          </w:rPr>
          <w:fldChar w:fldCharType="end"/>
        </w:r>
      </w:hyperlink>
    </w:p>
    <w:p w14:paraId="792EF2C3" w14:textId="3952AD7E"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5" w:history="1">
        <w:r w:rsidRPr="00DD3333">
          <w:rPr>
            <w:rStyle w:val="Hyperlink"/>
            <w:noProof/>
          </w:rPr>
          <w:t>Figure 9:</w:t>
        </w:r>
        <w:r w:rsidRPr="00D749DC">
          <w:rPr>
            <w:rStyle w:val="Hyperlink"/>
            <w:noProof/>
          </w:rPr>
          <w:tab/>
        </w:r>
        <w:r w:rsidRPr="00DD3333">
          <w:rPr>
            <w:rStyle w:val="Hyperlink"/>
            <w:noProof/>
          </w:rPr>
          <w:t>POLES-Enerdata geographical coverage</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_Toc234931465 \h </w:instrText>
        </w:r>
        <w:r w:rsidRPr="00D749DC">
          <w:rPr>
            <w:rStyle w:val="Hyperlink"/>
            <w:noProof/>
            <w:webHidden/>
          </w:rPr>
        </w:r>
        <w:r w:rsidRPr="00D749DC">
          <w:rPr>
            <w:rStyle w:val="Hyperlink"/>
            <w:noProof/>
            <w:webHidden/>
          </w:rPr>
          <w:fldChar w:fldCharType="separate"/>
        </w:r>
        <w:r w:rsidRPr="00D749DC">
          <w:rPr>
            <w:rStyle w:val="Hyperlink"/>
            <w:noProof/>
            <w:webHidden/>
          </w:rPr>
          <w:t>78</w:t>
        </w:r>
        <w:r w:rsidRPr="00D749DC">
          <w:rPr>
            <w:rStyle w:val="Hyperlink"/>
            <w:noProof/>
            <w:webHidden/>
          </w:rPr>
          <w:fldChar w:fldCharType="end"/>
        </w:r>
      </w:hyperlink>
    </w:p>
    <w:p w14:paraId="19240F1D" w14:textId="48CE4232"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6" w:history="1">
        <w:r w:rsidRPr="00DD3333">
          <w:rPr>
            <w:rStyle w:val="Hyperlink"/>
            <w:noProof/>
          </w:rPr>
          <w:t>Figure 10:</w:t>
        </w:r>
        <w:r w:rsidRPr="00D749DC">
          <w:rPr>
            <w:rStyle w:val="Hyperlink"/>
            <w:noProof/>
          </w:rPr>
          <w:tab/>
        </w:r>
        <w:r w:rsidRPr="00DD3333">
          <w:rPr>
            <w:rStyle w:val="Hyperlink"/>
            <w:noProof/>
          </w:rPr>
          <w:t>POLES-Enerdata main issues and topics covered</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_Toc234931466 \h </w:instrText>
        </w:r>
        <w:r w:rsidRPr="00D749DC">
          <w:rPr>
            <w:rStyle w:val="Hyperlink"/>
            <w:noProof/>
            <w:webHidden/>
          </w:rPr>
        </w:r>
        <w:r w:rsidRPr="00D749DC">
          <w:rPr>
            <w:rStyle w:val="Hyperlink"/>
            <w:noProof/>
            <w:webHidden/>
          </w:rPr>
          <w:fldChar w:fldCharType="separate"/>
        </w:r>
        <w:r w:rsidRPr="00D749DC">
          <w:rPr>
            <w:rStyle w:val="Hyperlink"/>
            <w:noProof/>
            <w:webHidden/>
          </w:rPr>
          <w:t>79</w:t>
        </w:r>
        <w:r w:rsidRPr="00D749DC">
          <w:rPr>
            <w:rStyle w:val="Hyperlink"/>
            <w:noProof/>
            <w:webHidden/>
          </w:rPr>
          <w:fldChar w:fldCharType="end"/>
        </w:r>
      </w:hyperlink>
    </w:p>
    <w:p w14:paraId="17649125" w14:textId="23EDB064" w:rsidR="00D749DC" w:rsidRPr="00D749DC" w:rsidRDefault="00D749DC" w:rsidP="00D749DC">
      <w:pPr>
        <w:pStyle w:val="TableofFigures"/>
        <w:tabs>
          <w:tab w:val="left" w:pos="1200"/>
          <w:tab w:val="right" w:leader="dot" w:pos="9016"/>
        </w:tabs>
        <w:spacing w:line="240" w:lineRule="auto"/>
        <w:rPr>
          <w:rStyle w:val="Hyperlink"/>
          <w:noProof/>
        </w:rPr>
      </w:pPr>
      <w:hyperlink w:anchor="_Toc234931467" w:history="1">
        <w:r w:rsidRPr="00DD3333">
          <w:rPr>
            <w:rStyle w:val="Hyperlink"/>
            <w:noProof/>
          </w:rPr>
          <w:t>Figure 11:</w:t>
        </w:r>
        <w:r w:rsidRPr="00D749DC">
          <w:rPr>
            <w:rStyle w:val="Hyperlink"/>
            <w:noProof/>
          </w:rPr>
          <w:tab/>
        </w:r>
        <w:r w:rsidRPr="00DD3333">
          <w:rPr>
            <w:rStyle w:val="Hyperlink"/>
            <w:noProof/>
          </w:rPr>
          <w:t>EUA price comparison between POLES-Enerdata &amp; PRIMES - Core Working Assumption Scenario</w:t>
        </w:r>
        <w:r w:rsidRPr="00D749DC">
          <w:rPr>
            <w:rStyle w:val="Hyperlink"/>
            <w:noProof/>
            <w:webHidden/>
          </w:rPr>
          <w:tab/>
        </w:r>
        <w:r w:rsidRPr="00D749DC">
          <w:rPr>
            <w:rStyle w:val="Hyperlink"/>
            <w:noProof/>
            <w:webHidden/>
          </w:rPr>
          <w:fldChar w:fldCharType="begin"/>
        </w:r>
        <w:r w:rsidRPr="00D749DC">
          <w:rPr>
            <w:rStyle w:val="Hyperlink"/>
            <w:noProof/>
            <w:webHidden/>
          </w:rPr>
          <w:instrText xml:space="preserve"> PAGEREF _Toc234931467 \h </w:instrText>
        </w:r>
        <w:r w:rsidRPr="00D749DC">
          <w:rPr>
            <w:rStyle w:val="Hyperlink"/>
            <w:noProof/>
            <w:webHidden/>
          </w:rPr>
        </w:r>
        <w:r w:rsidRPr="00D749DC">
          <w:rPr>
            <w:rStyle w:val="Hyperlink"/>
            <w:noProof/>
            <w:webHidden/>
          </w:rPr>
          <w:fldChar w:fldCharType="separate"/>
        </w:r>
        <w:r w:rsidRPr="00D749DC">
          <w:rPr>
            <w:rStyle w:val="Hyperlink"/>
            <w:noProof/>
            <w:webHidden/>
          </w:rPr>
          <w:t>81</w:t>
        </w:r>
        <w:r w:rsidRPr="00D749DC">
          <w:rPr>
            <w:rStyle w:val="Hyperlink"/>
            <w:noProof/>
            <w:webHidden/>
          </w:rPr>
          <w:fldChar w:fldCharType="end"/>
        </w:r>
      </w:hyperlink>
    </w:p>
    <w:p w14:paraId="607086CD" w14:textId="330854FA" w:rsidR="00A71942" w:rsidRPr="00BA156F" w:rsidRDefault="00A71942" w:rsidP="00D749DC">
      <w:pPr>
        <w:pStyle w:val="TableofFigures"/>
        <w:tabs>
          <w:tab w:val="left" w:pos="1200"/>
          <w:tab w:val="right" w:leader="dot" w:pos="9016"/>
        </w:tabs>
        <w:spacing w:line="240" w:lineRule="auto"/>
        <w:rPr>
          <w:rFonts w:asciiTheme="minorHAnsi" w:eastAsiaTheme="minorEastAsia" w:hAnsiTheme="minorHAnsi" w:cstheme="minorBidi"/>
          <w:noProof/>
          <w:kern w:val="2"/>
          <w:lang w:val="en-IE" w:eastAsia="en-IE"/>
          <w14:ligatures w14:val="standardContextual"/>
        </w:rPr>
      </w:pPr>
      <w:r w:rsidRPr="00D749DC">
        <w:rPr>
          <w:rStyle w:val="Hyperlink"/>
          <w:noProof/>
        </w:rPr>
        <w:fldChar w:fldCharType="end"/>
      </w:r>
    </w:p>
    <w:p w14:paraId="57F05883" w14:textId="66864D5C" w:rsidR="00A71942" w:rsidRPr="00E276C8" w:rsidRDefault="00A71942" w:rsidP="00E276C8">
      <w:pPr>
        <w:spacing w:line="240" w:lineRule="auto"/>
        <w:jc w:val="left"/>
        <w:rPr>
          <w:b/>
          <w:smallCaps/>
          <w:noProof/>
          <w:sz w:val="28"/>
        </w:rPr>
      </w:pPr>
    </w:p>
    <w:p w14:paraId="27C7F00A" w14:textId="77777777" w:rsidR="00D749DC" w:rsidRPr="00E276C8" w:rsidRDefault="00D749DC" w:rsidP="00E276C8">
      <w:pPr>
        <w:spacing w:before="0"/>
        <w:rPr>
          <w:b/>
          <w:smallCaps/>
          <w:noProof/>
          <w:color w:val="auto"/>
          <w:sz w:val="28"/>
        </w:rPr>
      </w:pPr>
      <w:bookmarkStart w:id="229" w:name="_Toc157692500"/>
      <w:bookmarkStart w:id="230" w:name="_Toc232591572"/>
      <w:bookmarkStart w:id="231" w:name="_Toc232611475"/>
      <w:bookmarkStart w:id="232" w:name="_Toc232758156"/>
      <w:r>
        <w:rPr>
          <w:noProof/>
        </w:rPr>
        <w:br w:type="page"/>
      </w:r>
    </w:p>
    <w:p w14:paraId="3A8084F6" w14:textId="4CAD19E9" w:rsidR="00A71942" w:rsidRPr="00C877C7" w:rsidRDefault="00A71942" w:rsidP="00E276C8">
      <w:pPr>
        <w:pStyle w:val="Heading1COM"/>
        <w:numPr>
          <w:ilvl w:val="0"/>
          <w:numId w:val="88"/>
        </w:numPr>
        <w:spacing w:before="120" w:after="120" w:line="240" w:lineRule="auto"/>
        <w:outlineLvl w:val="1"/>
        <w:rPr>
          <w:noProof/>
        </w:rPr>
      </w:pPr>
      <w:r>
        <w:rPr>
          <w:noProof/>
        </w:rPr>
        <w:t>Analysis of future GHG emissions</w:t>
      </w:r>
      <w:bookmarkEnd w:id="229"/>
      <w:bookmarkEnd w:id="230"/>
      <w:bookmarkEnd w:id="231"/>
      <w:bookmarkEnd w:id="232"/>
      <w:r>
        <w:rPr>
          <w:noProof/>
        </w:rPr>
        <w:t xml:space="preserve"> </w:t>
      </w:r>
    </w:p>
    <w:p w14:paraId="6F79B65E" w14:textId="77777777" w:rsidR="00A71942" w:rsidRPr="00124B5A" w:rsidRDefault="00A71942" w:rsidP="00E276C8">
      <w:pPr>
        <w:pStyle w:val="Heading2COM"/>
        <w:spacing w:before="120" w:after="120" w:line="240" w:lineRule="auto"/>
        <w:outlineLvl w:val="2"/>
        <w15:collapsed w:val="0"/>
        <w:rPr>
          <w:noProof/>
        </w:rPr>
      </w:pPr>
      <w:bookmarkStart w:id="233" w:name="_Ref143081461"/>
      <w:bookmarkStart w:id="234" w:name="_Toc152681112"/>
      <w:bookmarkStart w:id="235" w:name="_Toc157692501"/>
      <w:bookmarkStart w:id="236" w:name="_Toc232591573"/>
      <w:bookmarkStart w:id="237" w:name="_Toc232611476"/>
      <w:bookmarkStart w:id="238" w:name="_Toc232758157"/>
      <w:r w:rsidRPr="00124B5A">
        <w:rPr>
          <w:noProof/>
        </w:rPr>
        <w:t>Models</w:t>
      </w:r>
      <w:bookmarkEnd w:id="233"/>
      <w:r w:rsidRPr="1FC5E705">
        <w:rPr>
          <w:rStyle w:val="FootnoteReference"/>
          <w:noProof/>
        </w:rPr>
        <w:footnoteReference w:id="25"/>
      </w:r>
      <w:bookmarkEnd w:id="234"/>
      <w:bookmarkEnd w:id="235"/>
      <w:bookmarkEnd w:id="236"/>
      <w:bookmarkEnd w:id="237"/>
      <w:bookmarkEnd w:id="238"/>
    </w:p>
    <w:p w14:paraId="2B562EA8" w14:textId="71E87578" w:rsidR="00A71942" w:rsidRDefault="00A71942" w:rsidP="00E276C8">
      <w:pPr>
        <w:spacing w:line="240" w:lineRule="auto"/>
        <w:rPr>
          <w:noProof/>
        </w:rPr>
      </w:pPr>
      <w:r>
        <w:rPr>
          <w:noProof/>
        </w:rPr>
        <w:t>The projections for this Impact Assessment are performed with the help of state-of-the-art, computational models for energy and GHG system analysis, which follow an approach based on micro-economics, solve a price-driven market equilibrium, and integrate engineering and economic representations for all sectors. The models use peer-reviewed assumptions and detailed and up-to-date databases to produce projections per sector and per country. Calibration ensures continuity between historical data and projections.</w:t>
      </w:r>
    </w:p>
    <w:p w14:paraId="2448BC46" w14:textId="77777777" w:rsidR="00A71942" w:rsidRPr="00124B5A" w:rsidRDefault="00A71942" w:rsidP="00E276C8">
      <w:pPr>
        <w:pStyle w:val="Heading3COM"/>
        <w:spacing w:before="120" w:after="120" w:line="240" w:lineRule="auto"/>
        <w:outlineLvl w:val="3"/>
        <w:rPr>
          <w:noProof/>
        </w:rPr>
      </w:pPr>
      <w:bookmarkStart w:id="239" w:name="_Ref146136462"/>
      <w:bookmarkStart w:id="240" w:name="_Toc152681113"/>
      <w:bookmarkStart w:id="241" w:name="_Ref157413154"/>
      <w:bookmarkStart w:id="242" w:name="_Toc157692502"/>
      <w:bookmarkStart w:id="243" w:name="_Toc232591574"/>
      <w:bookmarkStart w:id="244" w:name="_Toc232611477"/>
      <w:bookmarkStart w:id="245" w:name="_Toc232758158"/>
      <w:r>
        <w:rPr>
          <w:noProof/>
        </w:rPr>
        <w:t xml:space="preserve">Main modelling suite for GHG </w:t>
      </w:r>
      <w:bookmarkEnd w:id="239"/>
      <w:r>
        <w:rPr>
          <w:noProof/>
        </w:rPr>
        <w:t>emissions</w:t>
      </w:r>
      <w:bookmarkEnd w:id="240"/>
      <w:bookmarkEnd w:id="241"/>
      <w:bookmarkEnd w:id="242"/>
      <w:bookmarkEnd w:id="243"/>
      <w:bookmarkEnd w:id="244"/>
      <w:bookmarkEnd w:id="245"/>
    </w:p>
    <w:p w14:paraId="156B89B9" w14:textId="77777777" w:rsidR="00A71942" w:rsidRDefault="00A71942" w:rsidP="00E276C8">
      <w:pPr>
        <w:spacing w:line="240" w:lineRule="auto"/>
        <w:rPr>
          <w:noProof/>
        </w:rPr>
      </w:pPr>
      <w:r w:rsidRPr="00815D6A">
        <w:rPr>
          <w:noProof/>
        </w:rPr>
        <w:t>The modelling suite used for overarching climate target modelling which is being used for this Impact Assessment,</w:t>
      </w:r>
      <w:r w:rsidRPr="02371B90">
        <w:rPr>
          <w:noProof/>
        </w:rPr>
        <w:t xml:space="preserve"> (Figure 1) is common to the one used for the Commission’s proposal for Long Term Strategy</w:t>
      </w:r>
      <w:r w:rsidRPr="1FC5E705">
        <w:rPr>
          <w:rStyle w:val="FootnoteReference"/>
          <w:noProof/>
        </w:rPr>
        <w:footnoteReference w:id="26"/>
      </w:r>
      <w:r w:rsidRPr="02371B90">
        <w:rPr>
          <w:noProof/>
        </w:rPr>
        <w:t>, the 2030 Climate Target Plan</w:t>
      </w:r>
      <w:r w:rsidRPr="1FC5E705">
        <w:rPr>
          <w:rStyle w:val="FootnoteReference"/>
          <w:noProof/>
        </w:rPr>
        <w:footnoteReference w:id="27"/>
      </w:r>
      <w:r w:rsidRPr="02371B90">
        <w:rPr>
          <w:noProof/>
        </w:rPr>
        <w:t>, and the EU Reference Scenario 2020</w:t>
      </w:r>
      <w:r w:rsidRPr="1FC5E705">
        <w:rPr>
          <w:rStyle w:val="FootnoteReference"/>
          <w:noProof/>
        </w:rPr>
        <w:footnoteReference w:id="28"/>
      </w:r>
      <w:r>
        <w:rPr>
          <w:noProof/>
        </w:rPr>
        <w:t xml:space="preserve"> </w:t>
      </w:r>
      <w:r w:rsidRPr="02371B90">
        <w:rPr>
          <w:noProof/>
        </w:rPr>
        <w:t>as well as for the most recent modelling exercises supporting the Fit for 55</w:t>
      </w:r>
      <w:r w:rsidRPr="1FC5E705">
        <w:rPr>
          <w:rStyle w:val="FootnoteReference"/>
          <w:noProof/>
        </w:rPr>
        <w:footnoteReference w:id="29"/>
      </w:r>
      <w:r w:rsidRPr="02371B90">
        <w:rPr>
          <w:noProof/>
        </w:rPr>
        <w:t>, the REPowerEU</w:t>
      </w:r>
      <w:r w:rsidRPr="1FC5E705">
        <w:rPr>
          <w:rStyle w:val="FootnoteReference"/>
          <w:noProof/>
        </w:rPr>
        <w:footnoteReference w:id="30"/>
      </w:r>
      <w:r w:rsidRPr="02371B90">
        <w:rPr>
          <w:noProof/>
        </w:rPr>
        <w:t xml:space="preserve"> and the 2040 Climate Target Plan</w:t>
      </w:r>
      <w:r w:rsidRPr="1FC5E705">
        <w:rPr>
          <w:rStyle w:val="FootnoteReference"/>
          <w:noProof/>
        </w:rPr>
        <w:footnoteReference w:id="31"/>
      </w:r>
      <w:r w:rsidRPr="02371B90">
        <w:rPr>
          <w:noProof/>
        </w:rPr>
        <w:t xml:space="preserve"> policy frameworks.  </w:t>
      </w:r>
    </w:p>
    <w:p w14:paraId="598F2BD6" w14:textId="77777777" w:rsidR="00A71942" w:rsidRDefault="00A71942" w:rsidP="00E276C8">
      <w:pPr>
        <w:pStyle w:val="Figuretitle"/>
        <w:keepNext/>
        <w:spacing w:after="120" w:line="240" w:lineRule="auto"/>
        <w:ind w:left="709"/>
        <w:rPr>
          <w:noProof/>
        </w:rPr>
      </w:pPr>
      <w:bookmarkStart w:id="246" w:name="_Toc152663187"/>
      <w:bookmarkStart w:id="247" w:name="_Toc157676704"/>
      <w:bookmarkStart w:id="248" w:name="_Toc222405633"/>
      <w:bookmarkStart w:id="249" w:name="_Toc232609907"/>
      <w:bookmarkStart w:id="250" w:name="_Toc232672640"/>
      <w:bookmarkStart w:id="251" w:name="_Toc234931457"/>
      <w:bookmarkStart w:id="252" w:name="_Toc232758480"/>
      <w:r>
        <w:rPr>
          <w:noProof/>
        </w:rPr>
        <w:t>Main modelling suite used for GHG projections.</w:t>
      </w:r>
      <w:bookmarkEnd w:id="246"/>
      <w:bookmarkEnd w:id="247"/>
      <w:bookmarkEnd w:id="248"/>
      <w:bookmarkEnd w:id="249"/>
      <w:bookmarkEnd w:id="250"/>
      <w:bookmarkEnd w:id="251"/>
      <w:bookmarkEnd w:id="252"/>
    </w:p>
    <w:p w14:paraId="6491A255" w14:textId="77777777" w:rsidR="00A71942" w:rsidRDefault="00A71942" w:rsidP="00E276C8">
      <w:pPr>
        <w:spacing w:line="240" w:lineRule="auto"/>
        <w:rPr>
          <w:noProof/>
        </w:rPr>
      </w:pPr>
      <w:r>
        <w:rPr>
          <w:noProof/>
          <w:lang w:eastAsia="en-GB"/>
        </w:rPr>
        <w:drawing>
          <wp:inline distT="0" distB="0" distL="0" distR="0" wp14:anchorId="083B8A66" wp14:editId="739E7BBC">
            <wp:extent cx="5472430" cy="248793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72430" cy="2487930"/>
                    </a:xfrm>
                    <a:prstGeom prst="rect">
                      <a:avLst/>
                    </a:prstGeom>
                    <a:noFill/>
                    <a:ln>
                      <a:noFill/>
                    </a:ln>
                  </pic:spPr>
                </pic:pic>
              </a:graphicData>
            </a:graphic>
          </wp:inline>
        </w:drawing>
      </w:r>
    </w:p>
    <w:p w14:paraId="420D7ECE" w14:textId="77777777" w:rsidR="00A71942" w:rsidRDefault="00A71942" w:rsidP="00E276C8">
      <w:pPr>
        <w:spacing w:line="240" w:lineRule="auto"/>
        <w:rPr>
          <w:noProof/>
        </w:rPr>
      </w:pPr>
      <w:r w:rsidRPr="00312812">
        <w:rPr>
          <w:noProof/>
        </w:rPr>
        <w:t>The modelling capacity consists of a series of interlinked models</w:t>
      </w:r>
      <w:r>
        <w:rPr>
          <w:noProof/>
        </w:rPr>
        <w:t xml:space="preserve"> well known to the modelling community</w:t>
      </w:r>
      <w:r w:rsidRPr="1FC5E705">
        <w:rPr>
          <w:rStyle w:val="FootnoteReference"/>
          <w:noProof/>
        </w:rPr>
        <w:footnoteReference w:id="32"/>
      </w:r>
      <w:r>
        <w:rPr>
          <w:noProof/>
        </w:rPr>
        <w:t>. These</w:t>
      </w:r>
      <w:r w:rsidRPr="00312812" w:rsidDel="00F81635">
        <w:rPr>
          <w:noProof/>
        </w:rPr>
        <w:t xml:space="preserve"> </w:t>
      </w:r>
      <w:r>
        <w:rPr>
          <w:noProof/>
        </w:rPr>
        <w:t xml:space="preserve">are continuously improved with cutting-edge features. The models </w:t>
      </w:r>
      <w:r w:rsidRPr="00312812">
        <w:rPr>
          <w:noProof/>
        </w:rPr>
        <w:t>combin</w:t>
      </w:r>
      <w:r>
        <w:rPr>
          <w:noProof/>
        </w:rPr>
        <w:t>e</w:t>
      </w:r>
      <w:r w:rsidRPr="00312812">
        <w:rPr>
          <w:noProof/>
        </w:rPr>
        <w:t xml:space="preserve"> technical and economic methodologies</w:t>
      </w:r>
      <w:r>
        <w:rPr>
          <w:noProof/>
        </w:rPr>
        <w:t xml:space="preserve"> </w:t>
      </w:r>
      <w:r w:rsidRPr="00312812">
        <w:rPr>
          <w:noProof/>
        </w:rPr>
        <w:t xml:space="preserve">assessing GHG pathways and </w:t>
      </w:r>
      <w:r>
        <w:rPr>
          <w:noProof/>
        </w:rPr>
        <w:t>associated system cost</w:t>
      </w:r>
      <w:r w:rsidRPr="00312812">
        <w:rPr>
          <w:noProof/>
        </w:rPr>
        <w:t>.</w:t>
      </w:r>
      <w:r>
        <w:rPr>
          <w:noProof/>
        </w:rPr>
        <w:t xml:space="preserve"> It allows to project the evolution of all GHG net emissions from the EU economy up to 2050. </w:t>
      </w:r>
    </w:p>
    <w:p w14:paraId="1AC67C34" w14:textId="77777777" w:rsidR="00A71942" w:rsidRDefault="00A71942" w:rsidP="00E276C8">
      <w:pPr>
        <w:spacing w:line="240" w:lineRule="auto"/>
        <w:rPr>
          <w:noProof/>
        </w:rPr>
      </w:pPr>
      <w:r>
        <w:rPr>
          <w:noProof/>
        </w:rPr>
        <w:t>For the aviation sector specifically, the quantitative analysis of the impacts of each option and combinations relies on the values modelled under PRIMES and is based on modelling of the aviation sector using the AERO-MS model</w:t>
      </w:r>
      <w:r w:rsidRPr="1FC5E705">
        <w:rPr>
          <w:noProof/>
          <w:vertAlign w:val="superscript"/>
        </w:rPr>
        <w:footnoteReference w:id="33"/>
      </w:r>
      <w:r>
        <w:rPr>
          <w:noProof/>
        </w:rPr>
        <w:t xml:space="preserve">. For this exercise, the latest updated version of the model has been used and aligned with fuel and carbon price projections from PRIMES. As a result, PRIMES (and consequently AERO-MS) outputs should be interpreted as internally consistent representations of possible energy system and aviation transport developments, with robustness assessed through comparison across scenarios. </w:t>
      </w:r>
    </w:p>
    <w:p w14:paraId="14331551" w14:textId="7F886011" w:rsidR="00A71942" w:rsidRPr="00BA156F" w:rsidRDefault="00A71942" w:rsidP="00E276C8">
      <w:pPr>
        <w:pStyle w:val="Tabletitle"/>
        <w:keepNext/>
        <w:spacing w:after="120" w:line="240" w:lineRule="auto"/>
        <w:ind w:left="720"/>
        <w:rPr>
          <w:noProof/>
        </w:rPr>
      </w:pPr>
      <w:bookmarkStart w:id="253" w:name="_Toc222405586"/>
      <w:bookmarkStart w:id="254" w:name="_Toc232608932"/>
      <w:bookmarkStart w:id="255" w:name="_Toc232611541"/>
      <w:bookmarkStart w:id="256" w:name="_Toc232672601"/>
      <w:bookmarkStart w:id="257" w:name="_Toc232758453"/>
      <w:r>
        <w:rPr>
          <w:noProof/>
        </w:rPr>
        <w:t>Overview of assumptions modelled using AERO-MS</w:t>
      </w:r>
      <w:bookmarkEnd w:id="253"/>
      <w:bookmarkEnd w:id="254"/>
      <w:bookmarkEnd w:id="255"/>
      <w:bookmarkEnd w:id="256"/>
      <w:bookmarkEnd w:id="257"/>
    </w:p>
    <w:p w14:paraId="06C5864B" w14:textId="77777777" w:rsidR="00A71942" w:rsidRDefault="00A71942" w:rsidP="00975687">
      <w:pPr>
        <w:spacing w:line="240" w:lineRule="auto"/>
        <w:jc w:val="center"/>
        <w:rPr>
          <w:noProof/>
        </w:rPr>
      </w:pPr>
      <w:r>
        <w:rPr>
          <w:noProof/>
          <w:lang w:eastAsia="en-GB"/>
        </w:rPr>
        <w:drawing>
          <wp:inline distT="0" distB="0" distL="0" distR="0" wp14:anchorId="7DF8F1B4" wp14:editId="7BA57A6D">
            <wp:extent cx="5517466" cy="3057099"/>
            <wp:effectExtent l="0" t="0" r="0" b="0"/>
            <wp:docPr id="724055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55403" name="Picture 724055403"/>
                    <pic:cNvPicPr/>
                  </pic:nvPicPr>
                  <pic:blipFill>
                    <a:blip r:embed="rId34">
                      <a:extLst>
                        <a:ext uri="{28A0092B-C50C-407E-A947-70E740481C1C}">
                          <a14:useLocalDpi xmlns:a14="http://schemas.microsoft.com/office/drawing/2010/main"/>
                        </a:ext>
                      </a:extLst>
                    </a:blip>
                    <a:stretch>
                      <a:fillRect/>
                    </a:stretch>
                  </pic:blipFill>
                  <pic:spPr>
                    <a:xfrm>
                      <a:off x="0" y="0"/>
                      <a:ext cx="5543878" cy="3071733"/>
                    </a:xfrm>
                    <a:prstGeom prst="rect">
                      <a:avLst/>
                    </a:prstGeom>
                  </pic:spPr>
                </pic:pic>
              </a:graphicData>
            </a:graphic>
          </wp:inline>
        </w:drawing>
      </w:r>
    </w:p>
    <w:p w14:paraId="62BD91C2" w14:textId="609A6E79" w:rsidR="00A71942" w:rsidRDefault="00A71942" w:rsidP="00E276C8">
      <w:pPr>
        <w:spacing w:line="240" w:lineRule="auto"/>
        <w:rPr>
          <w:rFonts w:eastAsia="Times New Roman"/>
          <w:i/>
          <w:iCs/>
          <w:noProof/>
        </w:rPr>
      </w:pPr>
      <w:r>
        <w:rPr>
          <w:noProof/>
        </w:rPr>
        <w:t>With respect to the specific impacts relevant for this exercise, the impact on activity between scenarios have been delivered by the AERO-MS model. The main sources of results variation in the scenarios examined come from fuel-related costs, including taxes and carbon (ETS, CORSIA) prices derived from PRIMES. Consequently, although there remains uncertainty around future price developments, the model-driven variables are internally consistent. Overall, scenario results indicate that possible impacts on activities exist but are barely relevant at these price levels and are more strongly associated with general fuel price variations than with the ETS price signal itself.</w:t>
      </w:r>
    </w:p>
    <w:p w14:paraId="1D8DA741" w14:textId="77777777" w:rsidR="00A71942" w:rsidRDefault="00A71942" w:rsidP="00E276C8">
      <w:pPr>
        <w:pStyle w:val="Heading3COM"/>
        <w:spacing w:before="120" w:after="120" w:line="240" w:lineRule="auto"/>
        <w:outlineLvl w:val="3"/>
        <w:rPr>
          <w:noProof/>
        </w:rPr>
      </w:pPr>
      <w:bookmarkStart w:id="258" w:name="_Toc232591575"/>
      <w:bookmarkStart w:id="259" w:name="_Toc232611478"/>
      <w:bookmarkStart w:id="260" w:name="_Toc232758159"/>
      <w:r>
        <w:rPr>
          <w:noProof/>
        </w:rPr>
        <w:t>Modelling used for the current Impact Assessment</w:t>
      </w:r>
      <w:bookmarkEnd w:id="258"/>
      <w:bookmarkEnd w:id="259"/>
      <w:bookmarkEnd w:id="260"/>
    </w:p>
    <w:p w14:paraId="5E56320B" w14:textId="019E33AC" w:rsidR="00A71942" w:rsidRPr="006025E0" w:rsidRDefault="00A71942" w:rsidP="00E276C8">
      <w:pPr>
        <w:pStyle w:val="Heading4COM"/>
        <w:spacing w:before="120" w:after="120" w:line="240" w:lineRule="auto"/>
        <w:outlineLvl w:val="4"/>
        <w:rPr>
          <w:noProof/>
        </w:rPr>
      </w:pPr>
      <w:bookmarkStart w:id="261" w:name="_Toc232611479"/>
      <w:bookmarkStart w:id="262" w:name="_Toc232758160"/>
      <w:r>
        <w:rPr>
          <w:noProof/>
        </w:rPr>
        <w:t>PRIMES</w:t>
      </w:r>
      <w:bookmarkEnd w:id="261"/>
      <w:bookmarkEnd w:id="262"/>
    </w:p>
    <w:p w14:paraId="2BCAAA23" w14:textId="77777777" w:rsidR="00A71942" w:rsidRDefault="00A71942" w:rsidP="00E276C8">
      <w:pPr>
        <w:spacing w:line="240" w:lineRule="auto"/>
        <w:rPr>
          <w:noProof/>
        </w:rPr>
      </w:pPr>
      <w:r>
        <w:rPr>
          <w:noProof/>
        </w:rPr>
        <w:t xml:space="preserve">PRIMES supports detailed analysis of climate and energy policies, technology shifts, and the long-term economic effects of different policy and market pathways. </w:t>
      </w:r>
    </w:p>
    <w:p w14:paraId="18EDC7E6" w14:textId="77777777" w:rsidR="00A71942" w:rsidRDefault="00A71942" w:rsidP="00E276C8">
      <w:pPr>
        <w:spacing w:line="240" w:lineRule="auto"/>
        <w:rPr>
          <w:i/>
          <w:iCs/>
          <w:noProof/>
        </w:rPr>
      </w:pPr>
      <w:r w:rsidRPr="1FC5E705">
        <w:rPr>
          <w:i/>
          <w:iCs/>
          <w:noProof/>
        </w:rPr>
        <w:t>Analytical structure, assumptions, limitations.</w:t>
      </w:r>
    </w:p>
    <w:p w14:paraId="751A8B75" w14:textId="77777777" w:rsidR="00A71942" w:rsidRPr="007C282D" w:rsidRDefault="00A71942" w:rsidP="00E276C8">
      <w:pPr>
        <w:pStyle w:val="Figuretitle"/>
        <w:keepNext/>
        <w:spacing w:after="120" w:line="240" w:lineRule="auto"/>
        <w:ind w:left="709"/>
        <w:rPr>
          <w:noProof/>
        </w:rPr>
      </w:pPr>
      <w:bookmarkStart w:id="263" w:name="_Toc222405634"/>
      <w:bookmarkStart w:id="264" w:name="_Toc232609908"/>
      <w:bookmarkStart w:id="265" w:name="_Toc232672641"/>
      <w:bookmarkStart w:id="266" w:name="_Toc234931458"/>
      <w:bookmarkStart w:id="267" w:name="_Toc232758481"/>
      <w:r>
        <w:rPr>
          <w:noProof/>
        </w:rPr>
        <w:t>PRIMES model structure.</w:t>
      </w:r>
      <w:bookmarkEnd w:id="263"/>
      <w:bookmarkEnd w:id="264"/>
      <w:bookmarkEnd w:id="265"/>
      <w:bookmarkEnd w:id="266"/>
      <w:bookmarkEnd w:id="267"/>
    </w:p>
    <w:p w14:paraId="1664FD98" w14:textId="77777777" w:rsidR="00A71942" w:rsidRPr="00A7553F" w:rsidRDefault="00A71942" w:rsidP="00E276C8">
      <w:pPr>
        <w:spacing w:line="240" w:lineRule="auto"/>
        <w:rPr>
          <w:i/>
          <w:iCs/>
          <w:noProof/>
        </w:rPr>
      </w:pPr>
      <w:r>
        <w:rPr>
          <w:noProof/>
          <w:lang w:eastAsia="en-GB"/>
        </w:rPr>
        <w:drawing>
          <wp:inline distT="0" distB="0" distL="0" distR="0" wp14:anchorId="683DCFC2" wp14:editId="3CC27D15">
            <wp:extent cx="5731510" cy="2677160"/>
            <wp:effectExtent l="0" t="0" r="2540" b="8890"/>
            <wp:docPr id="272" name="image70.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72" name="image70.png" descr="A screenshot of a computer&#10;&#10;AI-generated content may be incorrect."/>
                    <pic:cNvPicPr preferRelativeResize="0"/>
                  </pic:nvPicPr>
                  <pic:blipFill>
                    <a:blip r:embed="rId35"/>
                    <a:srcRect/>
                    <a:stretch>
                      <a:fillRect/>
                    </a:stretch>
                  </pic:blipFill>
                  <pic:spPr>
                    <a:xfrm>
                      <a:off x="0" y="0"/>
                      <a:ext cx="5731510" cy="2677160"/>
                    </a:xfrm>
                    <a:prstGeom prst="rect">
                      <a:avLst/>
                    </a:prstGeom>
                    <a:ln/>
                  </pic:spPr>
                </pic:pic>
              </a:graphicData>
            </a:graphic>
          </wp:inline>
        </w:drawing>
      </w:r>
      <w:r w:rsidRPr="1FC5E705">
        <w:rPr>
          <w:i/>
          <w:iCs/>
          <w:noProof/>
          <w:sz w:val="20"/>
          <w:szCs w:val="20"/>
        </w:rPr>
        <w:t>Source: PRIMES</w:t>
      </w:r>
    </w:p>
    <w:p w14:paraId="3B616DE3" w14:textId="77777777" w:rsidR="00A71942" w:rsidRDefault="00A71942" w:rsidP="00E276C8">
      <w:pPr>
        <w:spacing w:line="240" w:lineRule="auto"/>
        <w:rPr>
          <w:noProof/>
        </w:rPr>
      </w:pPr>
      <w:r>
        <w:rPr>
          <w:noProof/>
        </w:rPr>
        <w:t>A series of research programs funded by the European Commission led to the development of the PRIMES model. The PRIMES (Price-Induced Market Equilibrium System) is a large-scale applied energy system model that provides detailed projections of energy demand, supply, prices and investment to the future, covering the entire energy system including emissions. The distinctive feature of PRIMES is the combination of behavioural modelling (following a micro-economic foundation) with engineering aspects, covering all energy sectors and markets. The model has a detailed representation of policy instruments related to energy markets and climate, including market drivers, standards, and targets by sector or overall (over the entire system). It handles multiple policy objectives, such as GHG emission reductions, energy efficiency and renewable energy targets, and also provides a pan-European simulation of internal markets for electricity and gas.</w:t>
      </w:r>
    </w:p>
    <w:p w14:paraId="23C163C0" w14:textId="77777777" w:rsidR="00A71942" w:rsidRPr="002071A5" w:rsidRDefault="00A71942" w:rsidP="00E276C8">
      <w:pPr>
        <w:spacing w:line="240" w:lineRule="auto"/>
        <w:rPr>
          <w:noProof/>
        </w:rPr>
      </w:pPr>
      <w:r>
        <w:rPr>
          <w:noProof/>
        </w:rPr>
        <w:t>The PRIMES model currently covers all 27 EU Member States, UK and all 9 Energy Community Contracting Parties, as well as Iceland, Norway Switzerland and Turkey. The full suite of PRIMES model comprises the following models:</w:t>
      </w:r>
    </w:p>
    <w:p w14:paraId="4D1C7EC3"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PRIMES-TREMOVE</w:t>
      </w:r>
      <w:r>
        <w:rPr>
          <w:noProof/>
        </w:rPr>
        <w:t xml:space="preserve"> transport model: recently enhanced to include linkage to synthetic fuels and hydrogen and to detailed spatial projections of transport activity and route assignment</w:t>
      </w:r>
    </w:p>
    <w:p w14:paraId="5937D9A7"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 BuiMo</w:t>
      </w:r>
      <w:r>
        <w:rPr>
          <w:noProof/>
        </w:rPr>
        <w:t xml:space="preserve"> residential and services model: model with high resolution representation of the housing and office building stock, embedded in an economic-engineering model of multi-agent choice of building renovation, heating system and equipment/appliances by energy use</w:t>
      </w:r>
    </w:p>
    <w:p w14:paraId="4EA5BB33"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PRIMES-Industry model</w:t>
      </w:r>
      <w:r>
        <w:rPr>
          <w:noProof/>
        </w:rPr>
        <w:t>: recently enhanced version of the very detailed industrial model that includes a high-resolution split of industrial consumption by sector and type of industrial process and now includes the possibility of using hydrogen and synthetic fuels directly, as well as extended possibilities of electrification and the possible emergence of non-fossil hydrocarbon feedstock in the chemicals</w:t>
      </w:r>
    </w:p>
    <w:p w14:paraId="470B8412"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 Biomass supply model</w:t>
      </w:r>
      <w:r>
        <w:rPr>
          <w:noProof/>
        </w:rPr>
        <w:t>: biomass supply model that includes land use constraints, many types of biomass and waste feedstock, sustainability regulation, and endogenous learning and industrial maturity of a large number of potential biomass to biofuels conversion technologies; the model is linked with the IIASA models that handle LULUCF and forestry, as well as to the agricultural model CAPRI</w:t>
      </w:r>
    </w:p>
    <w:p w14:paraId="1FD679A3"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 Electricity and Heat/Steam supply and market model</w:t>
      </w:r>
      <w:r>
        <w:rPr>
          <w:noProof/>
        </w:rPr>
        <w:t>: The electricity and heat/steam market model of PRIMES includes three elements: hourly unit commitment model - with a pan-European market simulation over the grid constraints and detailed technical operation restrictions - the long-term power system expansion model, the costing and pricing electricity and grid model, the integration of heat supply and industrial steam supply with synchronised hourly operation</w:t>
      </w:r>
    </w:p>
    <w:p w14:paraId="0205268E" w14:textId="7938DC7C"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 Gas Supply and Market model</w:t>
      </w:r>
      <w:r>
        <w:rPr>
          <w:noProof/>
        </w:rPr>
        <w:t xml:space="preserve">: a stand-alone model representing in detail the gas supply and infrastructure in the Eurasian and </w:t>
      </w:r>
      <w:r w:rsidR="00F514AE">
        <w:rPr>
          <w:noProof/>
        </w:rPr>
        <w:t>Middle East</w:t>
      </w:r>
      <w:r>
        <w:rPr>
          <w:noProof/>
        </w:rPr>
        <w:t xml:space="preserve"> area and the internal European market of gas within an oligopoly model embedding engineering gas flow modelling</w:t>
      </w:r>
    </w:p>
    <w:p w14:paraId="1AA4BBE0" w14:textId="77777777" w:rsidR="00A71942" w:rsidRPr="00434C7F" w:rsidRDefault="00A71942" w:rsidP="00E276C8">
      <w:pPr>
        <w:pStyle w:val="ListParagraph"/>
        <w:numPr>
          <w:ilvl w:val="0"/>
          <w:numId w:val="58"/>
        </w:numPr>
        <w:spacing w:after="120" w:line="240" w:lineRule="auto"/>
        <w:ind w:left="714" w:hanging="357"/>
        <w:rPr>
          <w:noProof/>
        </w:rPr>
      </w:pPr>
      <w:r w:rsidRPr="1FC5E705">
        <w:rPr>
          <w:i/>
          <w:iCs/>
          <w:noProof/>
        </w:rPr>
        <w:t>PRIMES new Fuels and storage model</w:t>
      </w:r>
      <w:r>
        <w:rPr>
          <w:noProof/>
        </w:rPr>
        <w:t xml:space="preserve"> covering Hydrogen, Synthetic fuels, Power-to-X, CO</w:t>
      </w:r>
      <w:r w:rsidRPr="1FC5E705">
        <w:rPr>
          <w:noProof/>
          <w:vertAlign w:val="subscript"/>
        </w:rPr>
        <w:t>2</w:t>
      </w:r>
      <w:r>
        <w:rPr>
          <w:noProof/>
        </w:rPr>
        <w:t xml:space="preserve"> capture from the air and biogenic, CCS/CCU and process-emissions modelling to enhance and perform sectoral integration aiming at simulating a zero-CO</w:t>
      </w:r>
      <w:r w:rsidRPr="1FC5E705">
        <w:rPr>
          <w:noProof/>
          <w:vertAlign w:val="subscript"/>
        </w:rPr>
        <w:t>2</w:t>
      </w:r>
      <w:r>
        <w:rPr>
          <w:noProof/>
        </w:rPr>
        <w:t xml:space="preserve"> system.</w:t>
      </w:r>
    </w:p>
    <w:p w14:paraId="3CC85340" w14:textId="77777777" w:rsidR="00A71942" w:rsidRDefault="00A71942" w:rsidP="00E276C8">
      <w:pPr>
        <w:pStyle w:val="ListParagraph"/>
        <w:numPr>
          <w:ilvl w:val="0"/>
          <w:numId w:val="58"/>
        </w:numPr>
        <w:spacing w:after="120" w:line="240" w:lineRule="auto"/>
        <w:ind w:left="714" w:hanging="357"/>
        <w:rPr>
          <w:noProof/>
        </w:rPr>
      </w:pPr>
      <w:r w:rsidRPr="1FC5E705">
        <w:rPr>
          <w:i/>
          <w:iCs/>
          <w:noProof/>
        </w:rPr>
        <w:t>PRIMES Maritime model</w:t>
      </w:r>
      <w:r>
        <w:rPr>
          <w:noProof/>
        </w:rPr>
        <w:t>: a module of PRIMES and PRIMES-TREMOVE transport model, including the developments in maritime transport activity, energy use in the maritime sector, the greenhouse gas emissions and air pollution emissions, as well as the associated costs.</w:t>
      </w:r>
    </w:p>
    <w:p w14:paraId="6C2E84AE" w14:textId="77777777" w:rsidR="00A71942" w:rsidRPr="002643E9" w:rsidRDefault="00A71942" w:rsidP="00E276C8">
      <w:pPr>
        <w:spacing w:line="240" w:lineRule="auto"/>
        <w:rPr>
          <w:noProof/>
        </w:rPr>
      </w:pPr>
      <w:r>
        <w:rPr>
          <w:noProof/>
        </w:rPr>
        <w:t>The PRIMES model offers the possibility of handling market distortions, barriers to rational decisions, behaviours, as well as and market coordination issues and includes a complete accounting of costs (CAPEX and OPEX) and investment expenditure on infrastructure needs. PRIMES is designed to analyse complex interactions within the energy system in multiple agents – multiple markets framework.</w:t>
      </w:r>
    </w:p>
    <w:p w14:paraId="4FA4FD86" w14:textId="77777777" w:rsidR="00A71942" w:rsidRPr="002643E9" w:rsidRDefault="00A71942" w:rsidP="00E276C8">
      <w:pPr>
        <w:spacing w:line="240" w:lineRule="auto"/>
        <w:rPr>
          <w:noProof/>
        </w:rPr>
      </w:pPr>
      <w:r>
        <w:rPr>
          <w:noProof/>
        </w:rPr>
        <w:t>PRIMES is well-placed to simulate medium and long-term transformations of the energy system (rather than short-term ones) and includes non-linear formulation of potentials by type (resources, sites, acceptability etc.) and technology learning.</w:t>
      </w:r>
    </w:p>
    <w:p w14:paraId="079ED054" w14:textId="77777777" w:rsidR="00A71942" w:rsidRDefault="00A71942" w:rsidP="00E276C8">
      <w:pPr>
        <w:spacing w:line="240" w:lineRule="auto"/>
        <w:rPr>
          <w:noProof/>
        </w:rPr>
      </w:pPr>
      <w:r>
        <w:rPr>
          <w:noProof/>
        </w:rPr>
        <w:t>The PRIMES model, with its ETS tool combines two essential characteristics required for the purpose of the analysis in this impact assessment: It combines a rigorous simulation of the ETS market functioning under different circumstances with the energy system model which allows the simulation of the developments driven by policies other than ETS. Being a vintage-engineering based model it includes the inertia of the energy system and has sufficient detail to capture the effects of the other multiple policies (Energy efficiency policies, RES policies, etc.) in combination with the ETS system. As the model covers all sectors of the economy from an energy and emissions perspective, as well as multiple technologies (including negative emission technologies) almost any extension or changes in the ETS system can be captured. PRIMES can provide information on and verify the effect of the possible implications of all interventions.</w:t>
      </w:r>
    </w:p>
    <w:p w14:paraId="72AAE767" w14:textId="77777777" w:rsidR="00A71942" w:rsidRDefault="00A71942" w:rsidP="00E276C8">
      <w:pPr>
        <w:pStyle w:val="ListParagraph"/>
        <w:numPr>
          <w:ilvl w:val="0"/>
          <w:numId w:val="59"/>
        </w:numPr>
        <w:spacing w:after="120" w:line="240" w:lineRule="auto"/>
        <w:rPr>
          <w:noProof/>
        </w:rPr>
      </w:pPr>
      <w:r>
        <w:rPr>
          <w:noProof/>
        </w:rPr>
        <w:t>Demand for allowances under different emissions reduction targets</w:t>
      </w:r>
    </w:p>
    <w:p w14:paraId="217C3FCC" w14:textId="77777777" w:rsidR="00A71942" w:rsidRDefault="00A71942" w:rsidP="00E276C8">
      <w:pPr>
        <w:pStyle w:val="ListParagraph"/>
        <w:numPr>
          <w:ilvl w:val="0"/>
          <w:numId w:val="59"/>
        </w:numPr>
        <w:spacing w:after="120" w:line="240" w:lineRule="auto"/>
        <w:rPr>
          <w:noProof/>
        </w:rPr>
      </w:pPr>
      <w:r>
        <w:rPr>
          <w:noProof/>
        </w:rPr>
        <w:t>Different trajectories of ambition (also for different sectors and emissions scope) can be verified</w:t>
      </w:r>
    </w:p>
    <w:p w14:paraId="36A845CF" w14:textId="77777777" w:rsidR="00A71942" w:rsidRDefault="00A71942" w:rsidP="00E276C8">
      <w:pPr>
        <w:pStyle w:val="ListParagraph"/>
        <w:numPr>
          <w:ilvl w:val="0"/>
          <w:numId w:val="59"/>
        </w:numPr>
        <w:spacing w:after="120" w:line="240" w:lineRule="auto"/>
        <w:rPr>
          <w:noProof/>
        </w:rPr>
      </w:pPr>
      <w:r>
        <w:rPr>
          <w:noProof/>
        </w:rPr>
        <w:t>The compliance of an ETS price trajectory with alternative MSR designs</w:t>
      </w:r>
    </w:p>
    <w:p w14:paraId="708AE1B9" w14:textId="77777777" w:rsidR="00A71942" w:rsidRDefault="00A71942" w:rsidP="00E276C8">
      <w:pPr>
        <w:pStyle w:val="ListParagraph"/>
        <w:numPr>
          <w:ilvl w:val="0"/>
          <w:numId w:val="59"/>
        </w:numPr>
        <w:spacing w:after="120" w:line="240" w:lineRule="auto"/>
        <w:rPr>
          <w:noProof/>
        </w:rPr>
      </w:pPr>
      <w:r>
        <w:rPr>
          <w:noProof/>
        </w:rPr>
        <w:t>The ETS price tool (ex post) can mimic different actor anticipation and foresight</w:t>
      </w:r>
    </w:p>
    <w:p w14:paraId="1B027A02" w14:textId="77777777" w:rsidR="00A71942" w:rsidRPr="002643E9" w:rsidRDefault="00A71942" w:rsidP="00E276C8">
      <w:pPr>
        <w:pStyle w:val="ListParagraph"/>
        <w:numPr>
          <w:ilvl w:val="0"/>
          <w:numId w:val="59"/>
        </w:numPr>
        <w:spacing w:after="120" w:line="240" w:lineRule="auto"/>
        <w:rPr>
          <w:noProof/>
        </w:rPr>
      </w:pPr>
      <w:r>
        <w:rPr>
          <w:noProof/>
        </w:rPr>
        <w:t>The PRIMES model can mimic the effect of complementary policy packages for each sector individually (measures on transport, energy efficiency policies, etc).</w:t>
      </w:r>
    </w:p>
    <w:p w14:paraId="490F65AF" w14:textId="77777777" w:rsidR="00A71942" w:rsidRPr="00C31B15" w:rsidRDefault="00A71942" w:rsidP="00E276C8">
      <w:pPr>
        <w:spacing w:line="240" w:lineRule="auto"/>
        <w:rPr>
          <w:noProof/>
        </w:rPr>
      </w:pPr>
      <w:r w:rsidRPr="00C31B15">
        <w:rPr>
          <w:noProof/>
        </w:rPr>
        <w:t xml:space="preserve">The PRIMES model is regularly used in EU impact assessments and for developing the EU Reference Scenario. Recent applications include the </w:t>
      </w:r>
      <w:r w:rsidRPr="1FC5E705">
        <w:rPr>
          <w:i/>
          <w:iCs/>
          <w:noProof/>
        </w:rPr>
        <w:t>EU Reference Scenario 2020</w:t>
      </w:r>
      <w:r w:rsidRPr="00C31B15">
        <w:rPr>
          <w:noProof/>
        </w:rPr>
        <w:t xml:space="preserve"> (European Commission, 2021)</w:t>
      </w:r>
      <w:r w:rsidRPr="1FC5E705">
        <w:rPr>
          <w:rStyle w:val="FootnoteReference"/>
          <w:noProof/>
        </w:rPr>
        <w:footnoteReference w:id="34"/>
      </w:r>
      <w:r w:rsidRPr="00C31B15">
        <w:rPr>
          <w:noProof/>
        </w:rPr>
        <w:t>, which projects trends in energy, transport, and GHG emissions through 2050, updating the 2016 version (European Commission, 2016)</w:t>
      </w:r>
      <w:r w:rsidRPr="1FC5E705">
        <w:rPr>
          <w:rStyle w:val="FootnoteReference"/>
          <w:noProof/>
        </w:rPr>
        <w:footnoteReference w:id="35"/>
      </w:r>
      <w:r w:rsidRPr="00C31B15">
        <w:rPr>
          <w:noProof/>
        </w:rPr>
        <w:t xml:space="preserve">. PRIMES has been central to assessing key EU climate and energy policy packages, such as the </w:t>
      </w:r>
      <w:r w:rsidRPr="1FC5E705">
        <w:rPr>
          <w:i/>
          <w:iCs/>
          <w:noProof/>
        </w:rPr>
        <w:t>Fit-for-55</w:t>
      </w:r>
      <w:r w:rsidRPr="00C31B15">
        <w:rPr>
          <w:noProof/>
        </w:rPr>
        <w:t xml:space="preserve"> initiative, supporting the design of pathways to meet 2030 targets and achieve climate neutrality by 2050.</w:t>
      </w:r>
    </w:p>
    <w:p w14:paraId="6EBCC4EF" w14:textId="77777777" w:rsidR="00A71942" w:rsidRPr="0050232E" w:rsidRDefault="00A71942" w:rsidP="00E276C8">
      <w:pPr>
        <w:spacing w:line="240" w:lineRule="auto"/>
        <w:rPr>
          <w:noProof/>
        </w:rPr>
      </w:pPr>
      <w:r w:rsidRPr="00C31B15">
        <w:rPr>
          <w:noProof/>
        </w:rPr>
        <w:t xml:space="preserve">The model was also used in response to the recent energy crisis triggered by the Russian invasion of Ukraine, underpinning the </w:t>
      </w:r>
      <w:r w:rsidRPr="1FC5E705">
        <w:rPr>
          <w:i/>
          <w:iCs/>
          <w:noProof/>
        </w:rPr>
        <w:t>REPowerEU</w:t>
      </w:r>
      <w:r w:rsidRPr="00C31B15">
        <w:rPr>
          <w:noProof/>
        </w:rPr>
        <w:t xml:space="preserve"> plan to reduce dependence on Russian fossil fuels (European Commission, 2022)</w:t>
      </w:r>
      <w:r w:rsidRPr="00D63B6E">
        <w:rPr>
          <w:rStyle w:val="FootnoteReference"/>
          <w:noProof/>
        </w:rPr>
        <w:t xml:space="preserve"> </w:t>
      </w:r>
      <w:r w:rsidRPr="1FC5E705">
        <w:rPr>
          <w:rStyle w:val="FootnoteReference"/>
          <w:noProof/>
        </w:rPr>
        <w:footnoteReference w:id="36"/>
      </w:r>
      <w:r w:rsidRPr="00C31B15">
        <w:rPr>
          <w:noProof/>
        </w:rPr>
        <w:t>. Most recently, in 2024, PRIMES supported the analysis behind the EU’s 2040 climate target plan (European Commission, 2024)</w:t>
      </w:r>
      <w:r>
        <w:rPr>
          <w:noProof/>
        </w:rPr>
        <w:t>.</w:t>
      </w:r>
      <w:r w:rsidRPr="00D63B6E">
        <w:rPr>
          <w:rStyle w:val="FootnoteReference"/>
          <w:noProof/>
        </w:rPr>
        <w:t xml:space="preserve"> </w:t>
      </w:r>
      <w:r w:rsidRPr="1FC5E705">
        <w:rPr>
          <w:rStyle w:val="FootnoteReference"/>
          <w:noProof/>
        </w:rPr>
        <w:footnoteReference w:id="37"/>
      </w:r>
    </w:p>
    <w:p w14:paraId="5ADC0746" w14:textId="77777777" w:rsidR="00A71942" w:rsidRPr="006566A1" w:rsidRDefault="00A71942" w:rsidP="00E276C8">
      <w:pPr>
        <w:pStyle w:val="Heading4COM"/>
        <w:spacing w:before="120" w:after="120" w:line="240" w:lineRule="auto"/>
        <w:outlineLvl w:val="4"/>
        <w:rPr>
          <w:noProof/>
        </w:rPr>
      </w:pPr>
      <w:r>
        <w:rPr>
          <w:noProof/>
        </w:rPr>
        <w:t xml:space="preserve"> </w:t>
      </w:r>
      <w:bookmarkStart w:id="268" w:name="_Toc232611480"/>
      <w:bookmarkStart w:id="269" w:name="_Toc232758161"/>
      <w:r>
        <w:rPr>
          <w:noProof/>
        </w:rPr>
        <w:t>GEM-E3</w:t>
      </w:r>
      <w:bookmarkEnd w:id="268"/>
      <w:bookmarkEnd w:id="269"/>
    </w:p>
    <w:p w14:paraId="460FEB69" w14:textId="77777777" w:rsidR="00A71942" w:rsidRDefault="00A71942" w:rsidP="00E276C8">
      <w:pPr>
        <w:spacing w:line="240" w:lineRule="auto"/>
        <w:rPr>
          <w:noProof/>
        </w:rPr>
      </w:pPr>
      <w:bookmarkStart w:id="270" w:name="_Hlk151112402"/>
      <w:r>
        <w:rPr>
          <w:noProof/>
        </w:rPr>
        <w:t>GEM-E3 is a large-scale multi-sectoral hybrid CGE model designed to evaluate the effects of external shocks on the economy. The model provides a robust framework to capture the complex energy-economy-climate interactions and simulate the impact of climate damage or climate and energy policies on the performance of sectors, sectoral output, prices and bilateral trade, the competitiveness of regions and the welfare of communities. Results have a yearly time-steps up to 2030 and 5-year time steps until 2050/2100. The model has a global coverage, with 47 regions, where the G-20 countries, EU27 Member States, and major equipment manufacturing or energy exporting countries are represented individually, and countries are linked through bilateral trade. All countries are linked through endogenous bilateral trade transactions. The model explicitly represents 50 distinct economic activities, which are interlinked across the production and consumption value chain. </w:t>
      </w:r>
    </w:p>
    <w:p w14:paraId="6BC6F2F5" w14:textId="77777777" w:rsidR="00A71942" w:rsidRPr="00A7553F" w:rsidRDefault="00A71942" w:rsidP="00E276C8">
      <w:pPr>
        <w:pStyle w:val="Figuretitle"/>
        <w:keepNext/>
        <w:spacing w:after="120" w:line="240" w:lineRule="auto"/>
        <w:ind w:left="709"/>
        <w:rPr>
          <w:noProof/>
        </w:rPr>
      </w:pPr>
      <w:bookmarkStart w:id="271" w:name="_Toc222405635"/>
      <w:bookmarkStart w:id="272" w:name="_Toc232609909"/>
      <w:bookmarkStart w:id="273" w:name="_Toc232672642"/>
      <w:bookmarkStart w:id="274" w:name="_Toc234931459"/>
      <w:bookmarkStart w:id="275" w:name="_Toc232758482"/>
      <w:r>
        <w:rPr>
          <w:noProof/>
        </w:rPr>
        <w:t>Schematic representation of the GEM-E3 model</w:t>
      </w:r>
      <w:bookmarkEnd w:id="271"/>
      <w:bookmarkEnd w:id="272"/>
      <w:bookmarkEnd w:id="273"/>
      <w:bookmarkEnd w:id="274"/>
      <w:bookmarkEnd w:id="275"/>
    </w:p>
    <w:p w14:paraId="4A639CB6" w14:textId="77777777" w:rsidR="00A71942" w:rsidRPr="008F514F" w:rsidRDefault="00A71942" w:rsidP="00E276C8">
      <w:pPr>
        <w:spacing w:line="240" w:lineRule="auto"/>
        <w:jc w:val="center"/>
        <w:rPr>
          <w:noProof/>
        </w:rPr>
      </w:pPr>
      <w:r>
        <w:rPr>
          <w:noProof/>
          <w:lang w:eastAsia="en-GB"/>
        </w:rPr>
        <w:drawing>
          <wp:inline distT="0" distB="0" distL="0" distR="0" wp14:anchorId="2070B8AC" wp14:editId="17CA97A8">
            <wp:extent cx="4768850" cy="3503976"/>
            <wp:effectExtent l="0" t="0" r="0" b="1270"/>
            <wp:docPr id="1637491750" name="Picture 9" descr="A computer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A computer screen shot of a diagram&#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92100" cy="3521059"/>
                    </a:xfrm>
                    <a:prstGeom prst="rect">
                      <a:avLst/>
                    </a:prstGeom>
                    <a:noFill/>
                    <a:ln>
                      <a:noFill/>
                    </a:ln>
                  </pic:spPr>
                </pic:pic>
              </a:graphicData>
            </a:graphic>
          </wp:inline>
        </w:drawing>
      </w:r>
    </w:p>
    <w:p w14:paraId="6A7FC7C2" w14:textId="77777777" w:rsidR="00A71942" w:rsidRPr="008F514F" w:rsidRDefault="00A71942" w:rsidP="00E276C8">
      <w:pPr>
        <w:spacing w:line="240" w:lineRule="auto"/>
        <w:rPr>
          <w:noProof/>
        </w:rPr>
      </w:pPr>
      <w:r>
        <w:rPr>
          <w:noProof/>
        </w:rPr>
        <w:t>Focus is placed on the representation of the energy system where specialised bottom-up modules for power generation, buildings and transport sectors have been developed. To this end, the model includes a detailed representation of the power generation system (12 power technologies) and a detailed transport module (private and public transport modes), while different technological options for energy use in buildings and industry are provided. The energy system representation includes an explicit representation of new technologies such as hydrogen, clean fuels, and bioenergy options. The GEM-E3 environment module covers all GHG emissions and a wide range of abatement options, as well as a thoroughly designed carbon market structure (e.g., grandfathering, auctioning, alternative recycling mechanisms). The model has been used extensively by the European Commission, governments and public institutions to assess the macroeconomic, distributional and employment implications of the transition to climate neutrality. </w:t>
      </w:r>
    </w:p>
    <w:p w14:paraId="431F4EEB" w14:textId="156F66BA" w:rsidR="00A71942" w:rsidRPr="008F514F" w:rsidRDefault="00A71942" w:rsidP="00E276C8">
      <w:pPr>
        <w:spacing w:line="240" w:lineRule="auto"/>
        <w:rPr>
          <w:noProof/>
        </w:rPr>
      </w:pPr>
      <w:r>
        <w:rPr>
          <w:noProof/>
        </w:rPr>
        <w:t>The model is based on advanced applied modelling techniques and has been further extended to allow the representation of semi-endogenous technical progress, endogenous formation of labour skills and human capital and a detailed bottom-up representation of the energy system (in particular transport and power generation), along with non-CO</w:t>
      </w:r>
      <w:r w:rsidRPr="1FC5E705">
        <w:rPr>
          <w:noProof/>
          <w:vertAlign w:val="subscript"/>
        </w:rPr>
        <w:t>2</w:t>
      </w:r>
      <w:r>
        <w:rPr>
          <w:noProof/>
        </w:rPr>
        <w:t xml:space="preserve"> emission abatement options and negative emissions technologies.  It moves beyond the standard CGE framework as it is dynamic and features involuntary unemployment in the labour market and alternative macroeconomic closures supported by a detailed representation of the financial sector. The model is established on rigorous microeconomic </w:t>
      </w:r>
      <w:r w:rsidR="00F514AE">
        <w:rPr>
          <w:noProof/>
        </w:rPr>
        <w:t>theory;</w:t>
      </w:r>
      <w:r>
        <w:rPr>
          <w:noProof/>
        </w:rPr>
        <w:t xml:space="preserve"> it is empirically estimated (substitution and trade elasticities) and is able to undertake long term analysis as opposed to econometric models that suffer from the Lucas critique. The model can be used both in a comparative and what if analysis frameworks and represents a closed and consistent accounting of resources.  </w:t>
      </w:r>
    </w:p>
    <w:p w14:paraId="2323675D" w14:textId="77777777" w:rsidR="00A71942" w:rsidRPr="00A7553F" w:rsidRDefault="00A71942" w:rsidP="00E276C8">
      <w:pPr>
        <w:pStyle w:val="Figuretitle"/>
        <w:keepNext/>
        <w:spacing w:after="120" w:line="240" w:lineRule="auto"/>
        <w:ind w:left="709"/>
        <w:rPr>
          <w:noProof/>
        </w:rPr>
      </w:pPr>
      <w:bookmarkStart w:id="276" w:name="_Toc222405636"/>
      <w:bookmarkStart w:id="277" w:name="_Toc232609910"/>
      <w:bookmarkStart w:id="278" w:name="_Toc232672643"/>
      <w:bookmarkStart w:id="279" w:name="_Toc234931460"/>
      <w:bookmarkStart w:id="280" w:name="_Toc232758483"/>
      <w:r>
        <w:rPr>
          <w:noProof/>
        </w:rPr>
        <w:t>GEM-E3 system dimensions</w:t>
      </w:r>
      <w:bookmarkEnd w:id="276"/>
      <w:bookmarkEnd w:id="277"/>
      <w:bookmarkEnd w:id="278"/>
      <w:bookmarkEnd w:id="279"/>
      <w:bookmarkEnd w:id="280"/>
    </w:p>
    <w:p w14:paraId="20411408" w14:textId="77777777" w:rsidR="00A71942" w:rsidRDefault="00A71942" w:rsidP="00E276C8">
      <w:pPr>
        <w:spacing w:line="240" w:lineRule="auto"/>
        <w:rPr>
          <w:noProof/>
        </w:rPr>
      </w:pPr>
      <w:r>
        <w:rPr>
          <w:noProof/>
          <w:lang w:eastAsia="en-GB"/>
        </w:rPr>
        <w:drawing>
          <wp:inline distT="0" distB="0" distL="0" distR="0" wp14:anchorId="2B904175" wp14:editId="40708A6C">
            <wp:extent cx="5943600" cy="2400300"/>
            <wp:effectExtent l="0" t="0" r="0" b="0"/>
            <wp:docPr id="1330571552" name="Picture 8" descr="Diagram 1, Smart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Diagram 1, SmartArt diagram"/>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r w:rsidRPr="1FC5E705">
        <w:rPr>
          <w:i/>
          <w:iCs/>
          <w:noProof/>
          <w:sz w:val="20"/>
          <w:szCs w:val="20"/>
        </w:rPr>
        <w:t> </w:t>
      </w:r>
    </w:p>
    <w:p w14:paraId="7BAA480D" w14:textId="77777777" w:rsidR="00A71942" w:rsidRPr="008F514F" w:rsidRDefault="00A71942" w:rsidP="00E276C8">
      <w:pPr>
        <w:spacing w:line="240" w:lineRule="auto"/>
        <w:rPr>
          <w:noProof/>
        </w:rPr>
      </w:pPr>
      <w:r>
        <w:rPr>
          <w:noProof/>
        </w:rPr>
        <w:t>The model is calibrated to a wide range of datasets comprising of Input-Output tables, financial accounting matrices, institutional transactions, energy balances, GHG inventories, bilateral trade matrices, investment matrices and household budget surveys. The model has been calibrated to the latest statistics (GTAP 11, IEA, UN, ILO) while Eurostat statistics have been used for the EU.  All countries in the model are linked through endogenous bilateral trade transactions identifying origin and destination. The substitution elasticities of the model are not derived from the general literature but are estimated according to its dimensions and functional forms using the latest available datasets. The model is recursive dynamic through the accumulation of capital via the decision for investments and through the accumulation of knowledge stocks via R&amp;D and human capital development. Model regions are linked through endogenous bilateral trade following the Armington assumption of imperfect substitution across domestic and imported goods. The nested production functions are differentiated by sector and follow a CES structure. For the demand side, the model simulates consumer behaviour and maximises a Klein-Rubin utility function that results in a Linear Expenditure demand system subject to its disposable income not used for obliged consumption (subsistence minima consumption) and after allowing for the decision on savings. The representative household decides on the allocation of the income that is available for consumption over different consumption categories (COICOP), distinguishing between durable and non-durable goods. The model has been calibrated to the latest statistics (GTAP 11, IEA, UN, ILO) while Eurostat statistics have been used for the EU.   </w:t>
      </w:r>
    </w:p>
    <w:p w14:paraId="4E9B100F" w14:textId="77777777" w:rsidR="00A71942" w:rsidRPr="008F514F" w:rsidRDefault="00A71942" w:rsidP="00E276C8">
      <w:pPr>
        <w:spacing w:line="240" w:lineRule="auto"/>
        <w:rPr>
          <w:noProof/>
        </w:rPr>
      </w:pPr>
      <w:r>
        <w:rPr>
          <w:noProof/>
        </w:rPr>
        <w:t>The key innovations of the model relate to the explicit representation of the financial sector, semi-endogenous dynamics based on R&amp;D induced technical progress and knowledge spillovers, the representation of multiple households, unemployment in the labour market with a representation of five labour skill levels and endogenous formation of labour skills.  </w:t>
      </w:r>
    </w:p>
    <w:p w14:paraId="2DC3FAAC" w14:textId="77777777" w:rsidR="00A71942" w:rsidRPr="008F514F" w:rsidRDefault="00A71942" w:rsidP="00E276C8">
      <w:pPr>
        <w:spacing w:line="240" w:lineRule="auto"/>
        <w:rPr>
          <w:noProof/>
        </w:rPr>
      </w:pPr>
      <w:r>
        <w:rPr>
          <w:noProof/>
        </w:rPr>
        <w:t>The model is written in structural form and can be used for the comparative analysis of alternative policy scenarios and the provision of insights on the distributional effects of long-term structural adjustments. In all simulation alternatives the model ensures that the economic system is always in general equilibrium. It extends beyond the static comparison of alternative policies. </w:t>
      </w:r>
    </w:p>
    <w:p w14:paraId="52746F8D" w14:textId="77777777" w:rsidR="00A71942" w:rsidRPr="008F514F" w:rsidRDefault="00A71942" w:rsidP="00E276C8">
      <w:pPr>
        <w:spacing w:line="240" w:lineRule="auto"/>
        <w:rPr>
          <w:noProof/>
        </w:rPr>
      </w:pPr>
      <w:r>
        <w:rPr>
          <w:noProof/>
        </w:rPr>
        <w:t>The GEM-E3 model is written entirely in GAMS. The implementation of the model is split in two stages:  </w:t>
      </w:r>
    </w:p>
    <w:p w14:paraId="57E8509C" w14:textId="77777777" w:rsidR="00A71942" w:rsidRPr="008F514F" w:rsidRDefault="00A71942" w:rsidP="00E276C8">
      <w:pPr>
        <w:numPr>
          <w:ilvl w:val="0"/>
          <w:numId w:val="60"/>
        </w:numPr>
        <w:spacing w:line="240" w:lineRule="auto"/>
        <w:rPr>
          <w:noProof/>
        </w:rPr>
      </w:pPr>
      <w:r>
        <w:rPr>
          <w:noProof/>
        </w:rPr>
        <w:t>Calibration: At this stage the calculation of the model parameters is carried out so that the model replicates a single year (base year) data.  </w:t>
      </w:r>
    </w:p>
    <w:p w14:paraId="06694917" w14:textId="77777777" w:rsidR="00A71942" w:rsidRPr="008F514F" w:rsidRDefault="00A71942" w:rsidP="00E276C8">
      <w:pPr>
        <w:numPr>
          <w:ilvl w:val="0"/>
          <w:numId w:val="61"/>
        </w:numPr>
        <w:spacing w:line="240" w:lineRule="auto"/>
        <w:rPr>
          <w:noProof/>
        </w:rPr>
      </w:pPr>
      <w:r>
        <w:rPr>
          <w:noProof/>
        </w:rPr>
        <w:t>Scenario quantification: This stage entails model implementation that quantifies a reference and/or a counterfactual scenario. </w:t>
      </w:r>
    </w:p>
    <w:p w14:paraId="34CC7922" w14:textId="448EF4A9" w:rsidR="004A40D6" w:rsidRDefault="00A71942" w:rsidP="00E276C8">
      <w:pPr>
        <w:spacing w:line="240" w:lineRule="auto"/>
        <w:rPr>
          <w:noProof/>
        </w:rPr>
      </w:pPr>
      <w:r>
        <w:rPr>
          <w:noProof/>
        </w:rPr>
        <w:t xml:space="preserve">GEM-E3 </w:t>
      </w:r>
      <w:r w:rsidR="000041AB">
        <w:rPr>
          <w:noProof/>
        </w:rPr>
        <w:t>enables the</w:t>
      </w:r>
      <w:r w:rsidR="00DE7FA8">
        <w:rPr>
          <w:noProof/>
        </w:rPr>
        <w:t xml:space="preserve"> analysis of</w:t>
      </w:r>
      <w:r w:rsidR="000041AB">
        <w:rPr>
          <w:noProof/>
        </w:rPr>
        <w:t xml:space="preserve"> </w:t>
      </w:r>
      <w:r w:rsidR="004A40D6">
        <w:rPr>
          <w:noProof/>
        </w:rPr>
        <w:t xml:space="preserve">the </w:t>
      </w:r>
      <w:r w:rsidR="000041AB">
        <w:rPr>
          <w:noProof/>
        </w:rPr>
        <w:t>impacts</w:t>
      </w:r>
      <w:r w:rsidR="00DE7FA8">
        <w:rPr>
          <w:noProof/>
        </w:rPr>
        <w:t xml:space="preserve"> of policy scenarios </w:t>
      </w:r>
      <w:r w:rsidR="004A40D6">
        <w:rPr>
          <w:noProof/>
        </w:rPr>
        <w:t>on key macro-economic variables. A wide range of policies and measures can be assessed</w:t>
      </w:r>
      <w:r w:rsidR="002477BA">
        <w:rPr>
          <w:noProof/>
        </w:rPr>
        <w:t xml:space="preserve"> under any given level of mitigation ambition</w:t>
      </w:r>
      <w:r w:rsidR="004A40D6">
        <w:rPr>
          <w:noProof/>
        </w:rPr>
        <w:t xml:space="preserve">, including those to support the deployment of renewable energy or industrial decarbonisation, e.g. via the </w:t>
      </w:r>
      <w:r w:rsidR="002477BA">
        <w:rPr>
          <w:noProof/>
        </w:rPr>
        <w:t>recycling</w:t>
      </w:r>
      <w:r w:rsidR="004A40D6">
        <w:rPr>
          <w:noProof/>
        </w:rPr>
        <w:t xml:space="preserve"> of carbon revenues, measures to support up-skilling and re-skilling of the labour force, or policies to avoid carbon leakage, such as the carbon border adjustment measure.</w:t>
      </w:r>
      <w:r w:rsidR="002477BA">
        <w:rPr>
          <w:noProof/>
        </w:rPr>
        <w:t xml:space="preserve"> The model can also be used to assess the impact of price shocks on the economy, e.g. fossil fuel price shocks.</w:t>
      </w:r>
    </w:p>
    <w:p w14:paraId="1025B7B9" w14:textId="7A6B62A5" w:rsidR="00A71942" w:rsidRPr="008F514F" w:rsidRDefault="002477BA" w:rsidP="00E276C8">
      <w:pPr>
        <w:spacing w:line="240" w:lineRule="auto"/>
        <w:rPr>
          <w:noProof/>
        </w:rPr>
      </w:pPr>
      <w:r>
        <w:rPr>
          <w:noProof/>
        </w:rPr>
        <w:t xml:space="preserve">They key variables represented in GEM-E3 include </w:t>
      </w:r>
      <w:r w:rsidR="00A71942">
        <w:rPr>
          <w:noProof/>
        </w:rPr>
        <w:t xml:space="preserve">GDP and </w:t>
      </w:r>
      <w:r>
        <w:rPr>
          <w:noProof/>
        </w:rPr>
        <w:t xml:space="preserve">its </w:t>
      </w:r>
      <w:r w:rsidR="00A71942">
        <w:rPr>
          <w:noProof/>
        </w:rPr>
        <w:t>components, employment by economic activity and by skill and unemployment rates, capital, interest rates and investment by country and sector, private and public consumption, bilateral trade flows, consumption matrices by product and investment matrix by ownership branch,  GHG emissions by country, sector and fuel and detailed energy system projections (energy demand by sector and fuel, power generation mix, deployment of transport technologies, energy efficiency improvements). </w:t>
      </w:r>
    </w:p>
    <w:p w14:paraId="1205E8CF" w14:textId="77777777" w:rsidR="00A71942" w:rsidRPr="008F514F" w:rsidRDefault="00A71942" w:rsidP="00E276C8">
      <w:pPr>
        <w:spacing w:line="240" w:lineRule="auto"/>
        <w:rPr>
          <w:noProof/>
        </w:rPr>
      </w:pPr>
      <w:r>
        <w:rPr>
          <w:noProof/>
        </w:rPr>
        <w:t>GEM-E3 enables a thorough understanding and detailed identification of risks and opportunities of the low carbon transition and of the implementation of specific climate and energy policies by capturing: </w:t>
      </w:r>
    </w:p>
    <w:p w14:paraId="07C1144F" w14:textId="77777777" w:rsidR="00A71942" w:rsidRPr="008F514F" w:rsidRDefault="00A71942" w:rsidP="00E276C8">
      <w:pPr>
        <w:numPr>
          <w:ilvl w:val="0"/>
          <w:numId w:val="62"/>
        </w:numPr>
        <w:spacing w:line="240" w:lineRule="auto"/>
        <w:rPr>
          <w:noProof/>
        </w:rPr>
      </w:pPr>
      <w:r>
        <w:rPr>
          <w:noProof/>
        </w:rPr>
        <w:t>Direct impacts on each sector, e.g., how carbon prices and carbon border taxes will affect a sector’s costs of production (considering carbon intensity) and thus its production levels (via domestic and international demand) </w:t>
      </w:r>
    </w:p>
    <w:p w14:paraId="1534DCA4" w14:textId="77777777" w:rsidR="00A71942" w:rsidRPr="008F514F" w:rsidRDefault="00A71942" w:rsidP="00E276C8">
      <w:pPr>
        <w:numPr>
          <w:ilvl w:val="0"/>
          <w:numId w:val="63"/>
        </w:numPr>
        <w:spacing w:line="240" w:lineRule="auto"/>
        <w:rPr>
          <w:noProof/>
        </w:rPr>
      </w:pPr>
      <w:r>
        <w:rPr>
          <w:noProof/>
        </w:rPr>
        <w:t>Indirect impacts via value chain effects (e.g. changes in prices of intermediate products, of labour and capital inputs), technology costs, consumer preferences, material availability and costs </w:t>
      </w:r>
    </w:p>
    <w:p w14:paraId="28012D10" w14:textId="77777777" w:rsidR="00A71942" w:rsidRPr="008F514F" w:rsidRDefault="00A71942" w:rsidP="00E276C8">
      <w:pPr>
        <w:numPr>
          <w:ilvl w:val="0"/>
          <w:numId w:val="64"/>
        </w:numPr>
        <w:spacing w:line="240" w:lineRule="auto"/>
        <w:rPr>
          <w:noProof/>
        </w:rPr>
      </w:pPr>
      <w:r>
        <w:rPr>
          <w:noProof/>
        </w:rPr>
        <w:t>Induced effects via economy feedback, prices, and income implications (e.g. overall drop of demand even for products not directly affected by carbon prices etc.) </w:t>
      </w:r>
    </w:p>
    <w:p w14:paraId="502A7C1A" w14:textId="77777777" w:rsidR="00A71942" w:rsidRPr="008F514F" w:rsidRDefault="00A71942" w:rsidP="00E276C8">
      <w:pPr>
        <w:numPr>
          <w:ilvl w:val="0"/>
          <w:numId w:val="65"/>
        </w:numPr>
        <w:spacing w:line="240" w:lineRule="auto"/>
        <w:rPr>
          <w:noProof/>
        </w:rPr>
      </w:pPr>
      <w:r>
        <w:rPr>
          <w:noProof/>
        </w:rPr>
        <w:t>The impacts of financing requirements (capital-intensive process of mitigation) and different financing options </w:t>
      </w:r>
    </w:p>
    <w:p w14:paraId="08E7E19E" w14:textId="77777777" w:rsidR="00A71942" w:rsidRPr="008F514F" w:rsidRDefault="00A71942" w:rsidP="00E276C8">
      <w:pPr>
        <w:numPr>
          <w:ilvl w:val="0"/>
          <w:numId w:val="66"/>
        </w:numPr>
        <w:spacing w:line="240" w:lineRule="auto"/>
        <w:rPr>
          <w:noProof/>
        </w:rPr>
      </w:pPr>
      <w:r>
        <w:rPr>
          <w:noProof/>
        </w:rPr>
        <w:t>Impacts on competitiveness  </w:t>
      </w:r>
    </w:p>
    <w:p w14:paraId="42C71AA7" w14:textId="77777777" w:rsidR="00A71942" w:rsidRPr="00332186" w:rsidRDefault="00A71942" w:rsidP="00E276C8">
      <w:pPr>
        <w:numPr>
          <w:ilvl w:val="0"/>
          <w:numId w:val="67"/>
        </w:numPr>
        <w:spacing w:line="240" w:lineRule="auto"/>
        <w:ind w:left="714" w:hanging="357"/>
        <w:rPr>
          <w:noProof/>
        </w:rPr>
      </w:pPr>
      <w:r>
        <w:rPr>
          <w:noProof/>
        </w:rPr>
        <w:t>Impacts on sectoral productivity, household incomes and prices due to climate damages </w:t>
      </w:r>
    </w:p>
    <w:p w14:paraId="6B56519B" w14:textId="77777777" w:rsidR="00A71942" w:rsidRPr="00A7553F" w:rsidRDefault="00A71942" w:rsidP="00E276C8">
      <w:pPr>
        <w:pStyle w:val="Tabletitle"/>
        <w:keepNext/>
        <w:spacing w:after="120" w:line="240" w:lineRule="auto"/>
        <w:ind w:left="720"/>
        <w:rPr>
          <w:noProof/>
        </w:rPr>
      </w:pPr>
      <w:bookmarkStart w:id="281" w:name="_Toc222405587"/>
      <w:bookmarkStart w:id="282" w:name="_Toc232608933"/>
      <w:bookmarkStart w:id="283" w:name="_Toc232611543"/>
      <w:bookmarkStart w:id="284" w:name="_Toc232672603"/>
      <w:bookmarkStart w:id="285" w:name="_Toc232758455"/>
      <w:r>
        <w:rPr>
          <w:noProof/>
        </w:rPr>
        <w:t>Regional resolution of the GEM-E3 model</w:t>
      </w:r>
      <w:bookmarkEnd w:id="281"/>
      <w:bookmarkEnd w:id="282"/>
      <w:bookmarkEnd w:id="283"/>
      <w:bookmarkEnd w:id="284"/>
      <w:bookmarkEnd w:id="285"/>
    </w:p>
    <w:tbl>
      <w:tblPr>
        <w:tblStyle w:val="CV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756"/>
        <w:gridCol w:w="271"/>
        <w:gridCol w:w="1683"/>
        <w:gridCol w:w="3363"/>
      </w:tblGrid>
      <w:tr w:rsidR="00A71942" w:rsidRPr="00C75626" w14:paraId="081D63D4" w14:textId="77777777" w:rsidTr="00F514AE">
        <w:trPr>
          <w:trHeight w:val="144"/>
          <w:jc w:val="center"/>
        </w:trPr>
        <w:tc>
          <w:tcPr>
            <w:tcW w:w="0" w:type="auto"/>
            <w:hideMark/>
          </w:tcPr>
          <w:p w14:paraId="69859873" w14:textId="77777777" w:rsidR="00A71942" w:rsidRPr="00C75626" w:rsidRDefault="00A71942" w:rsidP="00E276C8">
            <w:pPr>
              <w:spacing w:after="120"/>
              <w:rPr>
                <w:b/>
                <w:bCs/>
                <w:noProof/>
                <w:color w:val="242828" w:themeColor="text1"/>
                <w:sz w:val="22"/>
                <w:szCs w:val="22"/>
              </w:rPr>
            </w:pPr>
            <w:r w:rsidRPr="1FC5E705">
              <w:rPr>
                <w:b/>
                <w:bCs/>
                <w:noProof/>
                <w:color w:val="242828" w:themeColor="text1"/>
                <w:sz w:val="22"/>
                <w:szCs w:val="22"/>
              </w:rPr>
              <w:t>Country Code: </w:t>
            </w:r>
          </w:p>
        </w:tc>
        <w:tc>
          <w:tcPr>
            <w:tcW w:w="0" w:type="auto"/>
            <w:hideMark/>
          </w:tcPr>
          <w:p w14:paraId="45365868" w14:textId="77777777" w:rsidR="00A71942" w:rsidRPr="00C75626" w:rsidRDefault="00A71942" w:rsidP="00E276C8">
            <w:pPr>
              <w:spacing w:after="120"/>
              <w:rPr>
                <w:b/>
                <w:bCs/>
                <w:noProof/>
                <w:color w:val="242828" w:themeColor="text1"/>
                <w:sz w:val="22"/>
                <w:szCs w:val="22"/>
              </w:rPr>
            </w:pPr>
            <w:r w:rsidRPr="1FC5E705">
              <w:rPr>
                <w:b/>
                <w:bCs/>
                <w:noProof/>
                <w:color w:val="242828" w:themeColor="text1"/>
                <w:sz w:val="22"/>
                <w:szCs w:val="22"/>
              </w:rPr>
              <w:t>Description: </w:t>
            </w:r>
          </w:p>
        </w:tc>
        <w:tc>
          <w:tcPr>
            <w:tcW w:w="0" w:type="auto"/>
            <w:hideMark/>
          </w:tcPr>
          <w:p w14:paraId="50EA6572" w14:textId="77777777" w:rsidR="00A71942" w:rsidRPr="00C75626" w:rsidRDefault="00A71942" w:rsidP="00E276C8">
            <w:pPr>
              <w:spacing w:after="120"/>
              <w:rPr>
                <w:b/>
                <w:bCs/>
                <w:noProof/>
                <w:color w:val="242828" w:themeColor="text1"/>
                <w:sz w:val="22"/>
                <w:szCs w:val="22"/>
              </w:rPr>
            </w:pPr>
            <w:r w:rsidRPr="1FC5E705">
              <w:rPr>
                <w:b/>
                <w:bCs/>
                <w:noProof/>
                <w:color w:val="242828" w:themeColor="text1"/>
                <w:sz w:val="22"/>
                <w:szCs w:val="22"/>
              </w:rPr>
              <w:t> </w:t>
            </w:r>
          </w:p>
        </w:tc>
        <w:tc>
          <w:tcPr>
            <w:tcW w:w="0" w:type="auto"/>
            <w:hideMark/>
          </w:tcPr>
          <w:p w14:paraId="4B42B42F" w14:textId="77777777" w:rsidR="00A71942" w:rsidRPr="00C75626" w:rsidRDefault="00A71942" w:rsidP="00E276C8">
            <w:pPr>
              <w:spacing w:after="120"/>
              <w:rPr>
                <w:b/>
                <w:bCs/>
                <w:noProof/>
                <w:color w:val="242828" w:themeColor="text1"/>
                <w:sz w:val="22"/>
                <w:szCs w:val="22"/>
              </w:rPr>
            </w:pPr>
            <w:r w:rsidRPr="1FC5E705">
              <w:rPr>
                <w:b/>
                <w:bCs/>
                <w:noProof/>
                <w:color w:val="242828" w:themeColor="text1"/>
                <w:sz w:val="22"/>
                <w:szCs w:val="22"/>
              </w:rPr>
              <w:t>Country Code: </w:t>
            </w:r>
          </w:p>
        </w:tc>
        <w:tc>
          <w:tcPr>
            <w:tcW w:w="0" w:type="auto"/>
            <w:hideMark/>
          </w:tcPr>
          <w:p w14:paraId="59074CE2" w14:textId="77777777" w:rsidR="00A71942" w:rsidRPr="00C75626" w:rsidRDefault="00A71942" w:rsidP="00E276C8">
            <w:pPr>
              <w:spacing w:after="120"/>
              <w:rPr>
                <w:b/>
                <w:bCs/>
                <w:noProof/>
                <w:color w:val="242828" w:themeColor="text1"/>
                <w:sz w:val="22"/>
                <w:szCs w:val="22"/>
              </w:rPr>
            </w:pPr>
            <w:r w:rsidRPr="1FC5E705">
              <w:rPr>
                <w:b/>
                <w:bCs/>
                <w:noProof/>
                <w:color w:val="242828" w:themeColor="text1"/>
                <w:sz w:val="22"/>
                <w:szCs w:val="22"/>
              </w:rPr>
              <w:t>Description: </w:t>
            </w:r>
          </w:p>
        </w:tc>
      </w:tr>
      <w:tr w:rsidR="00A71942" w:rsidRPr="00C75626" w14:paraId="60482B86" w14:textId="77777777" w:rsidTr="00F514AE">
        <w:trPr>
          <w:trHeight w:val="144"/>
          <w:jc w:val="center"/>
        </w:trPr>
        <w:tc>
          <w:tcPr>
            <w:tcW w:w="0" w:type="auto"/>
            <w:hideMark/>
          </w:tcPr>
          <w:p w14:paraId="6A8B7AC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AUT</w:t>
            </w:r>
            <w:r w:rsidRPr="1FC5E705">
              <w:rPr>
                <w:noProof/>
                <w:color w:val="242828" w:themeColor="text1"/>
                <w:sz w:val="22"/>
                <w:szCs w:val="22"/>
              </w:rPr>
              <w:t> </w:t>
            </w:r>
          </w:p>
        </w:tc>
        <w:tc>
          <w:tcPr>
            <w:tcW w:w="0" w:type="auto"/>
            <w:hideMark/>
          </w:tcPr>
          <w:p w14:paraId="03F312EC"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Austria </w:t>
            </w:r>
          </w:p>
        </w:tc>
        <w:tc>
          <w:tcPr>
            <w:tcW w:w="0" w:type="auto"/>
            <w:hideMark/>
          </w:tcPr>
          <w:p w14:paraId="1F29924C"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tc>
        <w:tc>
          <w:tcPr>
            <w:tcW w:w="0" w:type="auto"/>
            <w:hideMark/>
          </w:tcPr>
          <w:p w14:paraId="18DE27A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USA</w:t>
            </w:r>
            <w:r w:rsidRPr="1FC5E705">
              <w:rPr>
                <w:noProof/>
                <w:color w:val="242828" w:themeColor="text1"/>
                <w:sz w:val="22"/>
                <w:szCs w:val="22"/>
              </w:rPr>
              <w:t> </w:t>
            </w:r>
          </w:p>
        </w:tc>
        <w:tc>
          <w:tcPr>
            <w:tcW w:w="0" w:type="auto"/>
            <w:hideMark/>
          </w:tcPr>
          <w:p w14:paraId="1DA50F4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USA </w:t>
            </w:r>
          </w:p>
        </w:tc>
      </w:tr>
      <w:tr w:rsidR="00A71942" w:rsidRPr="00C75626" w14:paraId="18D253B8" w14:textId="77777777" w:rsidTr="00F514AE">
        <w:trPr>
          <w:trHeight w:val="144"/>
          <w:jc w:val="center"/>
        </w:trPr>
        <w:tc>
          <w:tcPr>
            <w:tcW w:w="0" w:type="auto"/>
            <w:hideMark/>
          </w:tcPr>
          <w:p w14:paraId="4BBAA2D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BEL</w:t>
            </w:r>
            <w:r w:rsidRPr="1FC5E705">
              <w:rPr>
                <w:noProof/>
                <w:color w:val="242828" w:themeColor="text1"/>
                <w:sz w:val="22"/>
                <w:szCs w:val="22"/>
              </w:rPr>
              <w:t> </w:t>
            </w:r>
          </w:p>
        </w:tc>
        <w:tc>
          <w:tcPr>
            <w:tcW w:w="0" w:type="auto"/>
            <w:hideMark/>
          </w:tcPr>
          <w:p w14:paraId="52073421"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Belgium </w:t>
            </w:r>
          </w:p>
        </w:tc>
        <w:tc>
          <w:tcPr>
            <w:tcW w:w="0" w:type="auto"/>
            <w:vMerge w:val="restart"/>
            <w:hideMark/>
          </w:tcPr>
          <w:p w14:paraId="7967BE23"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1BF630FD"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4EC21F85"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0840015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1A80402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4529A79A"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6A0FA8D1"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75CC4D03"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39B36C4B"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334E4AF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5D9FD2A1"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57605AF4"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268E352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389921CF"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65B2CE7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17A7F4B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2163D484"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0DDCA31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6469B31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4607B43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3098C944"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706E0D24"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48FB1D4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64A023A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6E84DA91"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79C1D42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p w14:paraId="1BF4B02A"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 </w:t>
            </w:r>
          </w:p>
        </w:tc>
        <w:tc>
          <w:tcPr>
            <w:tcW w:w="0" w:type="auto"/>
            <w:hideMark/>
          </w:tcPr>
          <w:p w14:paraId="15170690"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JPN</w:t>
            </w:r>
            <w:r w:rsidRPr="1FC5E705">
              <w:rPr>
                <w:noProof/>
                <w:color w:val="242828" w:themeColor="text1"/>
                <w:sz w:val="22"/>
                <w:szCs w:val="22"/>
              </w:rPr>
              <w:t> </w:t>
            </w:r>
          </w:p>
        </w:tc>
        <w:tc>
          <w:tcPr>
            <w:tcW w:w="0" w:type="auto"/>
            <w:hideMark/>
          </w:tcPr>
          <w:p w14:paraId="2F638AD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Japan </w:t>
            </w:r>
          </w:p>
        </w:tc>
      </w:tr>
      <w:tr w:rsidR="00A71942" w:rsidRPr="00C75626" w14:paraId="11A6FC5F" w14:textId="77777777" w:rsidTr="00F514AE">
        <w:trPr>
          <w:trHeight w:val="144"/>
          <w:jc w:val="center"/>
        </w:trPr>
        <w:tc>
          <w:tcPr>
            <w:tcW w:w="0" w:type="auto"/>
            <w:hideMark/>
          </w:tcPr>
          <w:p w14:paraId="57E265C0"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BGR</w:t>
            </w:r>
            <w:r w:rsidRPr="1FC5E705">
              <w:rPr>
                <w:noProof/>
                <w:color w:val="242828" w:themeColor="text1"/>
                <w:sz w:val="22"/>
                <w:szCs w:val="22"/>
              </w:rPr>
              <w:t> </w:t>
            </w:r>
          </w:p>
        </w:tc>
        <w:tc>
          <w:tcPr>
            <w:tcW w:w="0" w:type="auto"/>
            <w:hideMark/>
          </w:tcPr>
          <w:p w14:paraId="2366618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Bulgaria </w:t>
            </w:r>
          </w:p>
        </w:tc>
        <w:tc>
          <w:tcPr>
            <w:tcW w:w="0" w:type="auto"/>
            <w:vMerge/>
            <w:hideMark/>
          </w:tcPr>
          <w:p w14:paraId="29B8254D" w14:textId="77777777" w:rsidR="00A71942" w:rsidRPr="00C75626" w:rsidRDefault="00A71942" w:rsidP="00E276C8">
            <w:pPr>
              <w:spacing w:after="120"/>
              <w:rPr>
                <w:noProof/>
                <w:color w:val="242828" w:themeColor="text1"/>
                <w:sz w:val="22"/>
                <w:szCs w:val="22"/>
              </w:rPr>
            </w:pPr>
          </w:p>
        </w:tc>
        <w:tc>
          <w:tcPr>
            <w:tcW w:w="0" w:type="auto"/>
            <w:hideMark/>
          </w:tcPr>
          <w:p w14:paraId="187BC9BA"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CAN</w:t>
            </w:r>
            <w:r w:rsidRPr="1FC5E705">
              <w:rPr>
                <w:noProof/>
                <w:color w:val="242828" w:themeColor="text1"/>
                <w:sz w:val="22"/>
                <w:szCs w:val="22"/>
              </w:rPr>
              <w:t> </w:t>
            </w:r>
          </w:p>
        </w:tc>
        <w:tc>
          <w:tcPr>
            <w:tcW w:w="0" w:type="auto"/>
            <w:hideMark/>
          </w:tcPr>
          <w:p w14:paraId="5FF6945F"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Canada </w:t>
            </w:r>
          </w:p>
        </w:tc>
      </w:tr>
      <w:tr w:rsidR="00A71942" w:rsidRPr="00C75626" w14:paraId="66164128" w14:textId="77777777" w:rsidTr="00F514AE">
        <w:trPr>
          <w:trHeight w:val="144"/>
          <w:jc w:val="center"/>
        </w:trPr>
        <w:tc>
          <w:tcPr>
            <w:tcW w:w="0" w:type="auto"/>
            <w:hideMark/>
          </w:tcPr>
          <w:p w14:paraId="4E2C85A7"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CYP</w:t>
            </w:r>
            <w:r w:rsidRPr="1FC5E705">
              <w:rPr>
                <w:noProof/>
                <w:color w:val="242828" w:themeColor="text1"/>
                <w:sz w:val="22"/>
                <w:szCs w:val="22"/>
              </w:rPr>
              <w:t> </w:t>
            </w:r>
          </w:p>
        </w:tc>
        <w:tc>
          <w:tcPr>
            <w:tcW w:w="0" w:type="auto"/>
            <w:hideMark/>
          </w:tcPr>
          <w:p w14:paraId="1D1039E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Cyprus </w:t>
            </w:r>
          </w:p>
        </w:tc>
        <w:tc>
          <w:tcPr>
            <w:tcW w:w="0" w:type="auto"/>
            <w:vMerge/>
            <w:hideMark/>
          </w:tcPr>
          <w:p w14:paraId="128A0B6B" w14:textId="77777777" w:rsidR="00A71942" w:rsidRPr="00C75626" w:rsidRDefault="00A71942" w:rsidP="00E276C8">
            <w:pPr>
              <w:spacing w:after="120"/>
              <w:rPr>
                <w:noProof/>
                <w:color w:val="242828" w:themeColor="text1"/>
                <w:sz w:val="22"/>
                <w:szCs w:val="22"/>
              </w:rPr>
            </w:pPr>
          </w:p>
        </w:tc>
        <w:tc>
          <w:tcPr>
            <w:tcW w:w="0" w:type="auto"/>
            <w:hideMark/>
          </w:tcPr>
          <w:p w14:paraId="54E4B9B3"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BRA</w:t>
            </w:r>
            <w:r w:rsidRPr="1FC5E705">
              <w:rPr>
                <w:noProof/>
                <w:color w:val="242828" w:themeColor="text1"/>
                <w:sz w:val="22"/>
                <w:szCs w:val="22"/>
              </w:rPr>
              <w:t> </w:t>
            </w:r>
          </w:p>
        </w:tc>
        <w:tc>
          <w:tcPr>
            <w:tcW w:w="0" w:type="auto"/>
            <w:hideMark/>
          </w:tcPr>
          <w:p w14:paraId="65B4D9D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Brazil </w:t>
            </w:r>
          </w:p>
        </w:tc>
      </w:tr>
      <w:tr w:rsidR="00A71942" w:rsidRPr="00C75626" w14:paraId="24394020" w14:textId="77777777" w:rsidTr="00F514AE">
        <w:trPr>
          <w:trHeight w:val="144"/>
          <w:jc w:val="center"/>
        </w:trPr>
        <w:tc>
          <w:tcPr>
            <w:tcW w:w="0" w:type="auto"/>
            <w:hideMark/>
          </w:tcPr>
          <w:p w14:paraId="7ECE87E0"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CRO</w:t>
            </w:r>
            <w:r w:rsidRPr="1FC5E705">
              <w:rPr>
                <w:noProof/>
                <w:color w:val="242828" w:themeColor="text1"/>
                <w:sz w:val="22"/>
                <w:szCs w:val="22"/>
              </w:rPr>
              <w:t> </w:t>
            </w:r>
          </w:p>
        </w:tc>
        <w:tc>
          <w:tcPr>
            <w:tcW w:w="0" w:type="auto"/>
            <w:hideMark/>
          </w:tcPr>
          <w:p w14:paraId="543F8F3D"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Croatia </w:t>
            </w:r>
          </w:p>
        </w:tc>
        <w:tc>
          <w:tcPr>
            <w:tcW w:w="0" w:type="auto"/>
            <w:vMerge/>
            <w:hideMark/>
          </w:tcPr>
          <w:p w14:paraId="25670289" w14:textId="77777777" w:rsidR="00A71942" w:rsidRPr="00C75626" w:rsidRDefault="00A71942" w:rsidP="00E276C8">
            <w:pPr>
              <w:spacing w:after="120"/>
              <w:rPr>
                <w:noProof/>
                <w:color w:val="242828" w:themeColor="text1"/>
                <w:sz w:val="22"/>
                <w:szCs w:val="22"/>
              </w:rPr>
            </w:pPr>
          </w:p>
        </w:tc>
        <w:tc>
          <w:tcPr>
            <w:tcW w:w="0" w:type="auto"/>
            <w:hideMark/>
          </w:tcPr>
          <w:p w14:paraId="7BD90068"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CHN</w:t>
            </w:r>
            <w:r w:rsidRPr="1FC5E705">
              <w:rPr>
                <w:noProof/>
                <w:color w:val="242828" w:themeColor="text1"/>
                <w:sz w:val="22"/>
                <w:szCs w:val="22"/>
              </w:rPr>
              <w:t> </w:t>
            </w:r>
          </w:p>
        </w:tc>
        <w:tc>
          <w:tcPr>
            <w:tcW w:w="0" w:type="auto"/>
            <w:hideMark/>
          </w:tcPr>
          <w:p w14:paraId="4EF1904A"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China </w:t>
            </w:r>
          </w:p>
        </w:tc>
      </w:tr>
      <w:tr w:rsidR="00A71942" w:rsidRPr="00C75626" w14:paraId="6F9F903E" w14:textId="77777777" w:rsidTr="00F514AE">
        <w:trPr>
          <w:trHeight w:val="144"/>
          <w:jc w:val="center"/>
        </w:trPr>
        <w:tc>
          <w:tcPr>
            <w:tcW w:w="0" w:type="auto"/>
            <w:hideMark/>
          </w:tcPr>
          <w:p w14:paraId="435DCBEA"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CZE</w:t>
            </w:r>
            <w:r w:rsidRPr="1FC5E705">
              <w:rPr>
                <w:noProof/>
                <w:color w:val="242828" w:themeColor="text1"/>
                <w:sz w:val="22"/>
                <w:szCs w:val="22"/>
              </w:rPr>
              <w:t> </w:t>
            </w:r>
          </w:p>
        </w:tc>
        <w:tc>
          <w:tcPr>
            <w:tcW w:w="0" w:type="auto"/>
            <w:hideMark/>
          </w:tcPr>
          <w:p w14:paraId="0064A40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Czech Republic </w:t>
            </w:r>
          </w:p>
        </w:tc>
        <w:tc>
          <w:tcPr>
            <w:tcW w:w="0" w:type="auto"/>
            <w:vMerge/>
            <w:hideMark/>
          </w:tcPr>
          <w:p w14:paraId="2FF48598" w14:textId="77777777" w:rsidR="00A71942" w:rsidRPr="00C75626" w:rsidRDefault="00A71942" w:rsidP="00E276C8">
            <w:pPr>
              <w:spacing w:after="120"/>
              <w:rPr>
                <w:noProof/>
                <w:color w:val="242828" w:themeColor="text1"/>
                <w:sz w:val="22"/>
                <w:szCs w:val="22"/>
              </w:rPr>
            </w:pPr>
          </w:p>
        </w:tc>
        <w:tc>
          <w:tcPr>
            <w:tcW w:w="0" w:type="auto"/>
            <w:hideMark/>
          </w:tcPr>
          <w:p w14:paraId="52B5D9C8"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IND</w:t>
            </w:r>
            <w:r w:rsidRPr="1FC5E705">
              <w:rPr>
                <w:noProof/>
                <w:color w:val="242828" w:themeColor="text1"/>
                <w:sz w:val="22"/>
                <w:szCs w:val="22"/>
              </w:rPr>
              <w:t> </w:t>
            </w:r>
          </w:p>
        </w:tc>
        <w:tc>
          <w:tcPr>
            <w:tcW w:w="0" w:type="auto"/>
            <w:hideMark/>
          </w:tcPr>
          <w:p w14:paraId="2570B36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India </w:t>
            </w:r>
          </w:p>
        </w:tc>
      </w:tr>
      <w:tr w:rsidR="00A71942" w:rsidRPr="00C75626" w14:paraId="651A8298" w14:textId="77777777" w:rsidTr="00F514AE">
        <w:trPr>
          <w:trHeight w:val="144"/>
          <w:jc w:val="center"/>
        </w:trPr>
        <w:tc>
          <w:tcPr>
            <w:tcW w:w="0" w:type="auto"/>
            <w:hideMark/>
          </w:tcPr>
          <w:p w14:paraId="576D9734"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DEU</w:t>
            </w:r>
            <w:r w:rsidRPr="1FC5E705">
              <w:rPr>
                <w:noProof/>
                <w:color w:val="242828" w:themeColor="text1"/>
                <w:sz w:val="22"/>
                <w:szCs w:val="22"/>
              </w:rPr>
              <w:t> </w:t>
            </w:r>
          </w:p>
        </w:tc>
        <w:tc>
          <w:tcPr>
            <w:tcW w:w="0" w:type="auto"/>
            <w:hideMark/>
          </w:tcPr>
          <w:p w14:paraId="224E8953"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Germany </w:t>
            </w:r>
          </w:p>
        </w:tc>
        <w:tc>
          <w:tcPr>
            <w:tcW w:w="0" w:type="auto"/>
            <w:vMerge/>
            <w:hideMark/>
          </w:tcPr>
          <w:p w14:paraId="39F6EA0D" w14:textId="77777777" w:rsidR="00A71942" w:rsidRPr="00C75626" w:rsidRDefault="00A71942" w:rsidP="00E276C8">
            <w:pPr>
              <w:spacing w:after="120"/>
              <w:rPr>
                <w:noProof/>
                <w:color w:val="242828" w:themeColor="text1"/>
                <w:sz w:val="22"/>
                <w:szCs w:val="22"/>
              </w:rPr>
            </w:pPr>
          </w:p>
        </w:tc>
        <w:tc>
          <w:tcPr>
            <w:tcW w:w="0" w:type="auto"/>
            <w:hideMark/>
          </w:tcPr>
          <w:p w14:paraId="507DD7B4"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KOR</w:t>
            </w:r>
            <w:r w:rsidRPr="1FC5E705">
              <w:rPr>
                <w:noProof/>
                <w:color w:val="242828" w:themeColor="text1"/>
                <w:sz w:val="22"/>
                <w:szCs w:val="22"/>
              </w:rPr>
              <w:t> </w:t>
            </w:r>
          </w:p>
        </w:tc>
        <w:tc>
          <w:tcPr>
            <w:tcW w:w="0" w:type="auto"/>
            <w:hideMark/>
          </w:tcPr>
          <w:p w14:paraId="06C8EC3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South Korea </w:t>
            </w:r>
          </w:p>
        </w:tc>
      </w:tr>
      <w:tr w:rsidR="00A71942" w:rsidRPr="00C75626" w14:paraId="0FC8B07A" w14:textId="77777777" w:rsidTr="00F514AE">
        <w:trPr>
          <w:trHeight w:val="144"/>
          <w:jc w:val="center"/>
        </w:trPr>
        <w:tc>
          <w:tcPr>
            <w:tcW w:w="0" w:type="auto"/>
            <w:hideMark/>
          </w:tcPr>
          <w:p w14:paraId="4510FD26"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DNK</w:t>
            </w:r>
            <w:r w:rsidRPr="1FC5E705">
              <w:rPr>
                <w:noProof/>
                <w:color w:val="242828" w:themeColor="text1"/>
                <w:sz w:val="22"/>
                <w:szCs w:val="22"/>
              </w:rPr>
              <w:t> </w:t>
            </w:r>
          </w:p>
        </w:tc>
        <w:tc>
          <w:tcPr>
            <w:tcW w:w="0" w:type="auto"/>
            <w:hideMark/>
          </w:tcPr>
          <w:p w14:paraId="37CC854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Denmark </w:t>
            </w:r>
          </w:p>
        </w:tc>
        <w:tc>
          <w:tcPr>
            <w:tcW w:w="0" w:type="auto"/>
            <w:vMerge/>
            <w:hideMark/>
          </w:tcPr>
          <w:p w14:paraId="3C21D2E7" w14:textId="77777777" w:rsidR="00A71942" w:rsidRPr="00C75626" w:rsidRDefault="00A71942" w:rsidP="00E276C8">
            <w:pPr>
              <w:spacing w:after="120"/>
              <w:rPr>
                <w:noProof/>
                <w:color w:val="242828" w:themeColor="text1"/>
                <w:sz w:val="22"/>
                <w:szCs w:val="22"/>
              </w:rPr>
            </w:pPr>
          </w:p>
        </w:tc>
        <w:tc>
          <w:tcPr>
            <w:tcW w:w="0" w:type="auto"/>
            <w:hideMark/>
          </w:tcPr>
          <w:p w14:paraId="78A4C726"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IDN</w:t>
            </w:r>
            <w:r w:rsidRPr="1FC5E705">
              <w:rPr>
                <w:noProof/>
                <w:color w:val="242828" w:themeColor="text1"/>
                <w:sz w:val="22"/>
                <w:szCs w:val="22"/>
              </w:rPr>
              <w:t> </w:t>
            </w:r>
          </w:p>
        </w:tc>
        <w:tc>
          <w:tcPr>
            <w:tcW w:w="0" w:type="auto"/>
            <w:hideMark/>
          </w:tcPr>
          <w:p w14:paraId="6478F7D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Indonesia </w:t>
            </w:r>
          </w:p>
        </w:tc>
      </w:tr>
      <w:tr w:rsidR="00A71942" w:rsidRPr="00C75626" w14:paraId="7BE0712E" w14:textId="77777777" w:rsidTr="00F514AE">
        <w:trPr>
          <w:trHeight w:val="144"/>
          <w:jc w:val="center"/>
        </w:trPr>
        <w:tc>
          <w:tcPr>
            <w:tcW w:w="0" w:type="auto"/>
            <w:hideMark/>
          </w:tcPr>
          <w:p w14:paraId="2126E2BB"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ESP</w:t>
            </w:r>
            <w:r w:rsidRPr="1FC5E705">
              <w:rPr>
                <w:noProof/>
                <w:color w:val="242828" w:themeColor="text1"/>
                <w:sz w:val="22"/>
                <w:szCs w:val="22"/>
              </w:rPr>
              <w:t> </w:t>
            </w:r>
          </w:p>
        </w:tc>
        <w:tc>
          <w:tcPr>
            <w:tcW w:w="0" w:type="auto"/>
            <w:hideMark/>
          </w:tcPr>
          <w:p w14:paraId="6BD4F26D"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Spain </w:t>
            </w:r>
          </w:p>
        </w:tc>
        <w:tc>
          <w:tcPr>
            <w:tcW w:w="0" w:type="auto"/>
            <w:vMerge/>
            <w:hideMark/>
          </w:tcPr>
          <w:p w14:paraId="63653F46" w14:textId="77777777" w:rsidR="00A71942" w:rsidRPr="00C75626" w:rsidRDefault="00A71942" w:rsidP="00E276C8">
            <w:pPr>
              <w:spacing w:after="120"/>
              <w:rPr>
                <w:noProof/>
                <w:color w:val="242828" w:themeColor="text1"/>
                <w:sz w:val="22"/>
                <w:szCs w:val="22"/>
              </w:rPr>
            </w:pPr>
          </w:p>
        </w:tc>
        <w:tc>
          <w:tcPr>
            <w:tcW w:w="0" w:type="auto"/>
            <w:hideMark/>
          </w:tcPr>
          <w:p w14:paraId="3E394E0D"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MEX</w:t>
            </w:r>
            <w:r w:rsidRPr="1FC5E705">
              <w:rPr>
                <w:noProof/>
                <w:color w:val="242828" w:themeColor="text1"/>
                <w:sz w:val="22"/>
                <w:szCs w:val="22"/>
              </w:rPr>
              <w:t> </w:t>
            </w:r>
          </w:p>
        </w:tc>
        <w:tc>
          <w:tcPr>
            <w:tcW w:w="0" w:type="auto"/>
            <w:hideMark/>
          </w:tcPr>
          <w:p w14:paraId="3774189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Mexico </w:t>
            </w:r>
          </w:p>
        </w:tc>
      </w:tr>
      <w:tr w:rsidR="00A71942" w:rsidRPr="00C75626" w14:paraId="1948ECBA" w14:textId="77777777" w:rsidTr="00F514AE">
        <w:trPr>
          <w:trHeight w:val="144"/>
          <w:jc w:val="center"/>
        </w:trPr>
        <w:tc>
          <w:tcPr>
            <w:tcW w:w="0" w:type="auto"/>
            <w:hideMark/>
          </w:tcPr>
          <w:p w14:paraId="6C62FC7A"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EST</w:t>
            </w:r>
            <w:r w:rsidRPr="1FC5E705">
              <w:rPr>
                <w:noProof/>
                <w:color w:val="242828" w:themeColor="text1"/>
                <w:sz w:val="22"/>
                <w:szCs w:val="22"/>
              </w:rPr>
              <w:t> </w:t>
            </w:r>
          </w:p>
        </w:tc>
        <w:tc>
          <w:tcPr>
            <w:tcW w:w="0" w:type="auto"/>
            <w:hideMark/>
          </w:tcPr>
          <w:p w14:paraId="2C7CBD7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Estonia </w:t>
            </w:r>
          </w:p>
        </w:tc>
        <w:tc>
          <w:tcPr>
            <w:tcW w:w="0" w:type="auto"/>
            <w:vMerge/>
            <w:hideMark/>
          </w:tcPr>
          <w:p w14:paraId="487C9242" w14:textId="77777777" w:rsidR="00A71942" w:rsidRPr="00C75626" w:rsidRDefault="00A71942" w:rsidP="00E276C8">
            <w:pPr>
              <w:spacing w:after="120"/>
              <w:rPr>
                <w:noProof/>
                <w:color w:val="242828" w:themeColor="text1"/>
                <w:sz w:val="22"/>
                <w:szCs w:val="22"/>
              </w:rPr>
            </w:pPr>
          </w:p>
        </w:tc>
        <w:tc>
          <w:tcPr>
            <w:tcW w:w="0" w:type="auto"/>
            <w:hideMark/>
          </w:tcPr>
          <w:p w14:paraId="6E03D1A1"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ARG</w:t>
            </w:r>
            <w:r w:rsidRPr="1FC5E705">
              <w:rPr>
                <w:noProof/>
                <w:color w:val="242828" w:themeColor="text1"/>
                <w:sz w:val="22"/>
                <w:szCs w:val="22"/>
              </w:rPr>
              <w:t> </w:t>
            </w:r>
          </w:p>
        </w:tc>
        <w:tc>
          <w:tcPr>
            <w:tcW w:w="0" w:type="auto"/>
            <w:hideMark/>
          </w:tcPr>
          <w:p w14:paraId="238DFDA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Argentina </w:t>
            </w:r>
          </w:p>
        </w:tc>
      </w:tr>
      <w:tr w:rsidR="00A71942" w:rsidRPr="00C75626" w14:paraId="084DFE69" w14:textId="77777777" w:rsidTr="00F514AE">
        <w:trPr>
          <w:trHeight w:val="144"/>
          <w:jc w:val="center"/>
        </w:trPr>
        <w:tc>
          <w:tcPr>
            <w:tcW w:w="0" w:type="auto"/>
            <w:hideMark/>
          </w:tcPr>
          <w:p w14:paraId="1DAE551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FIN</w:t>
            </w:r>
            <w:r w:rsidRPr="1FC5E705">
              <w:rPr>
                <w:noProof/>
                <w:color w:val="242828" w:themeColor="text1"/>
                <w:sz w:val="22"/>
                <w:szCs w:val="22"/>
              </w:rPr>
              <w:t> </w:t>
            </w:r>
          </w:p>
        </w:tc>
        <w:tc>
          <w:tcPr>
            <w:tcW w:w="0" w:type="auto"/>
            <w:hideMark/>
          </w:tcPr>
          <w:p w14:paraId="4404268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Finland </w:t>
            </w:r>
          </w:p>
        </w:tc>
        <w:tc>
          <w:tcPr>
            <w:tcW w:w="0" w:type="auto"/>
            <w:vMerge/>
            <w:hideMark/>
          </w:tcPr>
          <w:p w14:paraId="6E47FA70" w14:textId="77777777" w:rsidR="00A71942" w:rsidRPr="00C75626" w:rsidRDefault="00A71942" w:rsidP="00E276C8">
            <w:pPr>
              <w:spacing w:after="120"/>
              <w:rPr>
                <w:noProof/>
                <w:color w:val="242828" w:themeColor="text1"/>
                <w:sz w:val="22"/>
                <w:szCs w:val="22"/>
              </w:rPr>
            </w:pPr>
          </w:p>
        </w:tc>
        <w:tc>
          <w:tcPr>
            <w:tcW w:w="0" w:type="auto"/>
            <w:hideMark/>
          </w:tcPr>
          <w:p w14:paraId="5A5F8742"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TUR</w:t>
            </w:r>
            <w:r w:rsidRPr="1FC5E705">
              <w:rPr>
                <w:noProof/>
                <w:color w:val="242828" w:themeColor="text1"/>
                <w:sz w:val="22"/>
                <w:szCs w:val="22"/>
              </w:rPr>
              <w:t> </w:t>
            </w:r>
          </w:p>
        </w:tc>
        <w:tc>
          <w:tcPr>
            <w:tcW w:w="0" w:type="auto"/>
            <w:hideMark/>
          </w:tcPr>
          <w:p w14:paraId="1DD4D076"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Turkey </w:t>
            </w:r>
          </w:p>
        </w:tc>
      </w:tr>
      <w:tr w:rsidR="00A71942" w:rsidRPr="00C75626" w14:paraId="401C0BB5" w14:textId="77777777" w:rsidTr="00F514AE">
        <w:trPr>
          <w:trHeight w:val="144"/>
          <w:jc w:val="center"/>
        </w:trPr>
        <w:tc>
          <w:tcPr>
            <w:tcW w:w="0" w:type="auto"/>
            <w:hideMark/>
          </w:tcPr>
          <w:p w14:paraId="3325B6D2"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FRA</w:t>
            </w:r>
            <w:r w:rsidRPr="1FC5E705">
              <w:rPr>
                <w:noProof/>
                <w:color w:val="242828" w:themeColor="text1"/>
                <w:sz w:val="22"/>
                <w:szCs w:val="22"/>
              </w:rPr>
              <w:t> </w:t>
            </w:r>
          </w:p>
        </w:tc>
        <w:tc>
          <w:tcPr>
            <w:tcW w:w="0" w:type="auto"/>
            <w:hideMark/>
          </w:tcPr>
          <w:p w14:paraId="48E3645D"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France </w:t>
            </w:r>
          </w:p>
        </w:tc>
        <w:tc>
          <w:tcPr>
            <w:tcW w:w="0" w:type="auto"/>
            <w:vMerge/>
            <w:hideMark/>
          </w:tcPr>
          <w:p w14:paraId="568E27F7" w14:textId="77777777" w:rsidR="00A71942" w:rsidRPr="00C75626" w:rsidRDefault="00A71942" w:rsidP="00E276C8">
            <w:pPr>
              <w:spacing w:after="120"/>
              <w:rPr>
                <w:noProof/>
                <w:color w:val="242828" w:themeColor="text1"/>
                <w:sz w:val="22"/>
                <w:szCs w:val="22"/>
              </w:rPr>
            </w:pPr>
          </w:p>
        </w:tc>
        <w:tc>
          <w:tcPr>
            <w:tcW w:w="0" w:type="auto"/>
            <w:hideMark/>
          </w:tcPr>
          <w:p w14:paraId="26A002F4"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SAR</w:t>
            </w:r>
            <w:r w:rsidRPr="1FC5E705">
              <w:rPr>
                <w:noProof/>
                <w:color w:val="242828" w:themeColor="text1"/>
                <w:sz w:val="22"/>
                <w:szCs w:val="22"/>
              </w:rPr>
              <w:t> </w:t>
            </w:r>
          </w:p>
        </w:tc>
        <w:tc>
          <w:tcPr>
            <w:tcW w:w="0" w:type="auto"/>
            <w:hideMark/>
          </w:tcPr>
          <w:p w14:paraId="639E046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Saudi Arabia </w:t>
            </w:r>
          </w:p>
        </w:tc>
      </w:tr>
      <w:tr w:rsidR="00A71942" w:rsidRPr="00C75626" w14:paraId="45760568" w14:textId="77777777" w:rsidTr="00F514AE">
        <w:trPr>
          <w:trHeight w:val="144"/>
          <w:jc w:val="center"/>
        </w:trPr>
        <w:tc>
          <w:tcPr>
            <w:tcW w:w="0" w:type="auto"/>
            <w:hideMark/>
          </w:tcPr>
          <w:p w14:paraId="0EF9F73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GBR</w:t>
            </w:r>
            <w:r w:rsidRPr="1FC5E705">
              <w:rPr>
                <w:noProof/>
                <w:color w:val="242828" w:themeColor="text1"/>
                <w:sz w:val="22"/>
                <w:szCs w:val="22"/>
              </w:rPr>
              <w:t> </w:t>
            </w:r>
          </w:p>
        </w:tc>
        <w:tc>
          <w:tcPr>
            <w:tcW w:w="0" w:type="auto"/>
            <w:hideMark/>
          </w:tcPr>
          <w:p w14:paraId="268EF33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United Kingdom </w:t>
            </w:r>
          </w:p>
        </w:tc>
        <w:tc>
          <w:tcPr>
            <w:tcW w:w="0" w:type="auto"/>
            <w:vMerge/>
            <w:hideMark/>
          </w:tcPr>
          <w:p w14:paraId="5515822F" w14:textId="77777777" w:rsidR="00A71942" w:rsidRPr="00C75626" w:rsidRDefault="00A71942" w:rsidP="00E276C8">
            <w:pPr>
              <w:spacing w:after="120"/>
              <w:rPr>
                <w:noProof/>
                <w:color w:val="242828" w:themeColor="text1"/>
                <w:sz w:val="22"/>
                <w:szCs w:val="22"/>
              </w:rPr>
            </w:pPr>
          </w:p>
        </w:tc>
        <w:tc>
          <w:tcPr>
            <w:tcW w:w="0" w:type="auto"/>
            <w:hideMark/>
          </w:tcPr>
          <w:p w14:paraId="353032EC"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OCE</w:t>
            </w:r>
            <w:r w:rsidRPr="1FC5E705">
              <w:rPr>
                <w:noProof/>
                <w:color w:val="242828" w:themeColor="text1"/>
                <w:sz w:val="22"/>
                <w:szCs w:val="22"/>
              </w:rPr>
              <w:t> </w:t>
            </w:r>
          </w:p>
        </w:tc>
        <w:tc>
          <w:tcPr>
            <w:tcW w:w="0" w:type="auto"/>
            <w:hideMark/>
          </w:tcPr>
          <w:p w14:paraId="151E462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Oceania </w:t>
            </w:r>
          </w:p>
        </w:tc>
      </w:tr>
      <w:tr w:rsidR="00A71942" w:rsidRPr="00C75626" w14:paraId="79A1519B" w14:textId="77777777" w:rsidTr="00F514AE">
        <w:trPr>
          <w:trHeight w:val="144"/>
          <w:jc w:val="center"/>
        </w:trPr>
        <w:tc>
          <w:tcPr>
            <w:tcW w:w="0" w:type="auto"/>
            <w:hideMark/>
          </w:tcPr>
          <w:p w14:paraId="5BBA4C4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GRC</w:t>
            </w:r>
            <w:r w:rsidRPr="1FC5E705">
              <w:rPr>
                <w:noProof/>
                <w:color w:val="242828" w:themeColor="text1"/>
                <w:sz w:val="22"/>
                <w:szCs w:val="22"/>
              </w:rPr>
              <w:t> </w:t>
            </w:r>
          </w:p>
        </w:tc>
        <w:tc>
          <w:tcPr>
            <w:tcW w:w="0" w:type="auto"/>
            <w:hideMark/>
          </w:tcPr>
          <w:p w14:paraId="150E5143"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Greece </w:t>
            </w:r>
          </w:p>
        </w:tc>
        <w:tc>
          <w:tcPr>
            <w:tcW w:w="0" w:type="auto"/>
            <w:vMerge/>
            <w:hideMark/>
          </w:tcPr>
          <w:p w14:paraId="615033A8" w14:textId="77777777" w:rsidR="00A71942" w:rsidRPr="00C75626" w:rsidRDefault="00A71942" w:rsidP="00E276C8">
            <w:pPr>
              <w:spacing w:after="120"/>
              <w:rPr>
                <w:noProof/>
                <w:color w:val="242828" w:themeColor="text1"/>
                <w:sz w:val="22"/>
                <w:szCs w:val="22"/>
              </w:rPr>
            </w:pPr>
          </w:p>
        </w:tc>
        <w:tc>
          <w:tcPr>
            <w:tcW w:w="0" w:type="auto"/>
            <w:hideMark/>
          </w:tcPr>
          <w:p w14:paraId="5CDA9656"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RUS</w:t>
            </w:r>
            <w:r w:rsidRPr="1FC5E705">
              <w:rPr>
                <w:noProof/>
                <w:color w:val="242828" w:themeColor="text1"/>
                <w:sz w:val="22"/>
                <w:szCs w:val="22"/>
              </w:rPr>
              <w:t> </w:t>
            </w:r>
          </w:p>
        </w:tc>
        <w:tc>
          <w:tcPr>
            <w:tcW w:w="0" w:type="auto"/>
            <w:hideMark/>
          </w:tcPr>
          <w:p w14:paraId="48C6471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Russian federation </w:t>
            </w:r>
          </w:p>
        </w:tc>
      </w:tr>
      <w:tr w:rsidR="00A71942" w:rsidRPr="00C75626" w14:paraId="565B6C58" w14:textId="77777777" w:rsidTr="00F514AE">
        <w:trPr>
          <w:trHeight w:val="144"/>
          <w:jc w:val="center"/>
        </w:trPr>
        <w:tc>
          <w:tcPr>
            <w:tcW w:w="0" w:type="auto"/>
            <w:hideMark/>
          </w:tcPr>
          <w:p w14:paraId="3CC49FD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HUN</w:t>
            </w:r>
            <w:r w:rsidRPr="1FC5E705">
              <w:rPr>
                <w:noProof/>
                <w:color w:val="242828" w:themeColor="text1"/>
                <w:sz w:val="22"/>
                <w:szCs w:val="22"/>
              </w:rPr>
              <w:t> </w:t>
            </w:r>
          </w:p>
        </w:tc>
        <w:tc>
          <w:tcPr>
            <w:tcW w:w="0" w:type="auto"/>
            <w:hideMark/>
          </w:tcPr>
          <w:p w14:paraId="5E35EB8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Hungary </w:t>
            </w:r>
          </w:p>
        </w:tc>
        <w:tc>
          <w:tcPr>
            <w:tcW w:w="0" w:type="auto"/>
            <w:vMerge/>
            <w:hideMark/>
          </w:tcPr>
          <w:p w14:paraId="559978C0" w14:textId="77777777" w:rsidR="00A71942" w:rsidRPr="00C75626" w:rsidRDefault="00A71942" w:rsidP="00E276C8">
            <w:pPr>
              <w:spacing w:after="120"/>
              <w:rPr>
                <w:noProof/>
                <w:color w:val="242828" w:themeColor="text1"/>
                <w:sz w:val="22"/>
                <w:szCs w:val="22"/>
              </w:rPr>
            </w:pPr>
          </w:p>
        </w:tc>
        <w:tc>
          <w:tcPr>
            <w:tcW w:w="0" w:type="auto"/>
            <w:hideMark/>
          </w:tcPr>
          <w:p w14:paraId="7BBA4E5D"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ARE</w:t>
            </w:r>
            <w:r w:rsidRPr="1FC5E705">
              <w:rPr>
                <w:noProof/>
                <w:color w:val="242828" w:themeColor="text1"/>
                <w:sz w:val="22"/>
                <w:szCs w:val="22"/>
              </w:rPr>
              <w:t> </w:t>
            </w:r>
          </w:p>
        </w:tc>
        <w:tc>
          <w:tcPr>
            <w:tcW w:w="0" w:type="auto"/>
            <w:hideMark/>
          </w:tcPr>
          <w:p w14:paraId="355D463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United Arab Emirates </w:t>
            </w:r>
          </w:p>
        </w:tc>
      </w:tr>
      <w:tr w:rsidR="00A71942" w:rsidRPr="00C75626" w14:paraId="5E088563" w14:textId="77777777" w:rsidTr="00F514AE">
        <w:trPr>
          <w:trHeight w:val="144"/>
          <w:jc w:val="center"/>
        </w:trPr>
        <w:tc>
          <w:tcPr>
            <w:tcW w:w="0" w:type="auto"/>
            <w:hideMark/>
          </w:tcPr>
          <w:p w14:paraId="0C5846E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IRL</w:t>
            </w:r>
            <w:r w:rsidRPr="1FC5E705">
              <w:rPr>
                <w:noProof/>
                <w:color w:val="242828" w:themeColor="text1"/>
                <w:sz w:val="22"/>
                <w:szCs w:val="22"/>
              </w:rPr>
              <w:t> </w:t>
            </w:r>
          </w:p>
        </w:tc>
        <w:tc>
          <w:tcPr>
            <w:tcW w:w="0" w:type="auto"/>
            <w:hideMark/>
          </w:tcPr>
          <w:p w14:paraId="31A605EF"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Ireland </w:t>
            </w:r>
          </w:p>
        </w:tc>
        <w:tc>
          <w:tcPr>
            <w:tcW w:w="0" w:type="auto"/>
            <w:vMerge/>
            <w:hideMark/>
          </w:tcPr>
          <w:p w14:paraId="493E63C3" w14:textId="77777777" w:rsidR="00A71942" w:rsidRPr="00C75626" w:rsidRDefault="00A71942" w:rsidP="00E276C8">
            <w:pPr>
              <w:spacing w:after="120"/>
              <w:rPr>
                <w:noProof/>
                <w:color w:val="242828" w:themeColor="text1"/>
                <w:sz w:val="22"/>
                <w:szCs w:val="22"/>
              </w:rPr>
            </w:pPr>
          </w:p>
        </w:tc>
        <w:tc>
          <w:tcPr>
            <w:tcW w:w="0" w:type="auto"/>
            <w:hideMark/>
          </w:tcPr>
          <w:p w14:paraId="798603A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REP</w:t>
            </w:r>
            <w:r w:rsidRPr="1FC5E705">
              <w:rPr>
                <w:noProof/>
                <w:color w:val="242828" w:themeColor="text1"/>
                <w:sz w:val="22"/>
                <w:szCs w:val="22"/>
              </w:rPr>
              <w:t> </w:t>
            </w:r>
          </w:p>
        </w:tc>
        <w:tc>
          <w:tcPr>
            <w:tcW w:w="0" w:type="auto"/>
            <w:hideMark/>
          </w:tcPr>
          <w:p w14:paraId="2548343B"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Rest of energy producing countries </w:t>
            </w:r>
          </w:p>
        </w:tc>
      </w:tr>
      <w:tr w:rsidR="00A71942" w:rsidRPr="00C75626" w14:paraId="3C243B35" w14:textId="77777777" w:rsidTr="00F514AE">
        <w:trPr>
          <w:trHeight w:val="144"/>
          <w:jc w:val="center"/>
        </w:trPr>
        <w:tc>
          <w:tcPr>
            <w:tcW w:w="0" w:type="auto"/>
            <w:hideMark/>
          </w:tcPr>
          <w:p w14:paraId="07F20B86"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ITA</w:t>
            </w:r>
            <w:r w:rsidRPr="1FC5E705">
              <w:rPr>
                <w:noProof/>
                <w:color w:val="242828" w:themeColor="text1"/>
                <w:sz w:val="22"/>
                <w:szCs w:val="22"/>
              </w:rPr>
              <w:t> </w:t>
            </w:r>
          </w:p>
        </w:tc>
        <w:tc>
          <w:tcPr>
            <w:tcW w:w="0" w:type="auto"/>
            <w:hideMark/>
          </w:tcPr>
          <w:p w14:paraId="6BB0BE03"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Italy </w:t>
            </w:r>
          </w:p>
        </w:tc>
        <w:tc>
          <w:tcPr>
            <w:tcW w:w="0" w:type="auto"/>
            <w:vMerge/>
            <w:hideMark/>
          </w:tcPr>
          <w:p w14:paraId="76766AFA" w14:textId="77777777" w:rsidR="00A71942" w:rsidRPr="00C75626" w:rsidRDefault="00A71942" w:rsidP="00E276C8">
            <w:pPr>
              <w:spacing w:after="120"/>
              <w:rPr>
                <w:noProof/>
                <w:color w:val="242828" w:themeColor="text1"/>
                <w:sz w:val="22"/>
                <w:szCs w:val="22"/>
              </w:rPr>
            </w:pPr>
          </w:p>
        </w:tc>
        <w:tc>
          <w:tcPr>
            <w:tcW w:w="0" w:type="auto"/>
            <w:hideMark/>
          </w:tcPr>
          <w:p w14:paraId="37F2FC9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SAF</w:t>
            </w:r>
            <w:r w:rsidRPr="1FC5E705">
              <w:rPr>
                <w:noProof/>
                <w:color w:val="242828" w:themeColor="text1"/>
                <w:sz w:val="22"/>
                <w:szCs w:val="22"/>
              </w:rPr>
              <w:t> </w:t>
            </w:r>
          </w:p>
        </w:tc>
        <w:tc>
          <w:tcPr>
            <w:tcW w:w="0" w:type="auto"/>
            <w:hideMark/>
          </w:tcPr>
          <w:p w14:paraId="7FD226B7"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South Africa </w:t>
            </w:r>
          </w:p>
        </w:tc>
      </w:tr>
      <w:tr w:rsidR="00A71942" w:rsidRPr="00C75626" w14:paraId="5A53BA3A" w14:textId="77777777" w:rsidTr="00F514AE">
        <w:trPr>
          <w:trHeight w:val="144"/>
          <w:jc w:val="center"/>
        </w:trPr>
        <w:tc>
          <w:tcPr>
            <w:tcW w:w="0" w:type="auto"/>
            <w:hideMark/>
          </w:tcPr>
          <w:p w14:paraId="55003C7D"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LTU</w:t>
            </w:r>
            <w:r w:rsidRPr="1FC5E705">
              <w:rPr>
                <w:noProof/>
                <w:color w:val="242828" w:themeColor="text1"/>
                <w:sz w:val="22"/>
                <w:szCs w:val="22"/>
              </w:rPr>
              <w:t> </w:t>
            </w:r>
          </w:p>
        </w:tc>
        <w:tc>
          <w:tcPr>
            <w:tcW w:w="0" w:type="auto"/>
            <w:hideMark/>
          </w:tcPr>
          <w:p w14:paraId="051D7842"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Lithuania </w:t>
            </w:r>
          </w:p>
        </w:tc>
        <w:tc>
          <w:tcPr>
            <w:tcW w:w="0" w:type="auto"/>
            <w:vMerge/>
            <w:hideMark/>
          </w:tcPr>
          <w:p w14:paraId="569B1E38" w14:textId="77777777" w:rsidR="00A71942" w:rsidRPr="00C75626" w:rsidRDefault="00A71942" w:rsidP="00E276C8">
            <w:pPr>
              <w:spacing w:after="120"/>
              <w:rPr>
                <w:noProof/>
                <w:color w:val="242828" w:themeColor="text1"/>
                <w:sz w:val="22"/>
                <w:szCs w:val="22"/>
              </w:rPr>
            </w:pPr>
          </w:p>
        </w:tc>
        <w:tc>
          <w:tcPr>
            <w:tcW w:w="0" w:type="auto"/>
            <w:hideMark/>
          </w:tcPr>
          <w:p w14:paraId="17E3248F"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REU</w:t>
            </w:r>
            <w:r w:rsidRPr="1FC5E705">
              <w:rPr>
                <w:noProof/>
                <w:color w:val="242828" w:themeColor="text1"/>
                <w:sz w:val="22"/>
                <w:szCs w:val="22"/>
              </w:rPr>
              <w:t> </w:t>
            </w:r>
          </w:p>
        </w:tc>
        <w:tc>
          <w:tcPr>
            <w:tcW w:w="0" w:type="auto"/>
            <w:hideMark/>
          </w:tcPr>
          <w:p w14:paraId="7FFE5019"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Rest of Europe </w:t>
            </w:r>
          </w:p>
        </w:tc>
      </w:tr>
      <w:tr w:rsidR="00A71942" w:rsidRPr="00C75626" w14:paraId="6A6030C8" w14:textId="77777777" w:rsidTr="00F514AE">
        <w:trPr>
          <w:trHeight w:val="144"/>
          <w:jc w:val="center"/>
        </w:trPr>
        <w:tc>
          <w:tcPr>
            <w:tcW w:w="0" w:type="auto"/>
            <w:hideMark/>
          </w:tcPr>
          <w:p w14:paraId="591C39AE"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LUX</w:t>
            </w:r>
            <w:r w:rsidRPr="1FC5E705">
              <w:rPr>
                <w:noProof/>
                <w:color w:val="242828" w:themeColor="text1"/>
                <w:sz w:val="22"/>
                <w:szCs w:val="22"/>
              </w:rPr>
              <w:t> </w:t>
            </w:r>
          </w:p>
        </w:tc>
        <w:tc>
          <w:tcPr>
            <w:tcW w:w="0" w:type="auto"/>
            <w:hideMark/>
          </w:tcPr>
          <w:p w14:paraId="2ADDB6A8"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Luxembourg </w:t>
            </w:r>
          </w:p>
        </w:tc>
        <w:tc>
          <w:tcPr>
            <w:tcW w:w="0" w:type="auto"/>
            <w:vMerge/>
            <w:hideMark/>
          </w:tcPr>
          <w:p w14:paraId="16B51AD5" w14:textId="77777777" w:rsidR="00A71942" w:rsidRPr="00C75626" w:rsidRDefault="00A71942" w:rsidP="00E276C8">
            <w:pPr>
              <w:spacing w:after="120"/>
              <w:rPr>
                <w:noProof/>
                <w:color w:val="242828" w:themeColor="text1"/>
                <w:sz w:val="22"/>
                <w:szCs w:val="22"/>
              </w:rPr>
            </w:pPr>
          </w:p>
        </w:tc>
        <w:tc>
          <w:tcPr>
            <w:tcW w:w="0" w:type="auto"/>
            <w:hideMark/>
          </w:tcPr>
          <w:p w14:paraId="3CD32204"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ROW</w:t>
            </w:r>
            <w:r w:rsidRPr="1FC5E705">
              <w:rPr>
                <w:noProof/>
                <w:color w:val="242828" w:themeColor="text1"/>
                <w:sz w:val="22"/>
                <w:szCs w:val="22"/>
              </w:rPr>
              <w:t> </w:t>
            </w:r>
          </w:p>
        </w:tc>
        <w:tc>
          <w:tcPr>
            <w:tcW w:w="0" w:type="auto"/>
            <w:hideMark/>
          </w:tcPr>
          <w:p w14:paraId="0ACCB59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Rest of the World </w:t>
            </w:r>
          </w:p>
        </w:tc>
      </w:tr>
      <w:tr w:rsidR="00A71942" w:rsidRPr="00C75626" w14:paraId="1EF9D3C4" w14:textId="77777777" w:rsidTr="00F514AE">
        <w:trPr>
          <w:gridAfter w:val="1"/>
          <w:trHeight w:val="144"/>
          <w:jc w:val="center"/>
        </w:trPr>
        <w:tc>
          <w:tcPr>
            <w:tcW w:w="0" w:type="auto"/>
            <w:hideMark/>
          </w:tcPr>
          <w:p w14:paraId="073C6651"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MLT</w:t>
            </w:r>
            <w:r w:rsidRPr="1FC5E705">
              <w:rPr>
                <w:noProof/>
                <w:color w:val="242828" w:themeColor="text1"/>
                <w:sz w:val="22"/>
                <w:szCs w:val="22"/>
              </w:rPr>
              <w:t> </w:t>
            </w:r>
          </w:p>
        </w:tc>
        <w:tc>
          <w:tcPr>
            <w:tcW w:w="0" w:type="auto"/>
            <w:hideMark/>
          </w:tcPr>
          <w:p w14:paraId="332DD5F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Malta </w:t>
            </w:r>
          </w:p>
        </w:tc>
        <w:tc>
          <w:tcPr>
            <w:tcW w:w="0" w:type="auto"/>
            <w:vMerge/>
            <w:hideMark/>
          </w:tcPr>
          <w:p w14:paraId="00773D54" w14:textId="77777777" w:rsidR="00A71942" w:rsidRPr="00C75626" w:rsidRDefault="00A71942" w:rsidP="00E276C8">
            <w:pPr>
              <w:spacing w:after="120"/>
              <w:rPr>
                <w:noProof/>
                <w:color w:val="242828" w:themeColor="text1"/>
                <w:sz w:val="22"/>
                <w:szCs w:val="22"/>
              </w:rPr>
            </w:pPr>
          </w:p>
        </w:tc>
        <w:tc>
          <w:tcPr>
            <w:tcW w:w="0" w:type="auto"/>
            <w:vMerge w:val="restart"/>
            <w:hideMark/>
          </w:tcPr>
          <w:p w14:paraId="79788100" w14:textId="77777777" w:rsidR="00A71942" w:rsidRPr="00C75626" w:rsidRDefault="00A71942" w:rsidP="00E276C8">
            <w:pPr>
              <w:spacing w:after="120"/>
              <w:rPr>
                <w:noProof/>
                <w:color w:val="242828" w:themeColor="text1"/>
                <w:sz w:val="22"/>
                <w:szCs w:val="22"/>
              </w:rPr>
            </w:pPr>
          </w:p>
        </w:tc>
      </w:tr>
      <w:tr w:rsidR="00A71942" w:rsidRPr="00C75626" w14:paraId="541239E9" w14:textId="77777777" w:rsidTr="00F514AE">
        <w:trPr>
          <w:gridAfter w:val="1"/>
          <w:trHeight w:val="144"/>
          <w:jc w:val="center"/>
        </w:trPr>
        <w:tc>
          <w:tcPr>
            <w:tcW w:w="0" w:type="auto"/>
            <w:hideMark/>
          </w:tcPr>
          <w:p w14:paraId="713DC178"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NLD</w:t>
            </w:r>
            <w:r w:rsidRPr="1FC5E705">
              <w:rPr>
                <w:noProof/>
                <w:color w:val="242828" w:themeColor="text1"/>
                <w:sz w:val="22"/>
                <w:szCs w:val="22"/>
              </w:rPr>
              <w:t> </w:t>
            </w:r>
          </w:p>
        </w:tc>
        <w:tc>
          <w:tcPr>
            <w:tcW w:w="0" w:type="auto"/>
            <w:hideMark/>
          </w:tcPr>
          <w:p w14:paraId="69340C6E"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Netherlands </w:t>
            </w:r>
          </w:p>
        </w:tc>
        <w:tc>
          <w:tcPr>
            <w:tcW w:w="0" w:type="auto"/>
            <w:vMerge/>
            <w:hideMark/>
          </w:tcPr>
          <w:p w14:paraId="0CCDD146" w14:textId="77777777" w:rsidR="00A71942" w:rsidRPr="00C75626" w:rsidRDefault="00A71942" w:rsidP="00E276C8">
            <w:pPr>
              <w:spacing w:after="120"/>
              <w:rPr>
                <w:noProof/>
                <w:color w:val="242828" w:themeColor="text1"/>
                <w:sz w:val="22"/>
                <w:szCs w:val="22"/>
              </w:rPr>
            </w:pPr>
          </w:p>
        </w:tc>
        <w:tc>
          <w:tcPr>
            <w:tcW w:w="0" w:type="auto"/>
            <w:vMerge/>
            <w:hideMark/>
          </w:tcPr>
          <w:p w14:paraId="4EE220D4" w14:textId="77777777" w:rsidR="00A71942" w:rsidRPr="00C75626" w:rsidRDefault="00A71942" w:rsidP="00E276C8">
            <w:pPr>
              <w:spacing w:after="120"/>
              <w:rPr>
                <w:noProof/>
                <w:color w:val="242828" w:themeColor="text1"/>
                <w:sz w:val="22"/>
                <w:szCs w:val="22"/>
              </w:rPr>
            </w:pPr>
          </w:p>
        </w:tc>
      </w:tr>
      <w:tr w:rsidR="00A71942" w:rsidRPr="00C75626" w14:paraId="41E5BA00" w14:textId="77777777" w:rsidTr="00F514AE">
        <w:trPr>
          <w:gridAfter w:val="1"/>
          <w:trHeight w:val="144"/>
          <w:jc w:val="center"/>
        </w:trPr>
        <w:tc>
          <w:tcPr>
            <w:tcW w:w="0" w:type="auto"/>
            <w:hideMark/>
          </w:tcPr>
          <w:p w14:paraId="5A4471C4"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POL</w:t>
            </w:r>
            <w:r w:rsidRPr="1FC5E705">
              <w:rPr>
                <w:noProof/>
                <w:color w:val="242828" w:themeColor="text1"/>
                <w:sz w:val="22"/>
                <w:szCs w:val="22"/>
              </w:rPr>
              <w:t> </w:t>
            </w:r>
          </w:p>
        </w:tc>
        <w:tc>
          <w:tcPr>
            <w:tcW w:w="0" w:type="auto"/>
            <w:hideMark/>
          </w:tcPr>
          <w:p w14:paraId="0ECD490B"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Poland </w:t>
            </w:r>
          </w:p>
        </w:tc>
        <w:tc>
          <w:tcPr>
            <w:tcW w:w="0" w:type="auto"/>
            <w:vMerge/>
            <w:hideMark/>
          </w:tcPr>
          <w:p w14:paraId="7477E07E" w14:textId="77777777" w:rsidR="00A71942" w:rsidRPr="00C75626" w:rsidRDefault="00A71942" w:rsidP="00E276C8">
            <w:pPr>
              <w:spacing w:after="120"/>
              <w:rPr>
                <w:noProof/>
                <w:color w:val="242828" w:themeColor="text1"/>
                <w:sz w:val="22"/>
                <w:szCs w:val="22"/>
              </w:rPr>
            </w:pPr>
          </w:p>
        </w:tc>
        <w:tc>
          <w:tcPr>
            <w:tcW w:w="0" w:type="auto"/>
            <w:vMerge/>
            <w:hideMark/>
          </w:tcPr>
          <w:p w14:paraId="35EC3623" w14:textId="77777777" w:rsidR="00A71942" w:rsidRPr="00C75626" w:rsidRDefault="00A71942" w:rsidP="00E276C8">
            <w:pPr>
              <w:spacing w:after="120"/>
              <w:rPr>
                <w:noProof/>
                <w:color w:val="242828" w:themeColor="text1"/>
                <w:sz w:val="22"/>
                <w:szCs w:val="22"/>
              </w:rPr>
            </w:pPr>
          </w:p>
        </w:tc>
      </w:tr>
      <w:tr w:rsidR="00A71942" w:rsidRPr="00C75626" w14:paraId="360003E7" w14:textId="77777777" w:rsidTr="00F514AE">
        <w:trPr>
          <w:gridAfter w:val="1"/>
          <w:trHeight w:val="144"/>
          <w:jc w:val="center"/>
        </w:trPr>
        <w:tc>
          <w:tcPr>
            <w:tcW w:w="0" w:type="auto"/>
            <w:hideMark/>
          </w:tcPr>
          <w:p w14:paraId="251D7150"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PRT</w:t>
            </w:r>
            <w:r w:rsidRPr="1FC5E705">
              <w:rPr>
                <w:noProof/>
                <w:color w:val="242828" w:themeColor="text1"/>
                <w:sz w:val="22"/>
                <w:szCs w:val="22"/>
              </w:rPr>
              <w:t> </w:t>
            </w:r>
          </w:p>
        </w:tc>
        <w:tc>
          <w:tcPr>
            <w:tcW w:w="0" w:type="auto"/>
            <w:hideMark/>
          </w:tcPr>
          <w:p w14:paraId="7590BF55"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Portugal </w:t>
            </w:r>
          </w:p>
        </w:tc>
        <w:tc>
          <w:tcPr>
            <w:tcW w:w="0" w:type="auto"/>
            <w:vMerge/>
            <w:hideMark/>
          </w:tcPr>
          <w:p w14:paraId="4D0925B3" w14:textId="77777777" w:rsidR="00A71942" w:rsidRPr="00C75626" w:rsidRDefault="00A71942" w:rsidP="00E276C8">
            <w:pPr>
              <w:spacing w:after="120"/>
              <w:rPr>
                <w:noProof/>
                <w:color w:val="242828" w:themeColor="text1"/>
                <w:sz w:val="22"/>
                <w:szCs w:val="22"/>
              </w:rPr>
            </w:pPr>
          </w:p>
        </w:tc>
        <w:tc>
          <w:tcPr>
            <w:tcW w:w="0" w:type="auto"/>
            <w:vMerge/>
            <w:hideMark/>
          </w:tcPr>
          <w:p w14:paraId="72F82DC0" w14:textId="77777777" w:rsidR="00A71942" w:rsidRPr="00C75626" w:rsidRDefault="00A71942" w:rsidP="00E276C8">
            <w:pPr>
              <w:spacing w:after="120"/>
              <w:rPr>
                <w:noProof/>
                <w:color w:val="242828" w:themeColor="text1"/>
                <w:sz w:val="22"/>
                <w:szCs w:val="22"/>
              </w:rPr>
            </w:pPr>
          </w:p>
        </w:tc>
      </w:tr>
      <w:tr w:rsidR="00A71942" w:rsidRPr="00C75626" w14:paraId="65192268" w14:textId="77777777" w:rsidTr="00F514AE">
        <w:trPr>
          <w:gridAfter w:val="1"/>
          <w:trHeight w:val="144"/>
          <w:jc w:val="center"/>
        </w:trPr>
        <w:tc>
          <w:tcPr>
            <w:tcW w:w="0" w:type="auto"/>
            <w:hideMark/>
          </w:tcPr>
          <w:p w14:paraId="39A29726"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SVK</w:t>
            </w:r>
            <w:r w:rsidRPr="1FC5E705">
              <w:rPr>
                <w:noProof/>
                <w:color w:val="242828" w:themeColor="text1"/>
                <w:sz w:val="22"/>
                <w:szCs w:val="22"/>
              </w:rPr>
              <w:t> </w:t>
            </w:r>
          </w:p>
        </w:tc>
        <w:tc>
          <w:tcPr>
            <w:tcW w:w="0" w:type="auto"/>
            <w:hideMark/>
          </w:tcPr>
          <w:p w14:paraId="2D8D6BAA"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Slovakia </w:t>
            </w:r>
          </w:p>
        </w:tc>
        <w:tc>
          <w:tcPr>
            <w:tcW w:w="0" w:type="auto"/>
            <w:vMerge/>
            <w:hideMark/>
          </w:tcPr>
          <w:p w14:paraId="256830F3" w14:textId="77777777" w:rsidR="00A71942" w:rsidRPr="00C75626" w:rsidRDefault="00A71942" w:rsidP="00E276C8">
            <w:pPr>
              <w:spacing w:after="120"/>
              <w:rPr>
                <w:noProof/>
                <w:color w:val="242828" w:themeColor="text1"/>
                <w:sz w:val="22"/>
                <w:szCs w:val="22"/>
              </w:rPr>
            </w:pPr>
          </w:p>
        </w:tc>
        <w:tc>
          <w:tcPr>
            <w:tcW w:w="0" w:type="auto"/>
            <w:vMerge/>
            <w:hideMark/>
          </w:tcPr>
          <w:p w14:paraId="292AAC1A" w14:textId="77777777" w:rsidR="00A71942" w:rsidRPr="00C75626" w:rsidRDefault="00A71942" w:rsidP="00E276C8">
            <w:pPr>
              <w:spacing w:after="120"/>
              <w:rPr>
                <w:noProof/>
                <w:color w:val="242828" w:themeColor="text1"/>
                <w:sz w:val="22"/>
                <w:szCs w:val="22"/>
              </w:rPr>
            </w:pPr>
          </w:p>
        </w:tc>
      </w:tr>
      <w:tr w:rsidR="00A71942" w:rsidRPr="00C75626" w14:paraId="6D40AEA5" w14:textId="77777777" w:rsidTr="00F514AE">
        <w:trPr>
          <w:gridAfter w:val="1"/>
          <w:trHeight w:val="144"/>
          <w:jc w:val="center"/>
        </w:trPr>
        <w:tc>
          <w:tcPr>
            <w:tcW w:w="0" w:type="auto"/>
            <w:hideMark/>
          </w:tcPr>
          <w:p w14:paraId="1049DC21"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SVN</w:t>
            </w:r>
            <w:r w:rsidRPr="1FC5E705">
              <w:rPr>
                <w:noProof/>
                <w:color w:val="242828" w:themeColor="text1"/>
                <w:sz w:val="22"/>
                <w:szCs w:val="22"/>
              </w:rPr>
              <w:t> </w:t>
            </w:r>
          </w:p>
        </w:tc>
        <w:tc>
          <w:tcPr>
            <w:tcW w:w="0" w:type="auto"/>
            <w:hideMark/>
          </w:tcPr>
          <w:p w14:paraId="7C8EAA7D"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Slovenia </w:t>
            </w:r>
          </w:p>
        </w:tc>
        <w:tc>
          <w:tcPr>
            <w:tcW w:w="0" w:type="auto"/>
            <w:vMerge/>
            <w:hideMark/>
          </w:tcPr>
          <w:p w14:paraId="082F68B6" w14:textId="77777777" w:rsidR="00A71942" w:rsidRPr="00C75626" w:rsidRDefault="00A71942" w:rsidP="00E276C8">
            <w:pPr>
              <w:spacing w:after="120"/>
              <w:rPr>
                <w:noProof/>
                <w:color w:val="242828" w:themeColor="text1"/>
                <w:sz w:val="22"/>
                <w:szCs w:val="22"/>
              </w:rPr>
            </w:pPr>
          </w:p>
        </w:tc>
        <w:tc>
          <w:tcPr>
            <w:tcW w:w="0" w:type="auto"/>
            <w:vMerge/>
            <w:hideMark/>
          </w:tcPr>
          <w:p w14:paraId="1DD0C5CB" w14:textId="77777777" w:rsidR="00A71942" w:rsidRPr="00C75626" w:rsidRDefault="00A71942" w:rsidP="00E276C8">
            <w:pPr>
              <w:spacing w:after="120"/>
              <w:rPr>
                <w:noProof/>
                <w:color w:val="242828" w:themeColor="text1"/>
                <w:sz w:val="22"/>
                <w:szCs w:val="22"/>
              </w:rPr>
            </w:pPr>
          </w:p>
        </w:tc>
      </w:tr>
      <w:tr w:rsidR="00A71942" w:rsidRPr="00C75626" w14:paraId="564FC8F1" w14:textId="77777777" w:rsidTr="00F514AE">
        <w:trPr>
          <w:gridAfter w:val="1"/>
          <w:trHeight w:val="144"/>
          <w:jc w:val="center"/>
        </w:trPr>
        <w:tc>
          <w:tcPr>
            <w:tcW w:w="0" w:type="auto"/>
            <w:hideMark/>
          </w:tcPr>
          <w:p w14:paraId="6578EF18"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SWE</w:t>
            </w:r>
            <w:r w:rsidRPr="1FC5E705">
              <w:rPr>
                <w:noProof/>
                <w:color w:val="242828" w:themeColor="text1"/>
                <w:sz w:val="22"/>
                <w:szCs w:val="22"/>
              </w:rPr>
              <w:t> </w:t>
            </w:r>
          </w:p>
        </w:tc>
        <w:tc>
          <w:tcPr>
            <w:tcW w:w="0" w:type="auto"/>
            <w:hideMark/>
          </w:tcPr>
          <w:p w14:paraId="6B794EFF"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Sweden </w:t>
            </w:r>
          </w:p>
        </w:tc>
        <w:tc>
          <w:tcPr>
            <w:tcW w:w="0" w:type="auto"/>
            <w:vMerge/>
            <w:hideMark/>
          </w:tcPr>
          <w:p w14:paraId="27D88054" w14:textId="77777777" w:rsidR="00A71942" w:rsidRPr="00C75626" w:rsidRDefault="00A71942" w:rsidP="00E276C8">
            <w:pPr>
              <w:spacing w:after="120"/>
              <w:rPr>
                <w:noProof/>
                <w:color w:val="242828" w:themeColor="text1"/>
                <w:sz w:val="22"/>
                <w:szCs w:val="22"/>
              </w:rPr>
            </w:pPr>
          </w:p>
        </w:tc>
        <w:tc>
          <w:tcPr>
            <w:tcW w:w="0" w:type="auto"/>
            <w:vMerge/>
            <w:hideMark/>
          </w:tcPr>
          <w:p w14:paraId="37BFDB60" w14:textId="77777777" w:rsidR="00A71942" w:rsidRPr="00C75626" w:rsidRDefault="00A71942" w:rsidP="00E276C8">
            <w:pPr>
              <w:spacing w:after="120"/>
              <w:rPr>
                <w:noProof/>
                <w:color w:val="242828" w:themeColor="text1"/>
                <w:sz w:val="22"/>
                <w:szCs w:val="22"/>
              </w:rPr>
            </w:pPr>
          </w:p>
        </w:tc>
      </w:tr>
      <w:tr w:rsidR="00A71942" w:rsidRPr="00C75626" w14:paraId="557045E2" w14:textId="77777777" w:rsidTr="00F514AE">
        <w:trPr>
          <w:gridAfter w:val="1"/>
          <w:trHeight w:val="144"/>
          <w:jc w:val="center"/>
        </w:trPr>
        <w:tc>
          <w:tcPr>
            <w:tcW w:w="0" w:type="auto"/>
            <w:hideMark/>
          </w:tcPr>
          <w:p w14:paraId="4DDCA1F0" w14:textId="77777777" w:rsidR="00A71942" w:rsidRPr="00C75626" w:rsidRDefault="00A71942" w:rsidP="00E276C8">
            <w:pPr>
              <w:spacing w:after="120"/>
              <w:rPr>
                <w:noProof/>
                <w:color w:val="242828" w:themeColor="text1"/>
                <w:sz w:val="22"/>
                <w:szCs w:val="22"/>
              </w:rPr>
            </w:pPr>
            <w:r w:rsidRPr="1FC5E705">
              <w:rPr>
                <w:b/>
                <w:bCs/>
                <w:noProof/>
                <w:color w:val="242828" w:themeColor="text1"/>
                <w:sz w:val="22"/>
                <w:szCs w:val="22"/>
              </w:rPr>
              <w:t>ROU</w:t>
            </w:r>
            <w:r w:rsidRPr="1FC5E705">
              <w:rPr>
                <w:noProof/>
                <w:color w:val="242828" w:themeColor="text1"/>
                <w:sz w:val="22"/>
                <w:szCs w:val="22"/>
              </w:rPr>
              <w:t> </w:t>
            </w:r>
          </w:p>
        </w:tc>
        <w:tc>
          <w:tcPr>
            <w:tcW w:w="0" w:type="auto"/>
            <w:hideMark/>
          </w:tcPr>
          <w:p w14:paraId="243D4C9B" w14:textId="77777777" w:rsidR="00A71942" w:rsidRPr="00C75626" w:rsidRDefault="00A71942" w:rsidP="00E276C8">
            <w:pPr>
              <w:spacing w:after="120"/>
              <w:rPr>
                <w:noProof/>
                <w:color w:val="242828" w:themeColor="text1"/>
                <w:sz w:val="22"/>
                <w:szCs w:val="22"/>
              </w:rPr>
            </w:pPr>
            <w:r w:rsidRPr="1FC5E705">
              <w:rPr>
                <w:noProof/>
                <w:color w:val="242828" w:themeColor="text1"/>
                <w:sz w:val="22"/>
                <w:szCs w:val="22"/>
              </w:rPr>
              <w:t>Romania </w:t>
            </w:r>
          </w:p>
        </w:tc>
        <w:tc>
          <w:tcPr>
            <w:tcW w:w="0" w:type="auto"/>
            <w:vMerge/>
            <w:hideMark/>
          </w:tcPr>
          <w:p w14:paraId="5EB096AC" w14:textId="77777777" w:rsidR="00A71942" w:rsidRPr="00C75626" w:rsidRDefault="00A71942" w:rsidP="00E276C8">
            <w:pPr>
              <w:spacing w:after="120"/>
              <w:rPr>
                <w:noProof/>
                <w:color w:val="242828" w:themeColor="text1"/>
                <w:sz w:val="22"/>
                <w:szCs w:val="22"/>
              </w:rPr>
            </w:pPr>
          </w:p>
        </w:tc>
        <w:tc>
          <w:tcPr>
            <w:tcW w:w="0" w:type="auto"/>
            <w:vMerge/>
            <w:hideMark/>
          </w:tcPr>
          <w:p w14:paraId="37911F73" w14:textId="77777777" w:rsidR="00A71942" w:rsidRPr="00C75626" w:rsidRDefault="00A71942" w:rsidP="00E276C8">
            <w:pPr>
              <w:spacing w:after="120"/>
              <w:rPr>
                <w:noProof/>
                <w:color w:val="242828" w:themeColor="text1"/>
                <w:sz w:val="22"/>
                <w:szCs w:val="22"/>
              </w:rPr>
            </w:pPr>
          </w:p>
        </w:tc>
      </w:tr>
    </w:tbl>
    <w:p w14:paraId="77F86A02" w14:textId="77777777" w:rsidR="00F514AE" w:rsidRDefault="00F514AE" w:rsidP="00F514AE">
      <w:pPr>
        <w:pStyle w:val="Tabletitle"/>
        <w:keepNext/>
        <w:numPr>
          <w:ilvl w:val="0"/>
          <w:numId w:val="0"/>
        </w:numPr>
        <w:spacing w:after="120" w:line="240" w:lineRule="auto"/>
        <w:rPr>
          <w:noProof/>
        </w:rPr>
      </w:pPr>
      <w:bookmarkStart w:id="286" w:name="_Toc222405588"/>
      <w:bookmarkStart w:id="287" w:name="_Toc232608934"/>
      <w:bookmarkStart w:id="288" w:name="_Toc232611544"/>
      <w:bookmarkStart w:id="289" w:name="_Toc232672604"/>
      <w:bookmarkStart w:id="290" w:name="_Toc232758456"/>
    </w:p>
    <w:p w14:paraId="13899597" w14:textId="77777777" w:rsidR="00F514AE" w:rsidRDefault="00F514AE">
      <w:pPr>
        <w:spacing w:before="0"/>
        <w:rPr>
          <w:rFonts w:eastAsia="Calibri"/>
          <w:i/>
          <w:iCs/>
          <w:noProof/>
          <w:color w:val="auto"/>
          <w:sz w:val="22"/>
          <w:szCs w:val="22"/>
        </w:rPr>
      </w:pPr>
      <w:r>
        <w:rPr>
          <w:noProof/>
        </w:rPr>
        <w:br w:type="page"/>
      </w:r>
    </w:p>
    <w:p w14:paraId="4F35D767" w14:textId="1007BA7A" w:rsidR="00A71942" w:rsidRPr="00A7553F" w:rsidRDefault="00A71942" w:rsidP="00E276C8">
      <w:pPr>
        <w:pStyle w:val="Tabletitle"/>
        <w:keepNext/>
        <w:spacing w:after="120" w:line="240" w:lineRule="auto"/>
        <w:ind w:left="720"/>
        <w:rPr>
          <w:noProof/>
        </w:rPr>
      </w:pPr>
      <w:r>
        <w:rPr>
          <w:noProof/>
        </w:rPr>
        <w:t>Sectoral resolution of the GEM-E3 model</w:t>
      </w:r>
      <w:bookmarkEnd w:id="286"/>
      <w:bookmarkEnd w:id="287"/>
      <w:bookmarkEnd w:id="288"/>
      <w:bookmarkEnd w:id="289"/>
      <w:bookmarkEnd w:id="290"/>
    </w:p>
    <w:tbl>
      <w:tblPr>
        <w:tblStyle w:val="CV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743"/>
        <w:gridCol w:w="956"/>
        <w:gridCol w:w="2132"/>
        <w:gridCol w:w="980"/>
        <w:gridCol w:w="1310"/>
      </w:tblGrid>
      <w:tr w:rsidR="00A71942" w:rsidRPr="00F514AE" w14:paraId="4F7CD157" w14:textId="77777777" w:rsidTr="00E276C8">
        <w:trPr>
          <w:trHeight w:val="300"/>
          <w:jc w:val="center"/>
        </w:trPr>
        <w:tc>
          <w:tcPr>
            <w:tcW w:w="0" w:type="auto"/>
            <w:hideMark/>
          </w:tcPr>
          <w:p w14:paraId="5F955E43"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Code</w:t>
            </w:r>
          </w:p>
        </w:tc>
        <w:tc>
          <w:tcPr>
            <w:tcW w:w="3069" w:type="dxa"/>
            <w:hideMark/>
          </w:tcPr>
          <w:p w14:paraId="004E1400"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Description</w:t>
            </w:r>
          </w:p>
        </w:tc>
        <w:tc>
          <w:tcPr>
            <w:tcW w:w="426" w:type="dxa"/>
            <w:hideMark/>
          </w:tcPr>
          <w:p w14:paraId="4E61E771"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Code</w:t>
            </w:r>
          </w:p>
        </w:tc>
        <w:tc>
          <w:tcPr>
            <w:tcW w:w="2336" w:type="dxa"/>
            <w:hideMark/>
          </w:tcPr>
          <w:p w14:paraId="1CF8B0AC"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Description</w:t>
            </w:r>
          </w:p>
        </w:tc>
        <w:tc>
          <w:tcPr>
            <w:tcW w:w="0" w:type="auto"/>
            <w:hideMark/>
          </w:tcPr>
          <w:p w14:paraId="0B9E7773"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Code</w:t>
            </w:r>
          </w:p>
        </w:tc>
        <w:tc>
          <w:tcPr>
            <w:tcW w:w="0" w:type="auto"/>
            <w:hideMark/>
          </w:tcPr>
          <w:p w14:paraId="59593CC2" w14:textId="77777777" w:rsidR="00A71942" w:rsidRPr="00F514AE" w:rsidRDefault="00A71942" w:rsidP="00E276C8">
            <w:pPr>
              <w:spacing w:after="120"/>
              <w:jc w:val="center"/>
              <w:rPr>
                <w:b/>
                <w:bCs/>
                <w:noProof/>
                <w:color w:val="242828" w:themeColor="text1"/>
                <w:sz w:val="22"/>
                <w:szCs w:val="22"/>
              </w:rPr>
            </w:pPr>
            <w:r w:rsidRPr="00F514AE">
              <w:rPr>
                <w:b/>
                <w:bCs/>
                <w:noProof/>
                <w:color w:val="242828" w:themeColor="text1"/>
                <w:sz w:val="22"/>
                <w:szCs w:val="22"/>
              </w:rPr>
              <w:t>Description</w:t>
            </w:r>
          </w:p>
        </w:tc>
      </w:tr>
      <w:tr w:rsidR="00A71942" w:rsidRPr="00F514AE" w14:paraId="23C87414" w14:textId="77777777" w:rsidTr="00E276C8">
        <w:trPr>
          <w:trHeight w:val="300"/>
          <w:jc w:val="center"/>
        </w:trPr>
        <w:tc>
          <w:tcPr>
            <w:tcW w:w="3964" w:type="dxa"/>
            <w:gridSpan w:val="2"/>
            <w:hideMark/>
          </w:tcPr>
          <w:p w14:paraId="0277E1E8"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Industry</w:t>
            </w:r>
          </w:p>
        </w:tc>
        <w:tc>
          <w:tcPr>
            <w:tcW w:w="2762" w:type="dxa"/>
            <w:gridSpan w:val="2"/>
            <w:hideMark/>
          </w:tcPr>
          <w:p w14:paraId="4C2238F4"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Industry (continued)</w:t>
            </w:r>
          </w:p>
        </w:tc>
        <w:tc>
          <w:tcPr>
            <w:tcW w:w="0" w:type="auto"/>
            <w:gridSpan w:val="2"/>
            <w:hideMark/>
          </w:tcPr>
          <w:p w14:paraId="57EFC0E8"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Agriculture</w:t>
            </w:r>
          </w:p>
        </w:tc>
      </w:tr>
      <w:tr w:rsidR="00A71942" w:rsidRPr="00F514AE" w14:paraId="0DDC616C" w14:textId="77777777" w:rsidTr="00E276C8">
        <w:trPr>
          <w:trHeight w:val="300"/>
          <w:jc w:val="center"/>
        </w:trPr>
        <w:tc>
          <w:tcPr>
            <w:tcW w:w="0" w:type="auto"/>
            <w:hideMark/>
          </w:tcPr>
          <w:p w14:paraId="5C19D70A"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IND01</w:t>
            </w:r>
            <w:r w:rsidRPr="00F514AE">
              <w:rPr>
                <w:noProof/>
                <w:color w:val="242828" w:themeColor="text1"/>
                <w:sz w:val="22"/>
                <w:szCs w:val="22"/>
              </w:rPr>
              <w:t> </w:t>
            </w:r>
          </w:p>
        </w:tc>
        <w:tc>
          <w:tcPr>
            <w:tcW w:w="3069" w:type="dxa"/>
            <w:hideMark/>
          </w:tcPr>
          <w:p w14:paraId="665B882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Ferrous metals </w:t>
            </w:r>
          </w:p>
        </w:tc>
        <w:tc>
          <w:tcPr>
            <w:tcW w:w="426" w:type="dxa"/>
            <w:hideMark/>
          </w:tcPr>
          <w:p w14:paraId="6084159D"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IND19</w:t>
            </w:r>
            <w:r w:rsidRPr="00F514AE">
              <w:rPr>
                <w:noProof/>
                <w:color w:val="242828" w:themeColor="text1"/>
                <w:sz w:val="22"/>
                <w:szCs w:val="22"/>
              </w:rPr>
              <w:t> </w:t>
            </w:r>
          </w:p>
        </w:tc>
        <w:tc>
          <w:tcPr>
            <w:tcW w:w="2336" w:type="dxa"/>
            <w:hideMark/>
          </w:tcPr>
          <w:p w14:paraId="463E1E1F"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Equipment for PV panels </w:t>
            </w:r>
          </w:p>
        </w:tc>
        <w:tc>
          <w:tcPr>
            <w:tcW w:w="0" w:type="auto"/>
            <w:hideMark/>
          </w:tcPr>
          <w:p w14:paraId="58166F4A"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AGR01</w:t>
            </w:r>
            <w:r w:rsidRPr="00F514AE">
              <w:rPr>
                <w:noProof/>
                <w:color w:val="242828" w:themeColor="text1"/>
                <w:sz w:val="22"/>
                <w:szCs w:val="22"/>
              </w:rPr>
              <w:t> </w:t>
            </w:r>
          </w:p>
        </w:tc>
        <w:tc>
          <w:tcPr>
            <w:tcW w:w="0" w:type="auto"/>
            <w:hideMark/>
          </w:tcPr>
          <w:p w14:paraId="6FB85687"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Agriculture </w:t>
            </w:r>
          </w:p>
        </w:tc>
      </w:tr>
      <w:tr w:rsidR="00A71942" w:rsidRPr="00F514AE" w14:paraId="3F38A130" w14:textId="77777777" w:rsidTr="00E276C8">
        <w:trPr>
          <w:trHeight w:val="300"/>
          <w:jc w:val="center"/>
        </w:trPr>
        <w:tc>
          <w:tcPr>
            <w:tcW w:w="0" w:type="auto"/>
            <w:hideMark/>
          </w:tcPr>
          <w:p w14:paraId="5A9220C2"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IND02</w:t>
            </w:r>
            <w:r w:rsidRPr="00F514AE">
              <w:rPr>
                <w:noProof/>
                <w:color w:val="242828" w:themeColor="text1"/>
                <w:sz w:val="22"/>
                <w:szCs w:val="22"/>
              </w:rPr>
              <w:t> </w:t>
            </w:r>
          </w:p>
        </w:tc>
        <w:tc>
          <w:tcPr>
            <w:tcW w:w="3069" w:type="dxa"/>
            <w:hideMark/>
          </w:tcPr>
          <w:p w14:paraId="32FF98FB"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Non-ferrous metals </w:t>
            </w:r>
          </w:p>
        </w:tc>
        <w:tc>
          <w:tcPr>
            <w:tcW w:w="426" w:type="dxa"/>
            <w:hideMark/>
          </w:tcPr>
          <w:p w14:paraId="129C9B3F"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IND20</w:t>
            </w:r>
            <w:r w:rsidRPr="00F514AE">
              <w:rPr>
                <w:noProof/>
                <w:color w:val="242828" w:themeColor="text1"/>
                <w:sz w:val="22"/>
                <w:szCs w:val="22"/>
              </w:rPr>
              <w:t> </w:t>
            </w:r>
          </w:p>
        </w:tc>
        <w:tc>
          <w:tcPr>
            <w:tcW w:w="2336" w:type="dxa"/>
            <w:hideMark/>
          </w:tcPr>
          <w:p w14:paraId="1CFC6CFF"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Equipment for CCS power technology </w:t>
            </w:r>
          </w:p>
        </w:tc>
        <w:tc>
          <w:tcPr>
            <w:tcW w:w="0" w:type="auto"/>
            <w:gridSpan w:val="2"/>
            <w:hideMark/>
          </w:tcPr>
          <w:p w14:paraId="1AEE3374"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Services</w:t>
            </w:r>
          </w:p>
        </w:tc>
      </w:tr>
      <w:tr w:rsidR="00A71942" w:rsidRPr="00F514AE" w14:paraId="1233FB9F" w14:textId="77777777" w:rsidTr="00E276C8">
        <w:trPr>
          <w:trHeight w:val="300"/>
          <w:jc w:val="center"/>
        </w:trPr>
        <w:tc>
          <w:tcPr>
            <w:tcW w:w="0" w:type="auto"/>
            <w:hideMark/>
          </w:tcPr>
          <w:p w14:paraId="7A8C832E"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IND03</w:t>
            </w:r>
            <w:r w:rsidRPr="00F514AE">
              <w:rPr>
                <w:noProof/>
                <w:color w:val="242828" w:themeColor="text1"/>
                <w:sz w:val="22"/>
                <w:szCs w:val="22"/>
              </w:rPr>
              <w:t> </w:t>
            </w:r>
          </w:p>
        </w:tc>
        <w:tc>
          <w:tcPr>
            <w:tcW w:w="3069" w:type="dxa"/>
            <w:hideMark/>
          </w:tcPr>
          <w:p w14:paraId="7B916641"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Fabricated Metal products </w:t>
            </w:r>
          </w:p>
        </w:tc>
        <w:tc>
          <w:tcPr>
            <w:tcW w:w="426" w:type="dxa"/>
            <w:hideMark/>
          </w:tcPr>
          <w:p w14:paraId="140CD735"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IND21</w:t>
            </w:r>
            <w:r w:rsidRPr="00F514AE">
              <w:rPr>
                <w:noProof/>
                <w:color w:val="242828" w:themeColor="text1"/>
                <w:sz w:val="22"/>
                <w:szCs w:val="22"/>
              </w:rPr>
              <w:t> </w:t>
            </w:r>
          </w:p>
        </w:tc>
        <w:tc>
          <w:tcPr>
            <w:tcW w:w="2336" w:type="dxa"/>
            <w:hideMark/>
          </w:tcPr>
          <w:p w14:paraId="4BA8CF04"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CO2 Capture </w:t>
            </w:r>
          </w:p>
        </w:tc>
        <w:tc>
          <w:tcPr>
            <w:tcW w:w="0" w:type="auto"/>
            <w:hideMark/>
          </w:tcPr>
          <w:p w14:paraId="261AA03A"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SRV01</w:t>
            </w:r>
            <w:r w:rsidRPr="00F514AE">
              <w:rPr>
                <w:noProof/>
                <w:color w:val="242828" w:themeColor="text1"/>
                <w:sz w:val="22"/>
                <w:szCs w:val="22"/>
              </w:rPr>
              <w:t> </w:t>
            </w:r>
          </w:p>
        </w:tc>
        <w:tc>
          <w:tcPr>
            <w:tcW w:w="0" w:type="auto"/>
            <w:hideMark/>
          </w:tcPr>
          <w:p w14:paraId="66818764"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Market Services </w:t>
            </w:r>
          </w:p>
        </w:tc>
      </w:tr>
      <w:tr w:rsidR="00A71942" w:rsidRPr="00F514AE" w14:paraId="17638C60" w14:textId="77777777" w:rsidTr="00E276C8">
        <w:trPr>
          <w:trHeight w:val="300"/>
          <w:jc w:val="center"/>
        </w:trPr>
        <w:tc>
          <w:tcPr>
            <w:tcW w:w="0" w:type="auto"/>
            <w:hideMark/>
          </w:tcPr>
          <w:p w14:paraId="6F48B2A3"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IND04</w:t>
            </w:r>
            <w:r w:rsidRPr="00F514AE">
              <w:rPr>
                <w:noProof/>
                <w:color w:val="242828" w:themeColor="text1"/>
                <w:sz w:val="22"/>
                <w:szCs w:val="22"/>
              </w:rPr>
              <w:t> </w:t>
            </w:r>
          </w:p>
        </w:tc>
        <w:tc>
          <w:tcPr>
            <w:tcW w:w="3069" w:type="dxa"/>
            <w:hideMark/>
          </w:tcPr>
          <w:p w14:paraId="52FA1A0A"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Chemical Products </w:t>
            </w:r>
          </w:p>
        </w:tc>
        <w:tc>
          <w:tcPr>
            <w:tcW w:w="2762" w:type="dxa"/>
            <w:gridSpan w:val="2"/>
            <w:hideMark/>
          </w:tcPr>
          <w:p w14:paraId="5FC5D12A"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Energy</w:t>
            </w:r>
          </w:p>
        </w:tc>
        <w:tc>
          <w:tcPr>
            <w:tcW w:w="0" w:type="auto"/>
            <w:hideMark/>
          </w:tcPr>
          <w:p w14:paraId="42F628CD"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SRV02</w:t>
            </w:r>
            <w:r w:rsidRPr="00F514AE">
              <w:rPr>
                <w:noProof/>
                <w:color w:val="242828" w:themeColor="text1"/>
                <w:sz w:val="22"/>
                <w:szCs w:val="22"/>
              </w:rPr>
              <w:t> </w:t>
            </w:r>
          </w:p>
        </w:tc>
        <w:tc>
          <w:tcPr>
            <w:tcW w:w="0" w:type="auto"/>
            <w:hideMark/>
          </w:tcPr>
          <w:p w14:paraId="78881391"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Non-Market Services </w:t>
            </w:r>
          </w:p>
        </w:tc>
      </w:tr>
      <w:tr w:rsidR="00A71942" w:rsidRPr="00F514AE" w14:paraId="56FE06EE" w14:textId="77777777" w:rsidTr="00E276C8">
        <w:trPr>
          <w:trHeight w:val="300"/>
          <w:jc w:val="center"/>
        </w:trPr>
        <w:tc>
          <w:tcPr>
            <w:tcW w:w="0" w:type="auto"/>
            <w:hideMark/>
          </w:tcPr>
          <w:p w14:paraId="610D0B86"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IND05</w:t>
            </w:r>
            <w:r w:rsidRPr="00F514AE">
              <w:rPr>
                <w:noProof/>
                <w:color w:val="242828" w:themeColor="text1"/>
                <w:sz w:val="22"/>
                <w:szCs w:val="22"/>
              </w:rPr>
              <w:t> </w:t>
            </w:r>
          </w:p>
        </w:tc>
        <w:tc>
          <w:tcPr>
            <w:tcW w:w="3069" w:type="dxa"/>
            <w:hideMark/>
          </w:tcPr>
          <w:p w14:paraId="4C800CEA"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Basic pharmaceutical products </w:t>
            </w:r>
          </w:p>
        </w:tc>
        <w:tc>
          <w:tcPr>
            <w:tcW w:w="426" w:type="dxa"/>
            <w:hideMark/>
          </w:tcPr>
          <w:p w14:paraId="677C42CC"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ENE01</w:t>
            </w:r>
            <w:r w:rsidRPr="00F514AE">
              <w:rPr>
                <w:noProof/>
                <w:color w:val="242828" w:themeColor="text1"/>
                <w:sz w:val="22"/>
                <w:szCs w:val="22"/>
              </w:rPr>
              <w:t> </w:t>
            </w:r>
          </w:p>
        </w:tc>
        <w:tc>
          <w:tcPr>
            <w:tcW w:w="2336" w:type="dxa"/>
            <w:hideMark/>
          </w:tcPr>
          <w:p w14:paraId="251B8B7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Coal </w:t>
            </w:r>
          </w:p>
        </w:tc>
        <w:tc>
          <w:tcPr>
            <w:tcW w:w="0" w:type="auto"/>
            <w:hideMark/>
          </w:tcPr>
          <w:p w14:paraId="2CC30C29"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SRV03</w:t>
            </w:r>
            <w:r w:rsidRPr="00F514AE">
              <w:rPr>
                <w:noProof/>
                <w:color w:val="242828" w:themeColor="text1"/>
                <w:sz w:val="22"/>
                <w:szCs w:val="22"/>
              </w:rPr>
              <w:t> </w:t>
            </w:r>
          </w:p>
        </w:tc>
        <w:tc>
          <w:tcPr>
            <w:tcW w:w="0" w:type="auto"/>
            <w:hideMark/>
          </w:tcPr>
          <w:p w14:paraId="51B63AE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R&amp;D </w:t>
            </w:r>
          </w:p>
        </w:tc>
      </w:tr>
      <w:tr w:rsidR="00A71942" w:rsidRPr="00F514AE" w14:paraId="30DF8E83" w14:textId="77777777" w:rsidTr="00E276C8">
        <w:trPr>
          <w:trHeight w:val="300"/>
          <w:jc w:val="center"/>
        </w:trPr>
        <w:tc>
          <w:tcPr>
            <w:tcW w:w="0" w:type="auto"/>
            <w:hideMark/>
          </w:tcPr>
          <w:p w14:paraId="6A5CCAF3"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IND06</w:t>
            </w:r>
            <w:r w:rsidRPr="00F514AE">
              <w:rPr>
                <w:noProof/>
                <w:color w:val="242828" w:themeColor="text1"/>
                <w:sz w:val="22"/>
                <w:szCs w:val="22"/>
              </w:rPr>
              <w:t> </w:t>
            </w:r>
          </w:p>
        </w:tc>
        <w:tc>
          <w:tcPr>
            <w:tcW w:w="3069" w:type="dxa"/>
            <w:hideMark/>
          </w:tcPr>
          <w:p w14:paraId="04E2BB1A"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Rubber and plastic products </w:t>
            </w:r>
          </w:p>
        </w:tc>
        <w:tc>
          <w:tcPr>
            <w:tcW w:w="426" w:type="dxa"/>
            <w:hideMark/>
          </w:tcPr>
          <w:p w14:paraId="09307A5D"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ENE02</w:t>
            </w:r>
            <w:r w:rsidRPr="00F514AE">
              <w:rPr>
                <w:noProof/>
                <w:color w:val="242828" w:themeColor="text1"/>
                <w:sz w:val="22"/>
                <w:szCs w:val="22"/>
              </w:rPr>
              <w:t> </w:t>
            </w:r>
          </w:p>
        </w:tc>
        <w:tc>
          <w:tcPr>
            <w:tcW w:w="2336" w:type="dxa"/>
            <w:hideMark/>
          </w:tcPr>
          <w:p w14:paraId="23D2F1D1"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Crude Oil </w:t>
            </w:r>
          </w:p>
        </w:tc>
        <w:tc>
          <w:tcPr>
            <w:tcW w:w="0" w:type="auto"/>
            <w:gridSpan w:val="2"/>
            <w:hideMark/>
          </w:tcPr>
          <w:p w14:paraId="6E93A2F5"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Power Generation</w:t>
            </w:r>
          </w:p>
        </w:tc>
      </w:tr>
      <w:tr w:rsidR="00A71942" w:rsidRPr="00F514AE" w14:paraId="5E76E0AD" w14:textId="77777777" w:rsidTr="00E276C8">
        <w:trPr>
          <w:trHeight w:val="300"/>
          <w:jc w:val="center"/>
        </w:trPr>
        <w:tc>
          <w:tcPr>
            <w:tcW w:w="0" w:type="auto"/>
            <w:hideMark/>
          </w:tcPr>
          <w:p w14:paraId="0B6AF4A9"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IND07</w:t>
            </w:r>
            <w:r w:rsidRPr="00F514AE">
              <w:rPr>
                <w:noProof/>
                <w:color w:val="242828" w:themeColor="text1"/>
                <w:sz w:val="22"/>
                <w:szCs w:val="22"/>
              </w:rPr>
              <w:t> </w:t>
            </w:r>
          </w:p>
        </w:tc>
        <w:tc>
          <w:tcPr>
            <w:tcW w:w="3069" w:type="dxa"/>
            <w:hideMark/>
          </w:tcPr>
          <w:p w14:paraId="2138AC4C"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Paper products, publishing </w:t>
            </w:r>
          </w:p>
        </w:tc>
        <w:tc>
          <w:tcPr>
            <w:tcW w:w="426" w:type="dxa"/>
            <w:hideMark/>
          </w:tcPr>
          <w:p w14:paraId="16369C3B"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ENE03</w:t>
            </w:r>
            <w:r w:rsidRPr="00F514AE">
              <w:rPr>
                <w:noProof/>
                <w:color w:val="242828" w:themeColor="text1"/>
                <w:sz w:val="22"/>
                <w:szCs w:val="22"/>
              </w:rPr>
              <w:t> </w:t>
            </w:r>
          </w:p>
        </w:tc>
        <w:tc>
          <w:tcPr>
            <w:tcW w:w="2336" w:type="dxa"/>
            <w:hideMark/>
          </w:tcPr>
          <w:p w14:paraId="481434E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Oil </w:t>
            </w:r>
          </w:p>
        </w:tc>
        <w:tc>
          <w:tcPr>
            <w:tcW w:w="0" w:type="auto"/>
            <w:hideMark/>
          </w:tcPr>
          <w:p w14:paraId="4A3DBDCF"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PGT01</w:t>
            </w:r>
            <w:r w:rsidRPr="00F514AE">
              <w:rPr>
                <w:noProof/>
                <w:color w:val="242828" w:themeColor="text1"/>
                <w:sz w:val="22"/>
                <w:szCs w:val="22"/>
              </w:rPr>
              <w:t> </w:t>
            </w:r>
          </w:p>
        </w:tc>
        <w:tc>
          <w:tcPr>
            <w:tcW w:w="0" w:type="auto"/>
            <w:hideMark/>
          </w:tcPr>
          <w:p w14:paraId="3DA783C5"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Coal fired </w:t>
            </w:r>
          </w:p>
        </w:tc>
      </w:tr>
      <w:tr w:rsidR="00A71942" w:rsidRPr="00F514AE" w14:paraId="23FA983D" w14:textId="77777777" w:rsidTr="00E276C8">
        <w:trPr>
          <w:trHeight w:val="300"/>
          <w:jc w:val="center"/>
        </w:trPr>
        <w:tc>
          <w:tcPr>
            <w:tcW w:w="0" w:type="auto"/>
            <w:hideMark/>
          </w:tcPr>
          <w:p w14:paraId="11962AF6"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IND08</w:t>
            </w:r>
            <w:r w:rsidRPr="00F514AE">
              <w:rPr>
                <w:noProof/>
                <w:color w:val="242828" w:themeColor="text1"/>
                <w:sz w:val="22"/>
                <w:szCs w:val="22"/>
              </w:rPr>
              <w:t> </w:t>
            </w:r>
          </w:p>
        </w:tc>
        <w:tc>
          <w:tcPr>
            <w:tcW w:w="3069" w:type="dxa"/>
            <w:hideMark/>
          </w:tcPr>
          <w:p w14:paraId="48FAD83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Non-metallic minerals </w:t>
            </w:r>
          </w:p>
        </w:tc>
        <w:tc>
          <w:tcPr>
            <w:tcW w:w="426" w:type="dxa"/>
            <w:hideMark/>
          </w:tcPr>
          <w:p w14:paraId="5A4670D4"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ENE04</w:t>
            </w:r>
            <w:r w:rsidRPr="00F514AE">
              <w:rPr>
                <w:noProof/>
                <w:color w:val="242828" w:themeColor="text1"/>
                <w:sz w:val="22"/>
                <w:szCs w:val="22"/>
              </w:rPr>
              <w:t> </w:t>
            </w:r>
          </w:p>
        </w:tc>
        <w:tc>
          <w:tcPr>
            <w:tcW w:w="2336" w:type="dxa"/>
            <w:hideMark/>
          </w:tcPr>
          <w:p w14:paraId="5B635898"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Gas </w:t>
            </w:r>
          </w:p>
        </w:tc>
        <w:tc>
          <w:tcPr>
            <w:tcW w:w="0" w:type="auto"/>
            <w:hideMark/>
          </w:tcPr>
          <w:p w14:paraId="0D4AA86C"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PGT02</w:t>
            </w:r>
            <w:r w:rsidRPr="00F514AE">
              <w:rPr>
                <w:noProof/>
                <w:color w:val="242828" w:themeColor="text1"/>
                <w:sz w:val="22"/>
                <w:szCs w:val="22"/>
              </w:rPr>
              <w:t> </w:t>
            </w:r>
          </w:p>
        </w:tc>
        <w:tc>
          <w:tcPr>
            <w:tcW w:w="0" w:type="auto"/>
            <w:hideMark/>
          </w:tcPr>
          <w:p w14:paraId="042BEB9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Oil fired </w:t>
            </w:r>
          </w:p>
        </w:tc>
      </w:tr>
      <w:tr w:rsidR="00A71942" w:rsidRPr="00F514AE" w14:paraId="6353B675" w14:textId="77777777" w:rsidTr="00E276C8">
        <w:trPr>
          <w:trHeight w:val="300"/>
          <w:jc w:val="center"/>
        </w:trPr>
        <w:tc>
          <w:tcPr>
            <w:tcW w:w="0" w:type="auto"/>
            <w:hideMark/>
          </w:tcPr>
          <w:p w14:paraId="5FAF2A75"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IND09</w:t>
            </w:r>
            <w:r w:rsidRPr="00F514AE">
              <w:rPr>
                <w:noProof/>
                <w:color w:val="242828" w:themeColor="text1"/>
                <w:sz w:val="22"/>
                <w:szCs w:val="22"/>
              </w:rPr>
              <w:t> </w:t>
            </w:r>
          </w:p>
        </w:tc>
        <w:tc>
          <w:tcPr>
            <w:tcW w:w="3069" w:type="dxa"/>
            <w:hideMark/>
          </w:tcPr>
          <w:p w14:paraId="5DFCC396"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Computer, electronic and optical products </w:t>
            </w:r>
          </w:p>
        </w:tc>
        <w:tc>
          <w:tcPr>
            <w:tcW w:w="426" w:type="dxa"/>
            <w:hideMark/>
          </w:tcPr>
          <w:p w14:paraId="44E83FB6"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ENE05</w:t>
            </w:r>
            <w:r w:rsidRPr="00F514AE">
              <w:rPr>
                <w:noProof/>
                <w:color w:val="242828" w:themeColor="text1"/>
                <w:sz w:val="22"/>
                <w:szCs w:val="22"/>
              </w:rPr>
              <w:t> </w:t>
            </w:r>
          </w:p>
        </w:tc>
        <w:tc>
          <w:tcPr>
            <w:tcW w:w="2336" w:type="dxa"/>
            <w:hideMark/>
          </w:tcPr>
          <w:p w14:paraId="1CE10A60"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Power Supply </w:t>
            </w:r>
          </w:p>
        </w:tc>
        <w:tc>
          <w:tcPr>
            <w:tcW w:w="0" w:type="auto"/>
            <w:hideMark/>
          </w:tcPr>
          <w:p w14:paraId="0057D5E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PGT03</w:t>
            </w:r>
            <w:r w:rsidRPr="00F514AE">
              <w:rPr>
                <w:noProof/>
                <w:color w:val="242828" w:themeColor="text1"/>
                <w:sz w:val="22"/>
                <w:szCs w:val="22"/>
              </w:rPr>
              <w:t> </w:t>
            </w:r>
          </w:p>
        </w:tc>
        <w:tc>
          <w:tcPr>
            <w:tcW w:w="0" w:type="auto"/>
            <w:hideMark/>
          </w:tcPr>
          <w:p w14:paraId="44B4B36A"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Gas fired </w:t>
            </w:r>
          </w:p>
        </w:tc>
      </w:tr>
      <w:tr w:rsidR="00A71942" w:rsidRPr="00F514AE" w14:paraId="279F9997" w14:textId="77777777" w:rsidTr="00E276C8">
        <w:trPr>
          <w:trHeight w:val="300"/>
          <w:jc w:val="center"/>
        </w:trPr>
        <w:tc>
          <w:tcPr>
            <w:tcW w:w="0" w:type="auto"/>
            <w:hideMark/>
          </w:tcPr>
          <w:p w14:paraId="1D8BA3A3"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IND10</w:t>
            </w:r>
            <w:r w:rsidRPr="00F514AE">
              <w:rPr>
                <w:noProof/>
                <w:color w:val="242828" w:themeColor="text1"/>
                <w:sz w:val="22"/>
                <w:szCs w:val="22"/>
              </w:rPr>
              <w:t> </w:t>
            </w:r>
          </w:p>
        </w:tc>
        <w:tc>
          <w:tcPr>
            <w:tcW w:w="3069" w:type="dxa"/>
            <w:hideMark/>
          </w:tcPr>
          <w:p w14:paraId="111164BB"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Other Equipment Goods </w:t>
            </w:r>
          </w:p>
        </w:tc>
        <w:tc>
          <w:tcPr>
            <w:tcW w:w="426" w:type="dxa"/>
            <w:hideMark/>
          </w:tcPr>
          <w:p w14:paraId="63521C78"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ENE06</w:t>
            </w:r>
            <w:r w:rsidRPr="00F514AE">
              <w:rPr>
                <w:noProof/>
                <w:color w:val="242828" w:themeColor="text1"/>
                <w:sz w:val="22"/>
                <w:szCs w:val="22"/>
              </w:rPr>
              <w:t> </w:t>
            </w:r>
          </w:p>
        </w:tc>
        <w:tc>
          <w:tcPr>
            <w:tcW w:w="2336" w:type="dxa"/>
            <w:hideMark/>
          </w:tcPr>
          <w:p w14:paraId="601B0CD2"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Biomass Solid </w:t>
            </w:r>
          </w:p>
        </w:tc>
        <w:tc>
          <w:tcPr>
            <w:tcW w:w="0" w:type="auto"/>
            <w:hideMark/>
          </w:tcPr>
          <w:p w14:paraId="08C7BD58"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PGT04</w:t>
            </w:r>
            <w:r w:rsidRPr="00F514AE">
              <w:rPr>
                <w:noProof/>
                <w:color w:val="242828" w:themeColor="text1"/>
                <w:sz w:val="22"/>
                <w:szCs w:val="22"/>
              </w:rPr>
              <w:t> </w:t>
            </w:r>
          </w:p>
        </w:tc>
        <w:tc>
          <w:tcPr>
            <w:tcW w:w="0" w:type="auto"/>
            <w:hideMark/>
          </w:tcPr>
          <w:p w14:paraId="71B77F67"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Nuclear </w:t>
            </w:r>
          </w:p>
        </w:tc>
      </w:tr>
      <w:tr w:rsidR="00A71942" w:rsidRPr="00F514AE" w14:paraId="6378174C" w14:textId="77777777" w:rsidTr="00E276C8">
        <w:trPr>
          <w:trHeight w:val="300"/>
          <w:jc w:val="center"/>
        </w:trPr>
        <w:tc>
          <w:tcPr>
            <w:tcW w:w="0" w:type="auto"/>
            <w:hideMark/>
          </w:tcPr>
          <w:p w14:paraId="30D40368"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IND11</w:t>
            </w:r>
            <w:r w:rsidRPr="00F514AE">
              <w:rPr>
                <w:noProof/>
                <w:color w:val="242828" w:themeColor="text1"/>
                <w:sz w:val="22"/>
                <w:szCs w:val="22"/>
              </w:rPr>
              <w:t> </w:t>
            </w:r>
          </w:p>
        </w:tc>
        <w:tc>
          <w:tcPr>
            <w:tcW w:w="3069" w:type="dxa"/>
            <w:hideMark/>
          </w:tcPr>
          <w:p w14:paraId="5093868B"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Transport equipment (excluding EV) </w:t>
            </w:r>
          </w:p>
        </w:tc>
        <w:tc>
          <w:tcPr>
            <w:tcW w:w="426" w:type="dxa"/>
            <w:hideMark/>
          </w:tcPr>
          <w:p w14:paraId="469D739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ENE07</w:t>
            </w:r>
            <w:r w:rsidRPr="00F514AE">
              <w:rPr>
                <w:noProof/>
                <w:color w:val="242828" w:themeColor="text1"/>
                <w:sz w:val="22"/>
                <w:szCs w:val="22"/>
              </w:rPr>
              <w:t> </w:t>
            </w:r>
          </w:p>
        </w:tc>
        <w:tc>
          <w:tcPr>
            <w:tcW w:w="2336" w:type="dxa"/>
            <w:hideMark/>
          </w:tcPr>
          <w:p w14:paraId="216738D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Biofuels </w:t>
            </w:r>
          </w:p>
        </w:tc>
        <w:tc>
          <w:tcPr>
            <w:tcW w:w="0" w:type="auto"/>
            <w:hideMark/>
          </w:tcPr>
          <w:p w14:paraId="0FFBC482"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PGT05</w:t>
            </w:r>
            <w:r w:rsidRPr="00F514AE">
              <w:rPr>
                <w:noProof/>
                <w:color w:val="242828" w:themeColor="text1"/>
                <w:sz w:val="22"/>
                <w:szCs w:val="22"/>
              </w:rPr>
              <w:t> </w:t>
            </w:r>
          </w:p>
        </w:tc>
        <w:tc>
          <w:tcPr>
            <w:tcW w:w="0" w:type="auto"/>
            <w:hideMark/>
          </w:tcPr>
          <w:p w14:paraId="48AE582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Biomass </w:t>
            </w:r>
          </w:p>
        </w:tc>
      </w:tr>
      <w:tr w:rsidR="00A71942" w:rsidRPr="00F514AE" w14:paraId="7F00C689" w14:textId="77777777" w:rsidTr="00E276C8">
        <w:trPr>
          <w:trHeight w:val="300"/>
          <w:jc w:val="center"/>
        </w:trPr>
        <w:tc>
          <w:tcPr>
            <w:tcW w:w="0" w:type="auto"/>
            <w:hideMark/>
          </w:tcPr>
          <w:p w14:paraId="11229D9F"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IND12</w:t>
            </w:r>
            <w:r w:rsidRPr="00F514AE">
              <w:rPr>
                <w:noProof/>
                <w:color w:val="242828" w:themeColor="text1"/>
                <w:sz w:val="22"/>
                <w:szCs w:val="22"/>
              </w:rPr>
              <w:t> </w:t>
            </w:r>
          </w:p>
        </w:tc>
        <w:tc>
          <w:tcPr>
            <w:tcW w:w="3069" w:type="dxa"/>
            <w:hideMark/>
          </w:tcPr>
          <w:p w14:paraId="78059C86"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Consumer Goods Industries </w:t>
            </w:r>
          </w:p>
        </w:tc>
        <w:tc>
          <w:tcPr>
            <w:tcW w:w="426" w:type="dxa"/>
            <w:hideMark/>
          </w:tcPr>
          <w:p w14:paraId="0A52B0A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ENE08</w:t>
            </w:r>
            <w:r w:rsidRPr="00F514AE">
              <w:rPr>
                <w:noProof/>
                <w:color w:val="242828" w:themeColor="text1"/>
                <w:sz w:val="22"/>
                <w:szCs w:val="22"/>
              </w:rPr>
              <w:t> </w:t>
            </w:r>
          </w:p>
        </w:tc>
        <w:tc>
          <w:tcPr>
            <w:tcW w:w="2336" w:type="dxa"/>
            <w:hideMark/>
          </w:tcPr>
          <w:p w14:paraId="214EABF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Hydrogen </w:t>
            </w:r>
          </w:p>
        </w:tc>
        <w:tc>
          <w:tcPr>
            <w:tcW w:w="0" w:type="auto"/>
            <w:hideMark/>
          </w:tcPr>
          <w:p w14:paraId="6228D5C9"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PGT06</w:t>
            </w:r>
            <w:r w:rsidRPr="00F514AE">
              <w:rPr>
                <w:noProof/>
                <w:color w:val="242828" w:themeColor="text1"/>
                <w:sz w:val="22"/>
                <w:szCs w:val="22"/>
              </w:rPr>
              <w:t> </w:t>
            </w:r>
          </w:p>
        </w:tc>
        <w:tc>
          <w:tcPr>
            <w:tcW w:w="0" w:type="auto"/>
            <w:hideMark/>
          </w:tcPr>
          <w:p w14:paraId="539E67CB"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Hydro electric </w:t>
            </w:r>
          </w:p>
        </w:tc>
      </w:tr>
      <w:tr w:rsidR="00A71942" w:rsidRPr="00F514AE" w14:paraId="046CC192" w14:textId="77777777" w:rsidTr="00E276C8">
        <w:trPr>
          <w:trHeight w:val="300"/>
          <w:jc w:val="center"/>
        </w:trPr>
        <w:tc>
          <w:tcPr>
            <w:tcW w:w="0" w:type="auto"/>
            <w:hideMark/>
          </w:tcPr>
          <w:p w14:paraId="5BCD7645"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IND13</w:t>
            </w:r>
            <w:r w:rsidRPr="00F514AE">
              <w:rPr>
                <w:noProof/>
                <w:color w:val="242828" w:themeColor="text1"/>
                <w:sz w:val="22"/>
                <w:szCs w:val="22"/>
              </w:rPr>
              <w:t> </w:t>
            </w:r>
          </w:p>
        </w:tc>
        <w:tc>
          <w:tcPr>
            <w:tcW w:w="3069" w:type="dxa"/>
            <w:hideMark/>
          </w:tcPr>
          <w:p w14:paraId="743F22AF"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Construction </w:t>
            </w:r>
          </w:p>
        </w:tc>
        <w:tc>
          <w:tcPr>
            <w:tcW w:w="426" w:type="dxa"/>
            <w:hideMark/>
          </w:tcPr>
          <w:p w14:paraId="352289D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ENE09</w:t>
            </w:r>
            <w:r w:rsidRPr="00F514AE">
              <w:rPr>
                <w:noProof/>
                <w:color w:val="242828" w:themeColor="text1"/>
                <w:sz w:val="22"/>
                <w:szCs w:val="22"/>
              </w:rPr>
              <w:t> </w:t>
            </w:r>
          </w:p>
        </w:tc>
        <w:tc>
          <w:tcPr>
            <w:tcW w:w="2336" w:type="dxa"/>
            <w:hideMark/>
          </w:tcPr>
          <w:p w14:paraId="090DBC52"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Clean Gas </w:t>
            </w:r>
          </w:p>
        </w:tc>
        <w:tc>
          <w:tcPr>
            <w:tcW w:w="0" w:type="auto"/>
            <w:hideMark/>
          </w:tcPr>
          <w:p w14:paraId="6EFE3B67"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PGT07</w:t>
            </w:r>
            <w:r w:rsidRPr="00F514AE">
              <w:rPr>
                <w:noProof/>
                <w:color w:val="242828" w:themeColor="text1"/>
                <w:sz w:val="22"/>
                <w:szCs w:val="22"/>
              </w:rPr>
              <w:t> </w:t>
            </w:r>
          </w:p>
        </w:tc>
        <w:tc>
          <w:tcPr>
            <w:tcW w:w="0" w:type="auto"/>
            <w:hideMark/>
          </w:tcPr>
          <w:p w14:paraId="2A39BF4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Wind </w:t>
            </w:r>
          </w:p>
        </w:tc>
      </w:tr>
      <w:tr w:rsidR="00A71942" w:rsidRPr="00F514AE" w14:paraId="5E5EE7BF" w14:textId="77777777" w:rsidTr="00E276C8">
        <w:trPr>
          <w:trHeight w:val="300"/>
          <w:jc w:val="center"/>
        </w:trPr>
        <w:tc>
          <w:tcPr>
            <w:tcW w:w="0" w:type="auto"/>
            <w:hideMark/>
          </w:tcPr>
          <w:p w14:paraId="5B4AB449"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IND14</w:t>
            </w:r>
            <w:r w:rsidRPr="00F514AE">
              <w:rPr>
                <w:noProof/>
                <w:color w:val="242828" w:themeColor="text1"/>
                <w:sz w:val="22"/>
                <w:szCs w:val="22"/>
              </w:rPr>
              <w:t> </w:t>
            </w:r>
          </w:p>
        </w:tc>
        <w:tc>
          <w:tcPr>
            <w:tcW w:w="3069" w:type="dxa"/>
            <w:hideMark/>
          </w:tcPr>
          <w:p w14:paraId="5BF341D7"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Batteries </w:t>
            </w:r>
          </w:p>
        </w:tc>
        <w:tc>
          <w:tcPr>
            <w:tcW w:w="2762" w:type="dxa"/>
            <w:gridSpan w:val="2"/>
            <w:hideMark/>
          </w:tcPr>
          <w:p w14:paraId="1E31AF79" w14:textId="77777777" w:rsidR="00A71942" w:rsidRPr="00F514AE" w:rsidRDefault="00A71942" w:rsidP="00E276C8">
            <w:pPr>
              <w:spacing w:after="120"/>
              <w:jc w:val="center"/>
              <w:rPr>
                <w:noProof/>
                <w:color w:val="242828" w:themeColor="text1"/>
                <w:sz w:val="22"/>
                <w:szCs w:val="22"/>
              </w:rPr>
            </w:pPr>
            <w:r w:rsidRPr="00F514AE">
              <w:rPr>
                <w:b/>
                <w:bCs/>
                <w:noProof/>
                <w:color w:val="242828" w:themeColor="text1"/>
                <w:sz w:val="22"/>
                <w:szCs w:val="22"/>
              </w:rPr>
              <w:t>Transport</w:t>
            </w:r>
          </w:p>
        </w:tc>
        <w:tc>
          <w:tcPr>
            <w:tcW w:w="0" w:type="auto"/>
            <w:hideMark/>
          </w:tcPr>
          <w:p w14:paraId="73256AAE"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PGT08</w:t>
            </w:r>
            <w:r w:rsidRPr="00F514AE">
              <w:rPr>
                <w:noProof/>
                <w:color w:val="242828" w:themeColor="text1"/>
                <w:sz w:val="22"/>
                <w:szCs w:val="22"/>
              </w:rPr>
              <w:t> </w:t>
            </w:r>
          </w:p>
        </w:tc>
        <w:tc>
          <w:tcPr>
            <w:tcW w:w="0" w:type="auto"/>
            <w:hideMark/>
          </w:tcPr>
          <w:p w14:paraId="7D7A781D"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PV </w:t>
            </w:r>
          </w:p>
        </w:tc>
      </w:tr>
      <w:tr w:rsidR="00A71942" w:rsidRPr="00F514AE" w14:paraId="60847FE6" w14:textId="77777777" w:rsidTr="00E276C8">
        <w:trPr>
          <w:trHeight w:val="300"/>
          <w:jc w:val="center"/>
        </w:trPr>
        <w:tc>
          <w:tcPr>
            <w:tcW w:w="0" w:type="auto"/>
            <w:hideMark/>
          </w:tcPr>
          <w:p w14:paraId="79ED63EC"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IND15</w:t>
            </w:r>
            <w:r w:rsidRPr="00F514AE">
              <w:rPr>
                <w:noProof/>
                <w:color w:val="242828" w:themeColor="text1"/>
                <w:sz w:val="22"/>
                <w:szCs w:val="22"/>
              </w:rPr>
              <w:t> </w:t>
            </w:r>
          </w:p>
        </w:tc>
        <w:tc>
          <w:tcPr>
            <w:tcW w:w="3069" w:type="dxa"/>
            <w:hideMark/>
          </w:tcPr>
          <w:p w14:paraId="231F574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EV Transport Equipment </w:t>
            </w:r>
          </w:p>
        </w:tc>
        <w:tc>
          <w:tcPr>
            <w:tcW w:w="426" w:type="dxa"/>
            <w:hideMark/>
          </w:tcPr>
          <w:p w14:paraId="04636901"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TRA01</w:t>
            </w:r>
            <w:r w:rsidRPr="00F514AE">
              <w:rPr>
                <w:noProof/>
                <w:color w:val="242828" w:themeColor="text1"/>
                <w:sz w:val="22"/>
                <w:szCs w:val="22"/>
              </w:rPr>
              <w:t> </w:t>
            </w:r>
          </w:p>
        </w:tc>
        <w:tc>
          <w:tcPr>
            <w:tcW w:w="2336" w:type="dxa"/>
            <w:hideMark/>
          </w:tcPr>
          <w:p w14:paraId="74BFFFA9"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Warehousing and support activities </w:t>
            </w:r>
          </w:p>
        </w:tc>
        <w:tc>
          <w:tcPr>
            <w:tcW w:w="0" w:type="auto"/>
            <w:hideMark/>
          </w:tcPr>
          <w:p w14:paraId="04BFEE5C"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PGT09</w:t>
            </w:r>
            <w:r w:rsidRPr="00F514AE">
              <w:rPr>
                <w:noProof/>
                <w:color w:val="242828" w:themeColor="text1"/>
                <w:sz w:val="22"/>
                <w:szCs w:val="22"/>
              </w:rPr>
              <w:t> </w:t>
            </w:r>
          </w:p>
        </w:tc>
        <w:tc>
          <w:tcPr>
            <w:tcW w:w="0" w:type="auto"/>
            <w:hideMark/>
          </w:tcPr>
          <w:p w14:paraId="5227EB8E"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Geothermal </w:t>
            </w:r>
          </w:p>
        </w:tc>
      </w:tr>
      <w:tr w:rsidR="00A71942" w:rsidRPr="00F514AE" w14:paraId="46829EE3" w14:textId="77777777" w:rsidTr="00E276C8">
        <w:trPr>
          <w:trHeight w:val="300"/>
          <w:jc w:val="center"/>
        </w:trPr>
        <w:tc>
          <w:tcPr>
            <w:tcW w:w="0" w:type="auto"/>
            <w:hideMark/>
          </w:tcPr>
          <w:p w14:paraId="562B882C"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IND16</w:t>
            </w:r>
            <w:r w:rsidRPr="00F514AE">
              <w:rPr>
                <w:noProof/>
                <w:color w:val="242828" w:themeColor="text1"/>
                <w:sz w:val="22"/>
                <w:szCs w:val="22"/>
              </w:rPr>
              <w:t> </w:t>
            </w:r>
          </w:p>
        </w:tc>
        <w:tc>
          <w:tcPr>
            <w:tcW w:w="3069" w:type="dxa"/>
            <w:hideMark/>
          </w:tcPr>
          <w:p w14:paraId="5F13F638"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Advanced Electric Appliances </w:t>
            </w:r>
          </w:p>
        </w:tc>
        <w:tc>
          <w:tcPr>
            <w:tcW w:w="426" w:type="dxa"/>
            <w:hideMark/>
          </w:tcPr>
          <w:p w14:paraId="1BD9B45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TRA02</w:t>
            </w:r>
            <w:r w:rsidRPr="00F514AE">
              <w:rPr>
                <w:noProof/>
                <w:color w:val="242828" w:themeColor="text1"/>
                <w:sz w:val="22"/>
                <w:szCs w:val="22"/>
              </w:rPr>
              <w:t> </w:t>
            </w:r>
          </w:p>
        </w:tc>
        <w:tc>
          <w:tcPr>
            <w:tcW w:w="2336" w:type="dxa"/>
            <w:hideMark/>
          </w:tcPr>
          <w:p w14:paraId="09E71F1B"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Air transport </w:t>
            </w:r>
          </w:p>
        </w:tc>
        <w:tc>
          <w:tcPr>
            <w:tcW w:w="0" w:type="auto"/>
            <w:hideMark/>
          </w:tcPr>
          <w:p w14:paraId="02A11193"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PGT10</w:t>
            </w:r>
            <w:r w:rsidRPr="00F514AE">
              <w:rPr>
                <w:noProof/>
                <w:color w:val="242828" w:themeColor="text1"/>
                <w:sz w:val="22"/>
                <w:szCs w:val="22"/>
              </w:rPr>
              <w:t> </w:t>
            </w:r>
          </w:p>
        </w:tc>
        <w:tc>
          <w:tcPr>
            <w:tcW w:w="0" w:type="auto"/>
            <w:hideMark/>
          </w:tcPr>
          <w:p w14:paraId="782BE1CE"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CCS coal </w:t>
            </w:r>
          </w:p>
        </w:tc>
      </w:tr>
      <w:tr w:rsidR="00A71942" w:rsidRPr="00F514AE" w14:paraId="4E042AB9" w14:textId="77777777" w:rsidTr="00E276C8">
        <w:trPr>
          <w:trHeight w:val="300"/>
          <w:jc w:val="center"/>
        </w:trPr>
        <w:tc>
          <w:tcPr>
            <w:tcW w:w="0" w:type="auto"/>
            <w:hideMark/>
          </w:tcPr>
          <w:p w14:paraId="1C164F65"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IND17</w:t>
            </w:r>
            <w:r w:rsidRPr="00F514AE">
              <w:rPr>
                <w:noProof/>
                <w:color w:val="242828" w:themeColor="text1"/>
                <w:sz w:val="22"/>
                <w:szCs w:val="22"/>
              </w:rPr>
              <w:t> </w:t>
            </w:r>
          </w:p>
        </w:tc>
        <w:tc>
          <w:tcPr>
            <w:tcW w:w="3069" w:type="dxa"/>
            <w:hideMark/>
          </w:tcPr>
          <w:p w14:paraId="1EF0A2DF"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Advanced Heating and Cooking Appliances </w:t>
            </w:r>
          </w:p>
        </w:tc>
        <w:tc>
          <w:tcPr>
            <w:tcW w:w="426" w:type="dxa"/>
            <w:hideMark/>
          </w:tcPr>
          <w:p w14:paraId="10A4FBF0"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TRA03</w:t>
            </w:r>
            <w:r w:rsidRPr="00F514AE">
              <w:rPr>
                <w:noProof/>
                <w:color w:val="242828" w:themeColor="text1"/>
                <w:sz w:val="22"/>
                <w:szCs w:val="22"/>
              </w:rPr>
              <w:t> </w:t>
            </w:r>
          </w:p>
        </w:tc>
        <w:tc>
          <w:tcPr>
            <w:tcW w:w="2336" w:type="dxa"/>
            <w:hideMark/>
          </w:tcPr>
          <w:p w14:paraId="2461DF23"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Land transport </w:t>
            </w:r>
          </w:p>
        </w:tc>
        <w:tc>
          <w:tcPr>
            <w:tcW w:w="0" w:type="auto"/>
            <w:hideMark/>
          </w:tcPr>
          <w:p w14:paraId="59B9F6FD"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PGT11</w:t>
            </w:r>
            <w:r w:rsidRPr="00F514AE">
              <w:rPr>
                <w:noProof/>
                <w:color w:val="242828" w:themeColor="text1"/>
                <w:sz w:val="22"/>
                <w:szCs w:val="22"/>
              </w:rPr>
              <w:t> </w:t>
            </w:r>
          </w:p>
        </w:tc>
        <w:tc>
          <w:tcPr>
            <w:tcW w:w="0" w:type="auto"/>
            <w:hideMark/>
          </w:tcPr>
          <w:p w14:paraId="4E45275E"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CCS Gas </w:t>
            </w:r>
          </w:p>
        </w:tc>
      </w:tr>
      <w:tr w:rsidR="00A71942" w:rsidRPr="00F514AE" w14:paraId="1AF65104" w14:textId="77777777" w:rsidTr="00E276C8">
        <w:trPr>
          <w:trHeight w:val="300"/>
          <w:jc w:val="center"/>
        </w:trPr>
        <w:tc>
          <w:tcPr>
            <w:tcW w:w="0" w:type="auto"/>
            <w:hideMark/>
          </w:tcPr>
          <w:p w14:paraId="10E7D26D"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IND18</w:t>
            </w:r>
            <w:r w:rsidRPr="00F514AE">
              <w:rPr>
                <w:noProof/>
                <w:color w:val="242828" w:themeColor="text1"/>
                <w:sz w:val="22"/>
                <w:szCs w:val="22"/>
              </w:rPr>
              <w:t> </w:t>
            </w:r>
          </w:p>
        </w:tc>
        <w:tc>
          <w:tcPr>
            <w:tcW w:w="3069" w:type="dxa"/>
            <w:hideMark/>
          </w:tcPr>
          <w:p w14:paraId="2880638F"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Equipment for wind power technology </w:t>
            </w:r>
          </w:p>
        </w:tc>
        <w:tc>
          <w:tcPr>
            <w:tcW w:w="426" w:type="dxa"/>
            <w:hideMark/>
          </w:tcPr>
          <w:p w14:paraId="6078351F"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TRA04</w:t>
            </w:r>
            <w:r w:rsidRPr="00F514AE">
              <w:rPr>
                <w:noProof/>
                <w:color w:val="242828" w:themeColor="text1"/>
                <w:sz w:val="22"/>
                <w:szCs w:val="22"/>
              </w:rPr>
              <w:t> </w:t>
            </w:r>
          </w:p>
        </w:tc>
        <w:tc>
          <w:tcPr>
            <w:tcW w:w="2336" w:type="dxa"/>
            <w:hideMark/>
          </w:tcPr>
          <w:p w14:paraId="7E9ACDBC"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Water transport </w:t>
            </w:r>
          </w:p>
        </w:tc>
        <w:tc>
          <w:tcPr>
            <w:tcW w:w="0" w:type="auto"/>
            <w:hideMark/>
          </w:tcPr>
          <w:p w14:paraId="13D39F95" w14:textId="77777777" w:rsidR="00A71942" w:rsidRPr="00F514AE" w:rsidRDefault="00A71942" w:rsidP="00E276C8">
            <w:pPr>
              <w:spacing w:after="120"/>
              <w:rPr>
                <w:noProof/>
                <w:color w:val="242828" w:themeColor="text1"/>
                <w:sz w:val="22"/>
                <w:szCs w:val="22"/>
              </w:rPr>
            </w:pPr>
            <w:r w:rsidRPr="00F514AE">
              <w:rPr>
                <w:b/>
                <w:bCs/>
                <w:noProof/>
                <w:color w:val="242828" w:themeColor="text1"/>
                <w:sz w:val="22"/>
                <w:szCs w:val="22"/>
              </w:rPr>
              <w:t>PGT12</w:t>
            </w:r>
            <w:r w:rsidRPr="00F514AE">
              <w:rPr>
                <w:noProof/>
                <w:color w:val="242828" w:themeColor="text1"/>
                <w:sz w:val="22"/>
                <w:szCs w:val="22"/>
              </w:rPr>
              <w:t> </w:t>
            </w:r>
          </w:p>
        </w:tc>
        <w:tc>
          <w:tcPr>
            <w:tcW w:w="0" w:type="auto"/>
            <w:hideMark/>
          </w:tcPr>
          <w:p w14:paraId="389DDB64" w14:textId="77777777" w:rsidR="00A71942" w:rsidRPr="00F514AE" w:rsidRDefault="00A71942" w:rsidP="00E276C8">
            <w:pPr>
              <w:spacing w:after="120"/>
              <w:rPr>
                <w:noProof/>
                <w:color w:val="242828" w:themeColor="text1"/>
                <w:sz w:val="22"/>
                <w:szCs w:val="22"/>
              </w:rPr>
            </w:pPr>
            <w:r w:rsidRPr="00F514AE">
              <w:rPr>
                <w:noProof/>
                <w:color w:val="242828" w:themeColor="text1"/>
                <w:sz w:val="22"/>
                <w:szCs w:val="22"/>
              </w:rPr>
              <w:t>CCS Bio </w:t>
            </w:r>
          </w:p>
        </w:tc>
      </w:tr>
    </w:tbl>
    <w:p w14:paraId="768EB714" w14:textId="77777777" w:rsidR="00A71942" w:rsidRPr="00A7553F" w:rsidRDefault="00A71942" w:rsidP="00E276C8">
      <w:pPr>
        <w:pStyle w:val="Tabletitle"/>
        <w:keepNext/>
        <w:spacing w:after="120" w:line="240" w:lineRule="auto"/>
        <w:ind w:left="720"/>
        <w:rPr>
          <w:noProof/>
        </w:rPr>
      </w:pPr>
      <w:bookmarkStart w:id="291" w:name="_Toc222405589"/>
      <w:bookmarkStart w:id="292" w:name="_Toc232608935"/>
      <w:bookmarkStart w:id="293" w:name="_Toc232611545"/>
      <w:bookmarkStart w:id="294" w:name="_Toc232672605"/>
      <w:bookmarkStart w:id="295" w:name="_Toc232758457"/>
      <w:r>
        <w:rPr>
          <w:noProof/>
        </w:rPr>
        <w:t>Data sources used in GEM-E3 model for the base year calibration</w:t>
      </w:r>
      <w:bookmarkEnd w:id="291"/>
      <w:bookmarkEnd w:id="292"/>
      <w:bookmarkEnd w:id="293"/>
      <w:bookmarkEnd w:id="294"/>
      <w:bookmarkEnd w:id="295"/>
    </w:p>
    <w:tbl>
      <w:tblPr>
        <w:tblStyle w:val="CV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653"/>
      </w:tblGrid>
      <w:tr w:rsidR="00A71942" w:rsidRPr="00FE6999" w14:paraId="120EE58C" w14:textId="77777777" w:rsidTr="1FC5E705">
        <w:trPr>
          <w:trHeight w:val="20"/>
          <w:jc w:val="center"/>
        </w:trPr>
        <w:tc>
          <w:tcPr>
            <w:tcW w:w="0" w:type="auto"/>
            <w:hideMark/>
          </w:tcPr>
          <w:p w14:paraId="5C12760C" w14:textId="77777777" w:rsidR="00A71942" w:rsidRPr="00FE6999" w:rsidRDefault="00A71942" w:rsidP="00E276C8">
            <w:pPr>
              <w:spacing w:after="120"/>
              <w:jc w:val="center"/>
              <w:rPr>
                <w:b/>
                <w:bCs/>
                <w:noProof/>
                <w:color w:val="242828" w:themeColor="text1"/>
                <w:sz w:val="22"/>
                <w:szCs w:val="22"/>
              </w:rPr>
            </w:pPr>
            <w:r w:rsidRPr="1FC5E705">
              <w:rPr>
                <w:b/>
                <w:bCs/>
                <w:noProof/>
                <w:color w:val="242828" w:themeColor="text1"/>
                <w:sz w:val="22"/>
                <w:szCs w:val="22"/>
              </w:rPr>
              <w:t>Data</w:t>
            </w:r>
          </w:p>
        </w:tc>
        <w:tc>
          <w:tcPr>
            <w:tcW w:w="0" w:type="auto"/>
            <w:hideMark/>
          </w:tcPr>
          <w:p w14:paraId="4B4786E5" w14:textId="77777777" w:rsidR="00A71942" w:rsidRPr="00FE6999" w:rsidRDefault="00A71942" w:rsidP="00E276C8">
            <w:pPr>
              <w:spacing w:after="120"/>
              <w:jc w:val="center"/>
              <w:rPr>
                <w:b/>
                <w:bCs/>
                <w:noProof/>
                <w:color w:val="242828" w:themeColor="text1"/>
                <w:sz w:val="22"/>
                <w:szCs w:val="22"/>
              </w:rPr>
            </w:pPr>
            <w:r w:rsidRPr="1FC5E705">
              <w:rPr>
                <w:b/>
                <w:bCs/>
                <w:noProof/>
                <w:color w:val="242828" w:themeColor="text1"/>
                <w:sz w:val="22"/>
                <w:szCs w:val="22"/>
              </w:rPr>
              <w:t>Source</w:t>
            </w:r>
          </w:p>
        </w:tc>
      </w:tr>
      <w:tr w:rsidR="00A71942" w:rsidRPr="00FE6999" w14:paraId="32660A9F" w14:textId="77777777" w:rsidTr="1FC5E705">
        <w:trPr>
          <w:trHeight w:val="20"/>
          <w:jc w:val="center"/>
        </w:trPr>
        <w:tc>
          <w:tcPr>
            <w:tcW w:w="0" w:type="auto"/>
            <w:hideMark/>
          </w:tcPr>
          <w:p w14:paraId="6088E3FB"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Economic activity (GDP/GRDP)</w:t>
            </w:r>
          </w:p>
        </w:tc>
        <w:tc>
          <w:tcPr>
            <w:tcW w:w="0" w:type="auto"/>
            <w:hideMark/>
          </w:tcPr>
          <w:p w14:paraId="7E9EEFE4"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59947DB6" w14:textId="77777777" w:rsidTr="1FC5E705">
        <w:trPr>
          <w:trHeight w:val="20"/>
          <w:jc w:val="center"/>
        </w:trPr>
        <w:tc>
          <w:tcPr>
            <w:tcW w:w="0" w:type="auto"/>
            <w:hideMark/>
          </w:tcPr>
          <w:p w14:paraId="0FB234EE"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Employment (per economic activity)</w:t>
            </w:r>
          </w:p>
        </w:tc>
        <w:tc>
          <w:tcPr>
            <w:tcW w:w="0" w:type="auto"/>
            <w:hideMark/>
          </w:tcPr>
          <w:p w14:paraId="42A546A8"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5E5BB3E1" w14:textId="77777777" w:rsidTr="1FC5E705">
        <w:trPr>
          <w:trHeight w:val="20"/>
          <w:jc w:val="center"/>
        </w:trPr>
        <w:tc>
          <w:tcPr>
            <w:tcW w:w="0" w:type="auto"/>
            <w:hideMark/>
          </w:tcPr>
          <w:p w14:paraId="30A7916D"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GHG emissions (per GHG and economic activity)</w:t>
            </w:r>
          </w:p>
        </w:tc>
        <w:tc>
          <w:tcPr>
            <w:tcW w:w="0" w:type="auto"/>
            <w:hideMark/>
          </w:tcPr>
          <w:p w14:paraId="2782C21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31B33440" w14:textId="77777777" w:rsidTr="1FC5E705">
        <w:trPr>
          <w:trHeight w:val="20"/>
          <w:jc w:val="center"/>
        </w:trPr>
        <w:tc>
          <w:tcPr>
            <w:tcW w:w="0" w:type="auto"/>
            <w:hideMark/>
          </w:tcPr>
          <w:p w14:paraId="7F10B74B"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Energy consumption (per fuel and economic activity)</w:t>
            </w:r>
          </w:p>
        </w:tc>
        <w:tc>
          <w:tcPr>
            <w:tcW w:w="0" w:type="auto"/>
            <w:hideMark/>
          </w:tcPr>
          <w:p w14:paraId="3F54C26A"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 IEA</w:t>
            </w:r>
          </w:p>
        </w:tc>
      </w:tr>
      <w:tr w:rsidR="00A71942" w:rsidRPr="00FE6999" w14:paraId="6C250DA9" w14:textId="77777777" w:rsidTr="1FC5E705">
        <w:trPr>
          <w:trHeight w:val="20"/>
          <w:jc w:val="center"/>
        </w:trPr>
        <w:tc>
          <w:tcPr>
            <w:tcW w:w="0" w:type="auto"/>
            <w:hideMark/>
          </w:tcPr>
          <w:p w14:paraId="42E849A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Population</w:t>
            </w:r>
          </w:p>
        </w:tc>
        <w:tc>
          <w:tcPr>
            <w:tcW w:w="0" w:type="auto"/>
            <w:hideMark/>
          </w:tcPr>
          <w:p w14:paraId="645D58D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 ILO</w:t>
            </w:r>
          </w:p>
        </w:tc>
      </w:tr>
      <w:tr w:rsidR="00A71942" w:rsidRPr="00FE6999" w14:paraId="5476827B" w14:textId="77777777" w:rsidTr="1FC5E705">
        <w:trPr>
          <w:trHeight w:val="20"/>
          <w:jc w:val="center"/>
        </w:trPr>
        <w:tc>
          <w:tcPr>
            <w:tcW w:w="0" w:type="auto"/>
            <w:hideMark/>
          </w:tcPr>
          <w:p w14:paraId="6489EE06"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Working age</w:t>
            </w:r>
          </w:p>
        </w:tc>
        <w:tc>
          <w:tcPr>
            <w:tcW w:w="0" w:type="auto"/>
            <w:hideMark/>
          </w:tcPr>
          <w:p w14:paraId="1A7D5019"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 ILO</w:t>
            </w:r>
          </w:p>
        </w:tc>
      </w:tr>
      <w:tr w:rsidR="00A71942" w:rsidRPr="00FE6999" w14:paraId="5F0E3030" w14:textId="77777777" w:rsidTr="1FC5E705">
        <w:trPr>
          <w:trHeight w:val="20"/>
          <w:jc w:val="center"/>
        </w:trPr>
        <w:tc>
          <w:tcPr>
            <w:tcW w:w="0" w:type="auto"/>
            <w:hideMark/>
          </w:tcPr>
          <w:p w14:paraId="617899C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Labour force</w:t>
            </w:r>
          </w:p>
        </w:tc>
        <w:tc>
          <w:tcPr>
            <w:tcW w:w="0" w:type="auto"/>
            <w:hideMark/>
          </w:tcPr>
          <w:p w14:paraId="6AAF3842"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 ILO</w:t>
            </w:r>
          </w:p>
        </w:tc>
      </w:tr>
      <w:tr w:rsidR="00A71942" w:rsidRPr="00FE6999" w14:paraId="02B0380F" w14:textId="77777777" w:rsidTr="1FC5E705">
        <w:trPr>
          <w:trHeight w:val="20"/>
          <w:jc w:val="center"/>
        </w:trPr>
        <w:tc>
          <w:tcPr>
            <w:tcW w:w="0" w:type="auto"/>
            <w:hideMark/>
          </w:tcPr>
          <w:p w14:paraId="3E5B9713"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Unemployment rate</w:t>
            </w:r>
          </w:p>
        </w:tc>
        <w:tc>
          <w:tcPr>
            <w:tcW w:w="0" w:type="auto"/>
            <w:hideMark/>
          </w:tcPr>
          <w:p w14:paraId="5ABF947C"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 ILO</w:t>
            </w:r>
          </w:p>
        </w:tc>
      </w:tr>
      <w:tr w:rsidR="00A71942" w:rsidRPr="00FE6999" w14:paraId="040A4708" w14:textId="77777777" w:rsidTr="1FC5E705">
        <w:trPr>
          <w:trHeight w:val="20"/>
          <w:jc w:val="center"/>
        </w:trPr>
        <w:tc>
          <w:tcPr>
            <w:tcW w:w="0" w:type="auto"/>
            <w:hideMark/>
          </w:tcPr>
          <w:p w14:paraId="3D635737"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Sectoral production per economic activity</w:t>
            </w:r>
          </w:p>
        </w:tc>
        <w:tc>
          <w:tcPr>
            <w:tcW w:w="0" w:type="auto"/>
            <w:hideMark/>
          </w:tcPr>
          <w:p w14:paraId="2715A29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0D6B6953" w14:textId="77777777" w:rsidTr="1FC5E705">
        <w:trPr>
          <w:trHeight w:val="20"/>
          <w:jc w:val="center"/>
        </w:trPr>
        <w:tc>
          <w:tcPr>
            <w:tcW w:w="0" w:type="auto"/>
            <w:hideMark/>
          </w:tcPr>
          <w:p w14:paraId="1953B3C8"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Bilateral trade</w:t>
            </w:r>
          </w:p>
        </w:tc>
        <w:tc>
          <w:tcPr>
            <w:tcW w:w="0" w:type="auto"/>
            <w:hideMark/>
          </w:tcPr>
          <w:p w14:paraId="3B24CA23"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457F81D0" w14:textId="77777777" w:rsidTr="1FC5E705">
        <w:trPr>
          <w:trHeight w:val="20"/>
          <w:jc w:val="center"/>
        </w:trPr>
        <w:tc>
          <w:tcPr>
            <w:tcW w:w="0" w:type="auto"/>
            <w:hideMark/>
          </w:tcPr>
          <w:p w14:paraId="6CB44900"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Input/Output tables</w:t>
            </w:r>
          </w:p>
        </w:tc>
        <w:tc>
          <w:tcPr>
            <w:tcW w:w="0" w:type="auto"/>
            <w:hideMark/>
          </w:tcPr>
          <w:p w14:paraId="5B617983"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GTAP v11</w:t>
            </w:r>
          </w:p>
        </w:tc>
      </w:tr>
      <w:tr w:rsidR="00A71942" w:rsidRPr="00FE6999" w14:paraId="11530CCB" w14:textId="77777777" w:rsidTr="1FC5E705">
        <w:trPr>
          <w:trHeight w:val="20"/>
          <w:jc w:val="center"/>
        </w:trPr>
        <w:tc>
          <w:tcPr>
            <w:tcW w:w="0" w:type="auto"/>
            <w:hideMark/>
          </w:tcPr>
          <w:p w14:paraId="47A3DFA1"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Transport fleet (by mode, fuel, age, etc)</w:t>
            </w:r>
          </w:p>
        </w:tc>
        <w:tc>
          <w:tcPr>
            <w:tcW w:w="0" w:type="auto"/>
            <w:hideMark/>
          </w:tcPr>
          <w:p w14:paraId="74C6FFDF"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IEA</w:t>
            </w:r>
          </w:p>
        </w:tc>
      </w:tr>
      <w:tr w:rsidR="00A71942" w:rsidRPr="00FE6999" w14:paraId="1C9286D3" w14:textId="77777777" w:rsidTr="1FC5E705">
        <w:trPr>
          <w:trHeight w:val="20"/>
          <w:jc w:val="center"/>
        </w:trPr>
        <w:tc>
          <w:tcPr>
            <w:tcW w:w="0" w:type="auto"/>
            <w:hideMark/>
          </w:tcPr>
          <w:p w14:paraId="3A1E881C"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CAPEX for power generation technologies</w:t>
            </w:r>
          </w:p>
        </w:tc>
        <w:tc>
          <w:tcPr>
            <w:tcW w:w="0" w:type="auto"/>
            <w:hideMark/>
          </w:tcPr>
          <w:p w14:paraId="40587523"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IEA</w:t>
            </w:r>
          </w:p>
        </w:tc>
      </w:tr>
      <w:tr w:rsidR="00A71942" w:rsidRPr="00FE6999" w14:paraId="6C84D8AE" w14:textId="77777777" w:rsidTr="1FC5E705">
        <w:trPr>
          <w:trHeight w:val="20"/>
          <w:jc w:val="center"/>
        </w:trPr>
        <w:tc>
          <w:tcPr>
            <w:tcW w:w="0" w:type="auto"/>
            <w:hideMark/>
          </w:tcPr>
          <w:p w14:paraId="3C4B0E97"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Energy prices</w:t>
            </w:r>
          </w:p>
        </w:tc>
        <w:tc>
          <w:tcPr>
            <w:tcW w:w="0" w:type="auto"/>
            <w:hideMark/>
          </w:tcPr>
          <w:p w14:paraId="267B8AB4" w14:textId="77777777" w:rsidR="00A71942" w:rsidRPr="00FE6999" w:rsidRDefault="00A71942" w:rsidP="00E276C8">
            <w:pPr>
              <w:spacing w:after="120"/>
              <w:jc w:val="center"/>
              <w:rPr>
                <w:noProof/>
                <w:color w:val="242828" w:themeColor="text1"/>
                <w:sz w:val="22"/>
                <w:szCs w:val="22"/>
              </w:rPr>
            </w:pPr>
            <w:r w:rsidRPr="1FC5E705">
              <w:rPr>
                <w:noProof/>
                <w:color w:val="242828" w:themeColor="text1"/>
                <w:sz w:val="22"/>
                <w:szCs w:val="22"/>
              </w:rPr>
              <w:t>IEA</w:t>
            </w:r>
          </w:p>
        </w:tc>
      </w:tr>
    </w:tbl>
    <w:p w14:paraId="3F797B61" w14:textId="77777777" w:rsidR="00A71942" w:rsidRDefault="00A71942" w:rsidP="00E276C8">
      <w:pPr>
        <w:pStyle w:val="Heading4COM"/>
        <w:spacing w:before="120" w:after="120" w:line="240" w:lineRule="auto"/>
        <w:outlineLvl w:val="4"/>
        <w:rPr>
          <w:noProof/>
        </w:rPr>
      </w:pPr>
      <w:bookmarkStart w:id="296" w:name="_Toc212559698"/>
      <w:bookmarkStart w:id="297" w:name="_Toc212561580"/>
      <w:bookmarkStart w:id="298" w:name="_Toc212559699"/>
      <w:bookmarkStart w:id="299" w:name="_Toc212561581"/>
      <w:bookmarkStart w:id="300" w:name="_Toc212559700"/>
      <w:bookmarkStart w:id="301" w:name="_Toc212561582"/>
      <w:bookmarkStart w:id="302" w:name="_Toc212559701"/>
      <w:bookmarkStart w:id="303" w:name="_Toc212561583"/>
      <w:bookmarkStart w:id="304" w:name="_Toc212559702"/>
      <w:bookmarkStart w:id="305" w:name="_Toc212561584"/>
      <w:bookmarkStart w:id="306" w:name="_Toc212559703"/>
      <w:bookmarkStart w:id="307" w:name="_Toc212561585"/>
      <w:bookmarkStart w:id="308" w:name="_Toc212559704"/>
      <w:bookmarkStart w:id="309" w:name="_Toc212561586"/>
      <w:bookmarkStart w:id="310" w:name="_Toc212559705"/>
      <w:bookmarkStart w:id="311" w:name="_Toc212561587"/>
      <w:bookmarkStart w:id="312" w:name="_Toc212559706"/>
      <w:bookmarkStart w:id="313" w:name="_Toc212561588"/>
      <w:bookmarkStart w:id="314" w:name="_Toc212559707"/>
      <w:bookmarkStart w:id="315" w:name="_Toc212561589"/>
      <w:bookmarkStart w:id="316" w:name="_Toc212559708"/>
      <w:bookmarkStart w:id="317" w:name="_Toc212561590"/>
      <w:bookmarkStart w:id="318" w:name="_Toc212559709"/>
      <w:bookmarkStart w:id="319" w:name="_Toc212561591"/>
      <w:bookmarkStart w:id="320" w:name="_Toc212559710"/>
      <w:bookmarkStart w:id="321" w:name="_Toc212561592"/>
      <w:bookmarkStart w:id="322" w:name="_Toc212559711"/>
      <w:bookmarkStart w:id="323" w:name="_Toc212561593"/>
      <w:bookmarkStart w:id="324" w:name="_Toc212559712"/>
      <w:bookmarkStart w:id="325" w:name="_Toc212561594"/>
      <w:bookmarkStart w:id="326" w:name="_Toc212559713"/>
      <w:bookmarkStart w:id="327" w:name="_Toc212561595"/>
      <w:bookmarkStart w:id="328" w:name="_Toc212559714"/>
      <w:bookmarkStart w:id="329" w:name="_Toc212561596"/>
      <w:bookmarkStart w:id="330" w:name="_Toc212559715"/>
      <w:bookmarkStart w:id="331" w:name="_Toc212561597"/>
      <w:bookmarkStart w:id="332" w:name="_Toc212559716"/>
      <w:bookmarkStart w:id="333" w:name="_Toc212561598"/>
      <w:bookmarkStart w:id="334" w:name="_Toc212559717"/>
      <w:bookmarkStart w:id="335" w:name="_Toc212561599"/>
      <w:bookmarkStart w:id="336" w:name="_Toc212559718"/>
      <w:bookmarkStart w:id="337" w:name="_Toc212561600"/>
      <w:bookmarkStart w:id="338" w:name="_Toc212559719"/>
      <w:bookmarkStart w:id="339" w:name="_Toc212561601"/>
      <w:bookmarkEnd w:id="270"/>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noProof/>
        </w:rPr>
        <w:t xml:space="preserve"> </w:t>
      </w:r>
      <w:bookmarkStart w:id="340" w:name="_Toc232611481"/>
      <w:bookmarkStart w:id="341" w:name="_Toc232758162"/>
      <w:r>
        <w:rPr>
          <w:noProof/>
        </w:rPr>
        <w:t>POTEnCIA</w:t>
      </w:r>
      <w:bookmarkEnd w:id="340"/>
      <w:bookmarkEnd w:id="341"/>
    </w:p>
    <w:p w14:paraId="478E0498" w14:textId="77777777" w:rsidR="00FE0588" w:rsidRDefault="00A71942" w:rsidP="00E276C8">
      <w:pPr>
        <w:spacing w:line="240" w:lineRule="auto"/>
        <w:rPr>
          <w:noProof/>
        </w:rPr>
      </w:pPr>
      <w:r>
        <w:rPr>
          <w:noProof/>
        </w:rPr>
        <w:t xml:space="preserve">POTEnCIA (the Policy Oriented Tool for Energy and Climate Change Impact Assessment) is an economic model designed to represent the supply of energy and all sectors of energy demand in the EU: industry, residential, services and agriculture, transport, and power and heat generation.  </w:t>
      </w:r>
    </w:p>
    <w:p w14:paraId="327F0EEE" w14:textId="344B8924" w:rsidR="00A71942" w:rsidRDefault="00FE0588" w:rsidP="00E276C8">
      <w:pPr>
        <w:spacing w:line="240" w:lineRule="auto"/>
        <w:rPr>
          <w:noProof/>
        </w:rPr>
      </w:pPr>
      <w:r>
        <w:rPr>
          <w:noProof/>
        </w:rPr>
        <w:t>POTEnCIA</w:t>
      </w:r>
      <w:r w:rsidR="00A71942">
        <w:rPr>
          <w:noProof/>
        </w:rPr>
        <w:t xml:space="preserve"> has been used in the Annex on Cap setting as an alternative view to the PRIMES modelling underlying the Impact Assessment,</w:t>
      </w:r>
      <w:r w:rsidR="003026DE">
        <w:rPr>
          <w:noProof/>
        </w:rPr>
        <w:t xml:space="preserve"> </w:t>
      </w:r>
      <w:r w:rsidR="001C2193">
        <w:rPr>
          <w:noProof/>
        </w:rPr>
        <w:t xml:space="preserve">distributing effort across sectors in a different way. </w:t>
      </w:r>
      <w:r w:rsidR="00322FBC">
        <w:rPr>
          <w:noProof/>
        </w:rPr>
        <w:t xml:space="preserve">It has also been used in the Annex on Removals </w:t>
      </w:r>
      <w:r w:rsidR="00FA6881">
        <w:rPr>
          <w:noProof/>
        </w:rPr>
        <w:t xml:space="preserve">to </w:t>
      </w:r>
      <w:r w:rsidR="00E801AB">
        <w:rPr>
          <w:noProof/>
        </w:rPr>
        <w:t>for different estimates o</w:t>
      </w:r>
      <w:r w:rsidR="0090375F">
        <w:rPr>
          <w:noProof/>
        </w:rPr>
        <w:t>f removals supply. I</w:t>
      </w:r>
      <w:r w:rsidR="00932809">
        <w:rPr>
          <w:noProof/>
        </w:rPr>
        <w:t>t als</w:t>
      </w:r>
      <w:r>
        <w:rPr>
          <w:noProof/>
        </w:rPr>
        <w:t xml:space="preserve">o provides estimates for economic estimates such as investment needs, allowing the impact assessment and Annex on the Cap to provide a range of such estimates. </w:t>
      </w:r>
      <w:r w:rsidR="00921F10">
        <w:rPr>
          <w:noProof/>
        </w:rPr>
        <w:t xml:space="preserve"> </w:t>
      </w:r>
      <w:r w:rsidR="00FA6881">
        <w:rPr>
          <w:noProof/>
        </w:rPr>
        <w:t xml:space="preserve"> </w:t>
      </w:r>
    </w:p>
    <w:p w14:paraId="4F6CA05E" w14:textId="77777777" w:rsidR="00A71942" w:rsidRDefault="00A71942" w:rsidP="00E276C8">
      <w:pPr>
        <w:spacing w:line="240" w:lineRule="auto"/>
        <w:rPr>
          <w:noProof/>
        </w:rPr>
      </w:pPr>
      <w:r>
        <w:rPr>
          <w:noProof/>
        </w:rPr>
        <w:t xml:space="preserve">We provide a short description here. </w:t>
      </w:r>
    </w:p>
    <w:p w14:paraId="1551232C" w14:textId="77777777" w:rsidR="00A71942" w:rsidRDefault="00A71942" w:rsidP="00E276C8">
      <w:pPr>
        <w:spacing w:line="240" w:lineRule="auto"/>
        <w:rPr>
          <w:noProof/>
        </w:rPr>
      </w:pPr>
      <w:r>
        <w:rPr>
          <w:noProof/>
        </w:rPr>
        <w:t>POTEnCIA represents each EU Member State individually with the option of addressing the EU27 energy system as a whole. It is designed to evaluate prospective or existing policies, generally by comparing scenarios that depict alternative energy and climate policy environments. To this end POTEnCIA:</w:t>
      </w:r>
    </w:p>
    <w:p w14:paraId="64BF0D79" w14:textId="77777777" w:rsidR="00A71942" w:rsidRDefault="00A71942" w:rsidP="00E276C8">
      <w:pPr>
        <w:pStyle w:val="ListParagraph"/>
        <w:numPr>
          <w:ilvl w:val="0"/>
          <w:numId w:val="42"/>
        </w:numPr>
        <w:spacing w:after="120" w:line="240" w:lineRule="auto"/>
        <w:rPr>
          <w:rFonts w:ascii="Arial" w:eastAsia="Arial" w:hAnsi="Arial"/>
          <w:noProof/>
          <w:color w:val="00002E"/>
          <w:sz w:val="27"/>
          <w:szCs w:val="27"/>
        </w:rPr>
      </w:pPr>
      <w:r>
        <w:rPr>
          <w:noProof/>
        </w:rPr>
        <w:t>Realistically captures the adoption and use of new energy technologies under different policy conditions.</w:t>
      </w:r>
    </w:p>
    <w:p w14:paraId="1074C788" w14:textId="77777777" w:rsidR="00A71942" w:rsidRDefault="00A71942" w:rsidP="00E276C8">
      <w:pPr>
        <w:pStyle w:val="ListParagraph"/>
        <w:numPr>
          <w:ilvl w:val="1"/>
          <w:numId w:val="42"/>
        </w:numPr>
        <w:spacing w:after="120" w:line="240" w:lineRule="auto"/>
        <w:rPr>
          <w:rFonts w:ascii="Arial" w:eastAsia="Arial" w:hAnsi="Arial"/>
          <w:noProof/>
          <w:color w:val="00002E"/>
          <w:sz w:val="27"/>
          <w:szCs w:val="27"/>
        </w:rPr>
      </w:pPr>
      <w:r>
        <w:rPr>
          <w:noProof/>
        </w:rPr>
        <w:t>How? By simulating decision-making under imperfect foresight at a high level of techno-economic detail.</w:t>
      </w:r>
    </w:p>
    <w:p w14:paraId="6B176773" w14:textId="77777777" w:rsidR="00A71942" w:rsidRDefault="00A71942" w:rsidP="00E276C8">
      <w:pPr>
        <w:pStyle w:val="ListParagraph"/>
        <w:numPr>
          <w:ilvl w:val="0"/>
          <w:numId w:val="42"/>
        </w:numPr>
        <w:spacing w:after="120" w:line="240" w:lineRule="auto"/>
        <w:rPr>
          <w:rFonts w:ascii="Arial" w:eastAsia="Arial" w:hAnsi="Arial"/>
          <w:noProof/>
          <w:color w:val="00002E"/>
          <w:sz w:val="27"/>
          <w:szCs w:val="27"/>
        </w:rPr>
      </w:pPr>
      <w:r>
        <w:rPr>
          <w:noProof/>
        </w:rPr>
        <w:t>Provides high temporal detail to assess rapid structural changes in the EU’s energy system.</w:t>
      </w:r>
    </w:p>
    <w:p w14:paraId="7BE885B5" w14:textId="77777777" w:rsidR="00A71942" w:rsidRDefault="00A71942" w:rsidP="00E276C8">
      <w:pPr>
        <w:pStyle w:val="ListParagraph"/>
        <w:numPr>
          <w:ilvl w:val="1"/>
          <w:numId w:val="42"/>
        </w:numPr>
        <w:spacing w:after="120" w:line="240" w:lineRule="auto"/>
        <w:rPr>
          <w:rFonts w:ascii="Arial" w:eastAsia="Arial" w:hAnsi="Arial"/>
          <w:noProof/>
          <w:color w:val="00002E"/>
          <w:sz w:val="27"/>
          <w:szCs w:val="27"/>
        </w:rPr>
      </w:pPr>
      <w:r>
        <w:rPr>
          <w:noProof/>
        </w:rPr>
        <w:t>How? By combining a yearly simulation of demand-side investment with hourly resolution for the power sector.</w:t>
      </w:r>
    </w:p>
    <w:p w14:paraId="225E765A" w14:textId="05BC2182" w:rsidR="00A71942" w:rsidRDefault="00A71942" w:rsidP="00E276C8">
      <w:pPr>
        <w:pStyle w:val="ListParagraph"/>
        <w:numPr>
          <w:ilvl w:val="0"/>
          <w:numId w:val="42"/>
        </w:numPr>
        <w:spacing w:after="120" w:line="240" w:lineRule="auto"/>
        <w:rPr>
          <w:rFonts w:ascii="Arial" w:eastAsia="Arial" w:hAnsi="Arial"/>
          <w:noProof/>
          <w:color w:val="00002E"/>
          <w:sz w:val="27"/>
          <w:szCs w:val="27"/>
        </w:rPr>
      </w:pPr>
      <w:r>
        <w:rPr>
          <w:noProof/>
        </w:rPr>
        <w:t xml:space="preserve">Accurately represents the age and performance of installed energy </w:t>
      </w:r>
      <w:r w:rsidR="00F514AE">
        <w:rPr>
          <w:noProof/>
        </w:rPr>
        <w:t>equipment and</w:t>
      </w:r>
      <w:r>
        <w:rPr>
          <w:noProof/>
        </w:rPr>
        <w:t xml:space="preserve"> enables the assessment of stranded asset risks and retrofitting or retirement strategies.</w:t>
      </w:r>
    </w:p>
    <w:p w14:paraId="1CEF2F71" w14:textId="77777777" w:rsidR="00A71942" w:rsidRDefault="00A71942" w:rsidP="00E276C8">
      <w:pPr>
        <w:pStyle w:val="ListParagraph"/>
        <w:numPr>
          <w:ilvl w:val="1"/>
          <w:numId w:val="42"/>
        </w:numPr>
        <w:spacing w:after="120" w:line="240" w:lineRule="auto"/>
        <w:rPr>
          <w:rFonts w:ascii="Arial" w:eastAsia="Arial" w:hAnsi="Arial"/>
          <w:noProof/>
          <w:color w:val="00002E"/>
          <w:sz w:val="27"/>
          <w:szCs w:val="27"/>
        </w:rPr>
      </w:pPr>
      <w:r>
        <w:rPr>
          <w:noProof/>
        </w:rPr>
        <w:t>How? By tracking yearly equipment stock vintages for energy supply and demand.</w:t>
      </w:r>
    </w:p>
    <w:p w14:paraId="1EFBC63D" w14:textId="77777777" w:rsidR="00A71942" w:rsidRDefault="00A71942" w:rsidP="00E276C8">
      <w:pPr>
        <w:spacing w:line="240" w:lineRule="auto"/>
        <w:rPr>
          <w:noProof/>
        </w:rPr>
      </w:pPr>
      <w:r>
        <w:rPr>
          <w:noProof/>
        </w:rPr>
        <w:t>These features enable the joint analysis of technology-focused policies as well as policies addressing the decision-making of energy users. Model outputs are provided in annual time steps for 2000-2050; historical conditions (2000-2021) are consistent with Eurostat and based on the Joint Research Centre’s Integrated Database of the European Energy System (JRC-IDEES), which is publicly available and maintained in parallel to the POTEnCIA model.</w:t>
      </w:r>
    </w:p>
    <w:p w14:paraId="3BF0D0E0" w14:textId="77777777" w:rsidR="00A71942" w:rsidRDefault="00A71942" w:rsidP="00E276C8">
      <w:pPr>
        <w:spacing w:line="240" w:lineRule="auto"/>
        <w:rPr>
          <w:noProof/>
        </w:rPr>
      </w:pPr>
      <w:r w:rsidRPr="6D08CD1D">
        <w:rPr>
          <w:noProof/>
        </w:rPr>
        <w:t>The core modelling structure of POTEnCIA (detailed in a scientific article</w:t>
      </w:r>
      <w:r w:rsidRPr="1FC5E705">
        <w:rPr>
          <w:noProof/>
          <w:vertAlign w:val="superscript"/>
        </w:rPr>
        <w:footnoteReference w:id="38"/>
      </w:r>
      <w:r w:rsidRPr="6D08CD1D">
        <w:rPr>
          <w:noProof/>
        </w:rPr>
        <w:t>) follows a recursive dynamic partial equilibrium approach, which successively optimises demand and supply across energy carriers in each year. This approach assumes that each demand sector requires a certain energy service to meet foreseen activity levels in a given year (such as tonnes of steel produced or mobility needs). This energy service is then met by optimising both the stock and use of energy-related equipment in each sector of energy supply and demand.</w:t>
      </w:r>
    </w:p>
    <w:p w14:paraId="2089FC7D" w14:textId="77777777" w:rsidR="00A71942" w:rsidRPr="00A37542" w:rsidRDefault="00A71942" w:rsidP="00E276C8">
      <w:pPr>
        <w:pStyle w:val="Figuretitle"/>
        <w:keepNext/>
        <w:spacing w:after="120" w:line="240" w:lineRule="auto"/>
        <w:ind w:left="709"/>
        <w:rPr>
          <w:noProof/>
        </w:rPr>
      </w:pPr>
      <w:bookmarkStart w:id="342" w:name="_Toc232609911"/>
      <w:bookmarkStart w:id="343" w:name="_Toc232672644"/>
      <w:bookmarkStart w:id="344" w:name="_Toc234931461"/>
      <w:bookmarkStart w:id="345" w:name="_Toc232758484"/>
      <w:r>
        <w:rPr>
          <w:noProof/>
        </w:rPr>
        <w:t>POTEnCIA model structure</w:t>
      </w:r>
      <w:bookmarkEnd w:id="342"/>
      <w:bookmarkEnd w:id="343"/>
      <w:bookmarkEnd w:id="344"/>
      <w:bookmarkEnd w:id="345"/>
    </w:p>
    <w:p w14:paraId="68A81C74" w14:textId="77777777" w:rsidR="00A71942" w:rsidRDefault="00A71942" w:rsidP="00E276C8">
      <w:pPr>
        <w:spacing w:line="240" w:lineRule="auto"/>
        <w:jc w:val="center"/>
        <w:rPr>
          <w:noProof/>
        </w:rPr>
      </w:pPr>
      <w:r>
        <w:rPr>
          <w:noProof/>
          <w:lang w:eastAsia="en-GB"/>
        </w:rPr>
        <w:drawing>
          <wp:inline distT="0" distB="0" distL="0" distR="0" wp14:anchorId="270FF143" wp14:editId="2A4683D9">
            <wp:extent cx="5318530" cy="3743325"/>
            <wp:effectExtent l="0" t="0" r="0" b="0"/>
            <wp:docPr id="554227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7415" name="Picture 554227415"/>
                    <pic:cNvPicPr/>
                  </pic:nvPicPr>
                  <pic:blipFill>
                    <a:blip r:embed="rId38">
                      <a:extLst>
                        <a:ext uri="{28A0092B-C50C-407E-A947-70E740481C1C}">
                          <a14:useLocalDpi xmlns:a14="http://schemas.microsoft.com/office/drawing/2010/main"/>
                        </a:ext>
                      </a:extLst>
                    </a:blip>
                    <a:stretch>
                      <a:fillRect/>
                    </a:stretch>
                  </pic:blipFill>
                  <pic:spPr>
                    <a:xfrm>
                      <a:off x="0" y="0"/>
                      <a:ext cx="5318530" cy="3743325"/>
                    </a:xfrm>
                    <a:prstGeom prst="rect">
                      <a:avLst/>
                    </a:prstGeom>
                  </pic:spPr>
                </pic:pic>
              </a:graphicData>
            </a:graphic>
          </wp:inline>
        </w:drawing>
      </w:r>
    </w:p>
    <w:p w14:paraId="14586E34" w14:textId="77777777" w:rsidR="00A71942" w:rsidRPr="00546F3A" w:rsidRDefault="00A71942" w:rsidP="00E276C8">
      <w:pPr>
        <w:pStyle w:val="Heading2COM"/>
        <w:spacing w:before="120" w:after="120" w:line="240" w:lineRule="auto"/>
        <w:outlineLvl w:val="2"/>
        <w15:collapsed w:val="0"/>
        <w:rPr>
          <w:noProof/>
        </w:rPr>
      </w:pPr>
      <w:bookmarkStart w:id="346" w:name="_Toc152681120"/>
      <w:bookmarkStart w:id="347" w:name="_Toc157692509"/>
      <w:bookmarkStart w:id="348" w:name="_Toc232591576"/>
      <w:bookmarkStart w:id="349" w:name="_Toc232611482"/>
      <w:bookmarkStart w:id="350" w:name="_Toc232758163"/>
      <w:r>
        <w:rPr>
          <w:noProof/>
        </w:rPr>
        <w:t>Key Assumptions</w:t>
      </w:r>
      <w:bookmarkStart w:id="351" w:name="_Ref143085277"/>
      <w:bookmarkEnd w:id="346"/>
      <w:bookmarkEnd w:id="347"/>
      <w:bookmarkEnd w:id="348"/>
      <w:bookmarkEnd w:id="349"/>
      <w:bookmarkEnd w:id="350"/>
    </w:p>
    <w:p w14:paraId="1F886F20" w14:textId="77777777" w:rsidR="00A71942" w:rsidRPr="00546F3A" w:rsidRDefault="00A71942" w:rsidP="00E276C8">
      <w:pPr>
        <w:pStyle w:val="Heading3COM"/>
        <w:spacing w:before="120" w:after="120" w:line="240" w:lineRule="auto"/>
        <w:outlineLvl w:val="3"/>
        <w:rPr>
          <w:noProof/>
        </w:rPr>
      </w:pPr>
      <w:bookmarkStart w:id="352" w:name="_Toc232591577"/>
      <w:bookmarkStart w:id="353" w:name="_Toc232611483"/>
      <w:bookmarkStart w:id="354" w:name="_Toc232758164"/>
      <w:bookmarkEnd w:id="351"/>
      <w:r>
        <w:rPr>
          <w:noProof/>
        </w:rPr>
        <w:t>Economic Assumptions</w:t>
      </w:r>
      <w:bookmarkEnd w:id="352"/>
      <w:bookmarkEnd w:id="353"/>
      <w:bookmarkEnd w:id="354"/>
    </w:p>
    <w:p w14:paraId="501BD4DF" w14:textId="77777777" w:rsidR="00A71942" w:rsidRPr="0097154D" w:rsidRDefault="00A71942" w:rsidP="00E276C8">
      <w:pPr>
        <w:spacing w:line="240" w:lineRule="auto"/>
        <w:rPr>
          <w:noProof/>
          <w:spacing w:val="-8"/>
          <w:lang w:val="en-IE"/>
        </w:rPr>
      </w:pPr>
      <w:r w:rsidRPr="0097154D">
        <w:rPr>
          <w:noProof/>
          <w:spacing w:val="-8"/>
          <w:lang w:val="en-IE"/>
        </w:rPr>
        <w:t xml:space="preserve">The modelling work is based on socio-economic assumptions describing the expected evolution of the European society. Long-term projections on population dynamics and economic activity form part of the input to the model and are used to estimate transport activity, particularly relevant for this impact assessment. </w:t>
      </w:r>
    </w:p>
    <w:p w14:paraId="56C25C55" w14:textId="77777777" w:rsidR="00A71942" w:rsidRPr="0097154D" w:rsidRDefault="00A71942" w:rsidP="00E276C8">
      <w:pPr>
        <w:spacing w:line="240" w:lineRule="auto"/>
        <w:rPr>
          <w:noProof/>
          <w:spacing w:val="-8"/>
        </w:rPr>
      </w:pPr>
      <w:r w:rsidRPr="1FC5E705">
        <w:rPr>
          <w:noProof/>
          <w:spacing w:val="-8"/>
        </w:rPr>
        <w:t>Population projections rely on Eurostat’s long-term projections (EUROPOP2023)</w:t>
      </w:r>
      <w:r w:rsidRPr="1FC5E705">
        <w:rPr>
          <w:rStyle w:val="FootnoteReference"/>
          <w:noProof/>
        </w:rPr>
        <w:footnoteReference w:id="39"/>
      </w:r>
      <w:r w:rsidRPr="1FC5E705">
        <w:rPr>
          <w:noProof/>
          <w:spacing w:val="-8"/>
        </w:rPr>
        <w:t>. The EU population is projected to remain broadly stable over the projection period to 2050. However, there is a noticeable trend towards the ageing of the population, with a 10% decline in the working-age population aged 20 to 64 between 2025 and 2050 and an increase in the old-age dependency ratio from 38% to 55.2%.</w:t>
      </w:r>
    </w:p>
    <w:p w14:paraId="795D033D" w14:textId="77777777" w:rsidR="00A71942" w:rsidRPr="00FD183F" w:rsidRDefault="00A71942" w:rsidP="00E276C8">
      <w:pPr>
        <w:pStyle w:val="Figuretitle"/>
        <w:keepNext/>
        <w:spacing w:after="120" w:line="240" w:lineRule="auto"/>
        <w:ind w:left="709"/>
        <w:rPr>
          <w:b/>
          <w:bCs/>
          <w:noProof/>
          <w:sz w:val="20"/>
          <w:szCs w:val="20"/>
          <w:lang w:val="en-IE"/>
        </w:rPr>
      </w:pPr>
      <w:bookmarkStart w:id="355" w:name="_Toc222405637"/>
      <w:bookmarkStart w:id="356" w:name="_Toc232609912"/>
      <w:bookmarkStart w:id="357" w:name="_Toc232672645"/>
      <w:bookmarkStart w:id="358" w:name="_Toc234931462"/>
      <w:bookmarkStart w:id="359" w:name="_Toc232758485"/>
      <w:r>
        <w:rPr>
          <w:noProof/>
        </w:rPr>
        <w:t>Population assumptions</w:t>
      </w:r>
      <w:bookmarkEnd w:id="355"/>
      <w:bookmarkEnd w:id="356"/>
      <w:bookmarkEnd w:id="357"/>
      <w:bookmarkEnd w:id="358"/>
      <w:bookmarkEnd w:id="359"/>
    </w:p>
    <w:p w14:paraId="00523D9D" w14:textId="77777777" w:rsidR="00A71942" w:rsidRPr="00496B5F" w:rsidRDefault="00A71942" w:rsidP="00975687">
      <w:pPr>
        <w:keepNext/>
        <w:keepLines/>
        <w:spacing w:line="240" w:lineRule="auto"/>
        <w:jc w:val="center"/>
        <w:rPr>
          <w:rFonts w:ascii="Roboto" w:hAnsi="Roboto"/>
          <w:i/>
          <w:iCs/>
          <w:noProof/>
          <w:sz w:val="22"/>
          <w:szCs w:val="22"/>
          <w:lang w:val="fr-BE"/>
        </w:rPr>
      </w:pPr>
      <w:r>
        <w:rPr>
          <w:noProof/>
          <w:lang w:eastAsia="en-GB"/>
        </w:rPr>
        <w:drawing>
          <wp:inline distT="0" distB="0" distL="0" distR="0" wp14:anchorId="1235E25E" wp14:editId="06CA906F">
            <wp:extent cx="5400675" cy="2876550"/>
            <wp:effectExtent l="0" t="0" r="9525" b="0"/>
            <wp:docPr id="11135854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00675" cy="2876550"/>
                    </a:xfrm>
                    <a:prstGeom prst="rect">
                      <a:avLst/>
                    </a:prstGeom>
                    <a:noFill/>
                    <a:ln>
                      <a:noFill/>
                    </a:ln>
                  </pic:spPr>
                </pic:pic>
              </a:graphicData>
            </a:graphic>
          </wp:inline>
        </w:drawing>
      </w:r>
    </w:p>
    <w:p w14:paraId="6E126CA6" w14:textId="77777777" w:rsidR="00A71942" w:rsidRPr="002A0AE5" w:rsidRDefault="00A71942" w:rsidP="00E276C8">
      <w:pPr>
        <w:pStyle w:val="CT-SOURCE"/>
        <w:spacing w:after="120" w:line="240" w:lineRule="auto"/>
        <w:jc w:val="left"/>
        <w:rPr>
          <w:rFonts w:ascii="Times New Roman" w:hAnsi="Times New Roman" w:cs="Times New Roman"/>
          <w:i w:val="0"/>
          <w:iCs w:val="0"/>
          <w:noProof/>
          <w:sz w:val="20"/>
          <w:szCs w:val="20"/>
        </w:rPr>
      </w:pPr>
      <w:r w:rsidRPr="1FC5E705">
        <w:rPr>
          <w:rFonts w:ascii="Times New Roman" w:hAnsi="Times New Roman" w:cs="Times New Roman"/>
          <w:noProof/>
          <w:sz w:val="20"/>
          <w:szCs w:val="20"/>
        </w:rPr>
        <w:t>Source: Eurostat</w:t>
      </w:r>
    </w:p>
    <w:p w14:paraId="53DF1A7C" w14:textId="6A4643A1" w:rsidR="00A71942" w:rsidRPr="0097154D" w:rsidRDefault="00A71942" w:rsidP="00E276C8">
      <w:pPr>
        <w:spacing w:line="240" w:lineRule="auto"/>
        <w:rPr>
          <w:noProof/>
          <w:spacing w:val="-8"/>
        </w:rPr>
      </w:pPr>
      <w:r w:rsidRPr="1FC5E705">
        <w:rPr>
          <w:noProof/>
          <w:spacing w:val="-8"/>
        </w:rPr>
        <w:t>Economic projections have taken place in an unusually unstable context in the past few years, as the EU and world economies were hit first by the COVID pandemic and second by Russia’s war of aggression against Ukraine, with the ensuing sharp increase in international energy prices. The GDP projections for 2025 rely on the Spring Forecast</w:t>
      </w:r>
      <w:r w:rsidRPr="1FC5E705">
        <w:rPr>
          <w:rStyle w:val="FootnoteReference"/>
          <w:noProof/>
        </w:rPr>
        <w:footnoteReference w:id="40"/>
      </w:r>
      <w:r w:rsidRPr="1FC5E705">
        <w:rPr>
          <w:noProof/>
          <w:spacing w:val="-8"/>
        </w:rPr>
        <w:t xml:space="preserve"> of the Directorate General for Economic and Financial Affairs (DG ECFIN). From 2025 onwards, the GDP growth projections converge to those prepared by DG ECFIN for the 2024 Ageing Report</w:t>
      </w:r>
      <w:r w:rsidRPr="1FC5E705">
        <w:rPr>
          <w:rStyle w:val="FootnoteReference"/>
          <w:noProof/>
        </w:rPr>
        <w:footnoteReference w:id="41"/>
      </w:r>
      <w:r w:rsidRPr="1FC5E705">
        <w:rPr>
          <w:noProof/>
          <w:spacing w:val="-8"/>
        </w:rPr>
        <w:t>. At EU level, real GDP is projected to be 23% higher in 2030 than in 2015, 39% higher in 2040, and 60% higher in 2050 compared to 2015</w:t>
      </w:r>
      <w:r w:rsidR="00F514AE">
        <w:rPr>
          <w:noProof/>
          <w:spacing w:val="-8"/>
        </w:rPr>
        <w:t>.</w:t>
      </w:r>
    </w:p>
    <w:p w14:paraId="3107EAC7" w14:textId="77777777" w:rsidR="00A71942" w:rsidRPr="0097154D" w:rsidRDefault="00A71942" w:rsidP="00E276C8">
      <w:pPr>
        <w:spacing w:line="240" w:lineRule="auto"/>
        <w:rPr>
          <w:noProof/>
          <w:spacing w:val="-8"/>
        </w:rPr>
      </w:pPr>
      <w:r w:rsidRPr="1FC5E705">
        <w:rPr>
          <w:noProof/>
          <w:spacing w:val="-8"/>
        </w:rPr>
        <w:t xml:space="preserve">Projections on the sectoral composition of GDP were prepared using the GEM-E3 computable general economic model. It is projected that the EU economy will continue to become increasingly services-oriented, with the sector’s share rising from close to 74% of total gross value added (GVA) in 2016-2020 to around 75% in 2040 and 76% in 2050. </w:t>
      </w:r>
    </w:p>
    <w:p w14:paraId="17C6A512" w14:textId="77777777" w:rsidR="00A71942" w:rsidRPr="00FD183F" w:rsidRDefault="00A71942" w:rsidP="00E276C8">
      <w:pPr>
        <w:pStyle w:val="Figuretitle"/>
        <w:keepNext/>
        <w:spacing w:after="120" w:line="240" w:lineRule="auto"/>
        <w:ind w:left="709"/>
        <w:rPr>
          <w:b/>
          <w:bCs/>
          <w:noProof/>
          <w:sz w:val="20"/>
          <w:szCs w:val="20"/>
          <w:lang w:val="en-IE"/>
        </w:rPr>
      </w:pPr>
      <w:bookmarkStart w:id="360" w:name="_Toc222405638"/>
      <w:bookmarkStart w:id="361" w:name="_Toc232609913"/>
      <w:bookmarkStart w:id="362" w:name="_Toc232672646"/>
      <w:bookmarkStart w:id="363" w:name="_Toc234931463"/>
      <w:bookmarkStart w:id="364" w:name="_Toc232758486"/>
      <w:r>
        <w:rPr>
          <w:noProof/>
        </w:rPr>
        <w:t>EU GDP (2015 = 100) and GDP growth (%)</w:t>
      </w:r>
      <w:bookmarkEnd w:id="360"/>
      <w:bookmarkEnd w:id="361"/>
      <w:bookmarkEnd w:id="362"/>
      <w:bookmarkEnd w:id="363"/>
      <w:bookmarkEnd w:id="364"/>
    </w:p>
    <w:p w14:paraId="3AB74FAC" w14:textId="77777777" w:rsidR="00A71942" w:rsidRDefault="00A71942" w:rsidP="00975687">
      <w:pPr>
        <w:pStyle w:val="CT-SOURCE"/>
        <w:spacing w:after="120" w:line="240" w:lineRule="auto"/>
        <w:jc w:val="center"/>
        <w:rPr>
          <w:rFonts w:ascii="Times New Roman" w:hAnsi="Times New Roman" w:cs="Times New Roman"/>
          <w:noProof/>
          <w:sz w:val="20"/>
          <w:szCs w:val="20"/>
        </w:rPr>
      </w:pPr>
      <w:r>
        <w:rPr>
          <w:noProof/>
          <w:lang w:val="en-GB" w:eastAsia="en-GB"/>
        </w:rPr>
        <w:drawing>
          <wp:inline distT="0" distB="0" distL="0" distR="0" wp14:anchorId="219BCEC1" wp14:editId="3DD99C2B">
            <wp:extent cx="5038725" cy="2876550"/>
            <wp:effectExtent l="0" t="0" r="9525" b="0"/>
            <wp:docPr id="13449169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38725" cy="2876550"/>
                    </a:xfrm>
                    <a:prstGeom prst="rect">
                      <a:avLst/>
                    </a:prstGeom>
                    <a:noFill/>
                    <a:ln>
                      <a:noFill/>
                    </a:ln>
                  </pic:spPr>
                </pic:pic>
              </a:graphicData>
            </a:graphic>
          </wp:inline>
        </w:drawing>
      </w:r>
    </w:p>
    <w:p w14:paraId="257852CD" w14:textId="77777777" w:rsidR="00A71942" w:rsidRDefault="00A71942" w:rsidP="00E276C8">
      <w:pPr>
        <w:pStyle w:val="CT-SOURCE"/>
        <w:spacing w:after="120" w:line="240" w:lineRule="auto"/>
        <w:jc w:val="left"/>
        <w:rPr>
          <w:rFonts w:ascii="Times New Roman" w:hAnsi="Times New Roman" w:cs="Times New Roman"/>
          <w:noProof/>
          <w:sz w:val="20"/>
          <w:szCs w:val="20"/>
        </w:rPr>
      </w:pPr>
      <w:r w:rsidRPr="1FC5E705">
        <w:rPr>
          <w:rFonts w:ascii="Times New Roman" w:hAnsi="Times New Roman" w:cs="Times New Roman"/>
          <w:noProof/>
          <w:sz w:val="20"/>
          <w:szCs w:val="20"/>
        </w:rPr>
        <w:t>Source: DG ECFIN</w:t>
      </w:r>
    </w:p>
    <w:p w14:paraId="140D49BC" w14:textId="77777777" w:rsidR="00A71942" w:rsidRPr="002E1F72" w:rsidRDefault="00A71942" w:rsidP="00E276C8">
      <w:pPr>
        <w:pStyle w:val="Heading3COM"/>
        <w:spacing w:before="120" w:after="120" w:line="240" w:lineRule="auto"/>
        <w:outlineLvl w:val="3"/>
        <w:rPr>
          <w:noProof/>
        </w:rPr>
      </w:pPr>
      <w:bookmarkStart w:id="365" w:name="_Toc232591578"/>
      <w:bookmarkStart w:id="366" w:name="_Toc232611484"/>
      <w:bookmarkStart w:id="367" w:name="_Toc232758165"/>
      <w:r>
        <w:rPr>
          <w:noProof/>
        </w:rPr>
        <w:t>International energy prices assumptions</w:t>
      </w:r>
      <w:bookmarkEnd w:id="365"/>
      <w:bookmarkEnd w:id="366"/>
      <w:bookmarkEnd w:id="367"/>
      <w:r>
        <w:rPr>
          <w:noProof/>
        </w:rPr>
        <w:t xml:space="preserve"> </w:t>
      </w:r>
    </w:p>
    <w:p w14:paraId="5CD25ACE" w14:textId="77777777" w:rsidR="00A71942" w:rsidRPr="0097154D" w:rsidRDefault="00A71942" w:rsidP="00E276C8">
      <w:pPr>
        <w:spacing w:line="240" w:lineRule="auto"/>
        <w:rPr>
          <w:noProof/>
          <w:spacing w:val="-8"/>
        </w:rPr>
      </w:pPr>
      <w:r w:rsidRPr="1FC5E705">
        <w:rPr>
          <w:noProof/>
          <w:spacing w:val="-8"/>
        </w:rPr>
        <w:t xml:space="preserve">The assumptions for fuel prices trajectories take into account the market conditions for 2025 but there are large uncertainties for the long term. Main sources for post-2025 trajectories are the projections from the POLES model in the Global Energy and Climate Outlook 2023 and the World Energy Outlook from the International Energy Agency. The table below shows the oil prices assumptions of the baseline used in this impact assessment. </w:t>
      </w:r>
    </w:p>
    <w:p w14:paraId="0CF282CE" w14:textId="77777777" w:rsidR="00A71942" w:rsidRDefault="00A71942" w:rsidP="00E276C8">
      <w:pPr>
        <w:pStyle w:val="Tabletitle"/>
        <w:keepNext/>
        <w:spacing w:after="120" w:line="240" w:lineRule="auto"/>
        <w:ind w:left="720"/>
        <w:rPr>
          <w:b/>
          <w:bCs/>
          <w:noProof/>
          <w:sz w:val="20"/>
          <w:szCs w:val="20"/>
          <w:lang w:val="en-IE"/>
        </w:rPr>
      </w:pPr>
      <w:bookmarkStart w:id="368" w:name="_Toc222405590"/>
      <w:bookmarkStart w:id="369" w:name="_Toc232608936"/>
      <w:bookmarkStart w:id="370" w:name="_Toc232611546"/>
      <w:bookmarkStart w:id="371" w:name="_Toc232672606"/>
      <w:bookmarkStart w:id="372" w:name="_Toc232758458"/>
      <w:r>
        <w:rPr>
          <w:noProof/>
        </w:rPr>
        <w:t>Fossil fuel price assumptions</w:t>
      </w:r>
      <w:bookmarkEnd w:id="368"/>
      <w:bookmarkEnd w:id="369"/>
      <w:bookmarkEnd w:id="370"/>
      <w:bookmarkEnd w:id="371"/>
      <w:bookmarkEnd w:id="372"/>
    </w:p>
    <w:tbl>
      <w:tblPr>
        <w:tblStyle w:val="EurolookClassicPurple"/>
        <w:tblpPr w:leftFromText="180" w:rightFromText="180" w:vertAnchor="text" w:horzAnchor="page" w:tblpXSpec="center" w:tblpY="46"/>
        <w:tblW w:w="266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96"/>
        <w:gridCol w:w="1035"/>
        <w:gridCol w:w="1719"/>
        <w:gridCol w:w="1127"/>
      </w:tblGrid>
      <w:tr w:rsidR="00A71942" w:rsidRPr="00B305E5" w14:paraId="5F55EB0A" w14:textId="77777777" w:rsidTr="1FC5E70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1" w:type="pct"/>
            <w:shd w:val="clear" w:color="auto" w:fill="auto"/>
            <w:noWrap/>
          </w:tcPr>
          <w:p w14:paraId="4E90D6E0"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EUR2023</w:t>
            </w:r>
          </w:p>
        </w:tc>
        <w:tc>
          <w:tcPr>
            <w:tcW w:w="1005" w:type="pct"/>
            <w:shd w:val="clear" w:color="auto" w:fill="auto"/>
            <w:noWrap/>
          </w:tcPr>
          <w:p w14:paraId="25903880" w14:textId="77777777" w:rsidR="00A71942" w:rsidRPr="008F4162" w:rsidRDefault="00A71942" w:rsidP="00E276C8">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Oil price</w:t>
            </w:r>
          </w:p>
        </w:tc>
        <w:tc>
          <w:tcPr>
            <w:tcW w:w="1742" w:type="pct"/>
            <w:shd w:val="clear" w:color="auto" w:fill="auto"/>
            <w:noWrap/>
          </w:tcPr>
          <w:p w14:paraId="28D45A46" w14:textId="77777777" w:rsidR="00A71942" w:rsidRPr="008F4162" w:rsidRDefault="00A71942" w:rsidP="00E276C8">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Gas price (NCV)</w:t>
            </w:r>
          </w:p>
        </w:tc>
        <w:tc>
          <w:tcPr>
            <w:tcW w:w="1142" w:type="pct"/>
            <w:shd w:val="clear" w:color="auto" w:fill="auto"/>
            <w:noWrap/>
          </w:tcPr>
          <w:p w14:paraId="7597E5C0" w14:textId="77777777" w:rsidR="00A71942" w:rsidRPr="008F4162" w:rsidRDefault="00A71942" w:rsidP="00E276C8">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Coal price</w:t>
            </w:r>
          </w:p>
        </w:tc>
      </w:tr>
      <w:tr w:rsidR="00A71942" w:rsidRPr="00B305E5" w14:paraId="742E0A8D" w14:textId="77777777" w:rsidTr="1FC5E705">
        <w:trPr>
          <w:trHeight w:val="300"/>
        </w:trPr>
        <w:tc>
          <w:tcPr>
            <w:cnfStyle w:val="001000000000" w:firstRow="0" w:lastRow="0" w:firstColumn="1" w:lastColumn="0" w:oddVBand="0" w:evenVBand="0" w:oddHBand="0" w:evenHBand="0" w:firstRowFirstColumn="0" w:firstRowLastColumn="0" w:lastRowFirstColumn="0" w:lastRowLastColumn="0"/>
            <w:tcW w:w="1111" w:type="pct"/>
            <w:noWrap/>
            <w:hideMark/>
          </w:tcPr>
          <w:p w14:paraId="7E26B4DF"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 </w:t>
            </w:r>
          </w:p>
        </w:tc>
        <w:tc>
          <w:tcPr>
            <w:tcW w:w="1005" w:type="pct"/>
            <w:noWrap/>
            <w:hideMark/>
          </w:tcPr>
          <w:p w14:paraId="2DF5D1D7" w14:textId="03744F80" w:rsidR="00A71942" w:rsidRPr="008F4162" w:rsidRDefault="00AF4C40"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Pr>
                <w:rFonts w:eastAsia="Times New Roman"/>
                <w:noProof/>
                <w:color w:val="000000"/>
                <w:sz w:val="22"/>
                <w:szCs w:val="22"/>
              </w:rPr>
              <w:t>EUR</w:t>
            </w:r>
            <w:r w:rsidR="00A71942" w:rsidRPr="1FC5E705">
              <w:rPr>
                <w:rFonts w:eastAsia="Times New Roman"/>
                <w:noProof/>
                <w:color w:val="000000"/>
                <w:sz w:val="22"/>
                <w:szCs w:val="22"/>
              </w:rPr>
              <w:t>/boe</w:t>
            </w:r>
          </w:p>
        </w:tc>
        <w:tc>
          <w:tcPr>
            <w:tcW w:w="1742" w:type="pct"/>
            <w:noWrap/>
            <w:hideMark/>
          </w:tcPr>
          <w:p w14:paraId="4A7FDE47" w14:textId="201A847E" w:rsidR="00A71942" w:rsidRPr="008F4162" w:rsidRDefault="00AF4C40"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Pr>
                <w:rFonts w:eastAsia="Times New Roman"/>
                <w:noProof/>
                <w:color w:val="000000"/>
                <w:sz w:val="22"/>
                <w:szCs w:val="22"/>
              </w:rPr>
              <w:t>EUR</w:t>
            </w:r>
            <w:r w:rsidR="00A71942" w:rsidRPr="1FC5E705">
              <w:rPr>
                <w:rFonts w:eastAsia="Times New Roman"/>
                <w:noProof/>
                <w:color w:val="000000"/>
                <w:sz w:val="22"/>
                <w:szCs w:val="22"/>
              </w:rPr>
              <w:t>/toe</w:t>
            </w:r>
          </w:p>
        </w:tc>
        <w:tc>
          <w:tcPr>
            <w:tcW w:w="1142" w:type="pct"/>
            <w:noWrap/>
            <w:hideMark/>
          </w:tcPr>
          <w:p w14:paraId="267F13F9" w14:textId="3459A8F2" w:rsidR="00A71942" w:rsidRPr="008F4162" w:rsidRDefault="00AF4C40"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Pr>
                <w:rFonts w:eastAsia="Times New Roman"/>
                <w:noProof/>
                <w:color w:val="000000"/>
                <w:sz w:val="22"/>
                <w:szCs w:val="22"/>
              </w:rPr>
              <w:t>EUR</w:t>
            </w:r>
            <w:r w:rsidR="00A71942" w:rsidRPr="1FC5E705">
              <w:rPr>
                <w:rFonts w:eastAsia="Times New Roman"/>
                <w:noProof/>
                <w:color w:val="000000"/>
                <w:sz w:val="22"/>
                <w:szCs w:val="22"/>
              </w:rPr>
              <w:t>/toe</w:t>
            </w:r>
          </w:p>
        </w:tc>
      </w:tr>
      <w:tr w:rsidR="00A71942" w:rsidRPr="00B305E5" w14:paraId="5A6A42C8" w14:textId="77777777" w:rsidTr="1FC5E70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1" w:type="pct"/>
            <w:shd w:val="clear" w:color="auto" w:fill="auto"/>
            <w:noWrap/>
            <w:hideMark/>
          </w:tcPr>
          <w:p w14:paraId="2557ADEC"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2025</w:t>
            </w:r>
          </w:p>
        </w:tc>
        <w:tc>
          <w:tcPr>
            <w:tcW w:w="1005" w:type="pct"/>
            <w:shd w:val="clear" w:color="auto" w:fill="auto"/>
            <w:noWrap/>
            <w:hideMark/>
          </w:tcPr>
          <w:p w14:paraId="2FB80363"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76</w:t>
            </w:r>
          </w:p>
        </w:tc>
        <w:tc>
          <w:tcPr>
            <w:tcW w:w="1742" w:type="pct"/>
            <w:shd w:val="clear" w:color="auto" w:fill="auto"/>
            <w:noWrap/>
            <w:hideMark/>
          </w:tcPr>
          <w:p w14:paraId="4166BFD6"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394</w:t>
            </w:r>
          </w:p>
        </w:tc>
        <w:tc>
          <w:tcPr>
            <w:tcW w:w="1142" w:type="pct"/>
            <w:shd w:val="clear" w:color="auto" w:fill="auto"/>
            <w:noWrap/>
            <w:hideMark/>
          </w:tcPr>
          <w:p w14:paraId="1DDA4A8A"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172</w:t>
            </w:r>
          </w:p>
        </w:tc>
      </w:tr>
      <w:tr w:rsidR="00A71942" w:rsidRPr="00B305E5" w14:paraId="0F063C75" w14:textId="77777777" w:rsidTr="1FC5E705">
        <w:trPr>
          <w:trHeight w:val="300"/>
        </w:trPr>
        <w:tc>
          <w:tcPr>
            <w:cnfStyle w:val="001000000000" w:firstRow="0" w:lastRow="0" w:firstColumn="1" w:lastColumn="0" w:oddVBand="0" w:evenVBand="0" w:oddHBand="0" w:evenHBand="0" w:firstRowFirstColumn="0" w:firstRowLastColumn="0" w:lastRowFirstColumn="0" w:lastRowLastColumn="0"/>
            <w:tcW w:w="1111" w:type="pct"/>
            <w:noWrap/>
            <w:hideMark/>
          </w:tcPr>
          <w:p w14:paraId="3990EAC4"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2030</w:t>
            </w:r>
          </w:p>
        </w:tc>
        <w:tc>
          <w:tcPr>
            <w:tcW w:w="1005" w:type="pct"/>
            <w:noWrap/>
            <w:hideMark/>
          </w:tcPr>
          <w:p w14:paraId="078B4191"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85</w:t>
            </w:r>
          </w:p>
        </w:tc>
        <w:tc>
          <w:tcPr>
            <w:tcW w:w="1742" w:type="pct"/>
            <w:noWrap/>
            <w:hideMark/>
          </w:tcPr>
          <w:p w14:paraId="045EFB6C"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377</w:t>
            </w:r>
          </w:p>
        </w:tc>
        <w:tc>
          <w:tcPr>
            <w:tcW w:w="1142" w:type="pct"/>
            <w:noWrap/>
            <w:hideMark/>
          </w:tcPr>
          <w:p w14:paraId="4AE003FF"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169</w:t>
            </w:r>
          </w:p>
        </w:tc>
      </w:tr>
      <w:tr w:rsidR="00A71942" w:rsidRPr="00B305E5" w14:paraId="3817B0A5" w14:textId="77777777" w:rsidTr="1FC5E70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1" w:type="pct"/>
            <w:shd w:val="clear" w:color="auto" w:fill="auto"/>
            <w:noWrap/>
            <w:hideMark/>
          </w:tcPr>
          <w:p w14:paraId="7D4A20C7"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2035</w:t>
            </w:r>
          </w:p>
        </w:tc>
        <w:tc>
          <w:tcPr>
            <w:tcW w:w="1005" w:type="pct"/>
            <w:shd w:val="clear" w:color="auto" w:fill="auto"/>
            <w:noWrap/>
            <w:hideMark/>
          </w:tcPr>
          <w:p w14:paraId="1FD86F0D"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94</w:t>
            </w:r>
          </w:p>
        </w:tc>
        <w:tc>
          <w:tcPr>
            <w:tcW w:w="1742" w:type="pct"/>
            <w:shd w:val="clear" w:color="auto" w:fill="auto"/>
            <w:noWrap/>
            <w:hideMark/>
          </w:tcPr>
          <w:p w14:paraId="4D2909D5"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344</w:t>
            </w:r>
          </w:p>
        </w:tc>
        <w:tc>
          <w:tcPr>
            <w:tcW w:w="1142" w:type="pct"/>
            <w:shd w:val="clear" w:color="auto" w:fill="auto"/>
            <w:noWrap/>
            <w:hideMark/>
          </w:tcPr>
          <w:p w14:paraId="3A6B0E7D"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161</w:t>
            </w:r>
          </w:p>
        </w:tc>
      </w:tr>
      <w:tr w:rsidR="00A71942" w:rsidRPr="00B305E5" w14:paraId="1D91BA69" w14:textId="77777777" w:rsidTr="1FC5E705">
        <w:trPr>
          <w:trHeight w:val="300"/>
        </w:trPr>
        <w:tc>
          <w:tcPr>
            <w:cnfStyle w:val="001000000000" w:firstRow="0" w:lastRow="0" w:firstColumn="1" w:lastColumn="0" w:oddVBand="0" w:evenVBand="0" w:oddHBand="0" w:evenHBand="0" w:firstRowFirstColumn="0" w:firstRowLastColumn="0" w:lastRowFirstColumn="0" w:lastRowLastColumn="0"/>
            <w:tcW w:w="1111" w:type="pct"/>
            <w:noWrap/>
            <w:hideMark/>
          </w:tcPr>
          <w:p w14:paraId="7FE07E9B"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2040</w:t>
            </w:r>
          </w:p>
        </w:tc>
        <w:tc>
          <w:tcPr>
            <w:tcW w:w="1005" w:type="pct"/>
            <w:noWrap/>
            <w:hideMark/>
          </w:tcPr>
          <w:p w14:paraId="62660A40"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97</w:t>
            </w:r>
          </w:p>
        </w:tc>
        <w:tc>
          <w:tcPr>
            <w:tcW w:w="1742" w:type="pct"/>
            <w:noWrap/>
            <w:hideMark/>
          </w:tcPr>
          <w:p w14:paraId="7FA42285"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422</w:t>
            </w:r>
          </w:p>
        </w:tc>
        <w:tc>
          <w:tcPr>
            <w:tcW w:w="1142" w:type="pct"/>
            <w:noWrap/>
            <w:hideMark/>
          </w:tcPr>
          <w:p w14:paraId="56CD5063"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160</w:t>
            </w:r>
          </w:p>
        </w:tc>
      </w:tr>
      <w:tr w:rsidR="00A71942" w:rsidRPr="00B305E5" w14:paraId="03AD6759" w14:textId="77777777" w:rsidTr="1FC5E70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11" w:type="pct"/>
            <w:shd w:val="clear" w:color="auto" w:fill="auto"/>
            <w:noWrap/>
            <w:hideMark/>
          </w:tcPr>
          <w:p w14:paraId="7AA91CD1"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2045</w:t>
            </w:r>
          </w:p>
        </w:tc>
        <w:tc>
          <w:tcPr>
            <w:tcW w:w="1005" w:type="pct"/>
            <w:shd w:val="clear" w:color="auto" w:fill="auto"/>
            <w:noWrap/>
            <w:hideMark/>
          </w:tcPr>
          <w:p w14:paraId="44C3737D"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105</w:t>
            </w:r>
          </w:p>
        </w:tc>
        <w:tc>
          <w:tcPr>
            <w:tcW w:w="1742" w:type="pct"/>
            <w:shd w:val="clear" w:color="auto" w:fill="auto"/>
            <w:noWrap/>
            <w:hideMark/>
          </w:tcPr>
          <w:p w14:paraId="19325C1A"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412</w:t>
            </w:r>
          </w:p>
        </w:tc>
        <w:tc>
          <w:tcPr>
            <w:tcW w:w="1142" w:type="pct"/>
            <w:shd w:val="clear" w:color="auto" w:fill="auto"/>
            <w:noWrap/>
            <w:hideMark/>
          </w:tcPr>
          <w:p w14:paraId="3C04152E" w14:textId="77777777" w:rsidR="00A71942" w:rsidRPr="008F4162" w:rsidRDefault="00A71942" w:rsidP="00E276C8">
            <w:pPr>
              <w:spacing w:after="120"/>
              <w:jc w:val="center"/>
              <w:cnfStyle w:val="000000010000" w:firstRow="0" w:lastRow="0" w:firstColumn="0" w:lastColumn="0" w:oddVBand="0" w:evenVBand="0" w:oddHBand="0" w:evenHBand="1"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165</w:t>
            </w:r>
          </w:p>
        </w:tc>
      </w:tr>
      <w:tr w:rsidR="00A71942" w:rsidRPr="00B305E5" w14:paraId="3F6A24CF" w14:textId="77777777" w:rsidTr="1FC5E705">
        <w:trPr>
          <w:trHeight w:val="300"/>
        </w:trPr>
        <w:tc>
          <w:tcPr>
            <w:cnfStyle w:val="001000000000" w:firstRow="0" w:lastRow="0" w:firstColumn="1" w:lastColumn="0" w:oddVBand="0" w:evenVBand="0" w:oddHBand="0" w:evenHBand="0" w:firstRowFirstColumn="0" w:firstRowLastColumn="0" w:lastRowFirstColumn="0" w:lastRowLastColumn="0"/>
            <w:tcW w:w="1111" w:type="pct"/>
            <w:noWrap/>
            <w:hideMark/>
          </w:tcPr>
          <w:p w14:paraId="2E626872" w14:textId="77777777" w:rsidR="00A71942" w:rsidRPr="008F4162" w:rsidRDefault="00A71942" w:rsidP="00E276C8">
            <w:pPr>
              <w:spacing w:after="120"/>
              <w:rPr>
                <w:rFonts w:eastAsia="Times New Roman"/>
                <w:noProof/>
                <w:color w:val="000000"/>
                <w:sz w:val="22"/>
                <w:szCs w:val="22"/>
                <w:lang w:eastAsia="en-GB"/>
              </w:rPr>
            </w:pPr>
            <w:r w:rsidRPr="1FC5E705">
              <w:rPr>
                <w:rFonts w:eastAsia="Times New Roman"/>
                <w:noProof/>
                <w:color w:val="000000"/>
                <w:sz w:val="22"/>
                <w:szCs w:val="22"/>
              </w:rPr>
              <w:t>2050</w:t>
            </w:r>
          </w:p>
        </w:tc>
        <w:tc>
          <w:tcPr>
            <w:tcW w:w="1005" w:type="pct"/>
            <w:noWrap/>
            <w:hideMark/>
          </w:tcPr>
          <w:p w14:paraId="104DB037"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color w:val="000000"/>
                <w:sz w:val="22"/>
                <w:szCs w:val="22"/>
                <w:lang w:eastAsia="en-GB"/>
              </w:rPr>
            </w:pPr>
            <w:r w:rsidRPr="1FC5E705">
              <w:rPr>
                <w:rFonts w:eastAsia="Times New Roman"/>
                <w:noProof/>
                <w:color w:val="000000"/>
                <w:sz w:val="22"/>
                <w:szCs w:val="22"/>
              </w:rPr>
              <w:t>121</w:t>
            </w:r>
          </w:p>
        </w:tc>
        <w:tc>
          <w:tcPr>
            <w:tcW w:w="1742" w:type="pct"/>
            <w:noWrap/>
            <w:hideMark/>
          </w:tcPr>
          <w:p w14:paraId="0F6DD672"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403</w:t>
            </w:r>
          </w:p>
        </w:tc>
        <w:tc>
          <w:tcPr>
            <w:tcW w:w="1142" w:type="pct"/>
            <w:noWrap/>
            <w:hideMark/>
          </w:tcPr>
          <w:p w14:paraId="03C88A31" w14:textId="77777777" w:rsidR="00A71942" w:rsidRPr="008F4162" w:rsidRDefault="00A71942" w:rsidP="00E276C8">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sz w:val="22"/>
                <w:szCs w:val="22"/>
                <w:lang w:eastAsia="en-GB"/>
              </w:rPr>
            </w:pPr>
            <w:r w:rsidRPr="1FC5E705">
              <w:rPr>
                <w:rFonts w:eastAsia="Times New Roman"/>
                <w:noProof/>
                <w:sz w:val="22"/>
                <w:szCs w:val="22"/>
              </w:rPr>
              <w:t>166</w:t>
            </w:r>
          </w:p>
        </w:tc>
      </w:tr>
    </w:tbl>
    <w:p w14:paraId="6612FD14" w14:textId="77777777" w:rsidR="00A71942" w:rsidRDefault="00A71942" w:rsidP="00E276C8">
      <w:pPr>
        <w:tabs>
          <w:tab w:val="left" w:pos="1134"/>
        </w:tabs>
        <w:spacing w:line="240" w:lineRule="auto"/>
        <w:rPr>
          <w:b/>
          <w:bCs/>
          <w:noProof/>
          <w:sz w:val="20"/>
          <w:szCs w:val="20"/>
          <w:lang w:val="en-IE"/>
        </w:rPr>
      </w:pPr>
    </w:p>
    <w:p w14:paraId="0183C6FB" w14:textId="77777777" w:rsidR="00A71942" w:rsidRPr="00FD4D2B" w:rsidRDefault="00A71942" w:rsidP="00E276C8">
      <w:pPr>
        <w:pStyle w:val="Text1"/>
        <w:spacing w:line="240" w:lineRule="auto"/>
        <w:rPr>
          <w:noProof/>
        </w:rPr>
      </w:pPr>
    </w:p>
    <w:p w14:paraId="37752F13" w14:textId="77777777" w:rsidR="00A71942" w:rsidRDefault="00A71942" w:rsidP="00E276C8">
      <w:pPr>
        <w:spacing w:line="240" w:lineRule="auto"/>
        <w:rPr>
          <w:rFonts w:eastAsia="Times New Roman"/>
          <w:i/>
          <w:iCs/>
          <w:noProof/>
        </w:rPr>
      </w:pPr>
      <w:r>
        <w:rPr>
          <w:noProof/>
        </w:rPr>
        <w:br w:type="page"/>
      </w:r>
    </w:p>
    <w:p w14:paraId="259BC5F8" w14:textId="77777777" w:rsidR="00A71942" w:rsidRDefault="00A71942" w:rsidP="00E276C8">
      <w:pPr>
        <w:pStyle w:val="Heading3COM"/>
        <w:spacing w:before="120" w:after="120" w:line="240" w:lineRule="auto"/>
        <w:outlineLvl w:val="3"/>
        <w:rPr>
          <w:noProof/>
        </w:rPr>
      </w:pPr>
      <w:bookmarkStart w:id="373" w:name="_Toc232591579"/>
      <w:bookmarkStart w:id="374" w:name="_Toc232611485"/>
      <w:bookmarkStart w:id="375" w:name="_Toc232758166"/>
      <w:r>
        <w:rPr>
          <w:noProof/>
        </w:rPr>
        <w:t>Technology assumptions</w:t>
      </w:r>
      <w:bookmarkEnd w:id="373"/>
      <w:bookmarkEnd w:id="374"/>
      <w:bookmarkEnd w:id="375"/>
    </w:p>
    <w:p w14:paraId="640686C5" w14:textId="77777777" w:rsidR="00A71942" w:rsidRDefault="00A71942" w:rsidP="00E276C8">
      <w:pPr>
        <w:spacing w:line="240" w:lineRule="auto"/>
        <w:rPr>
          <w:noProof/>
        </w:rPr>
      </w:pPr>
      <w:r>
        <w:rPr>
          <w:noProof/>
        </w:rPr>
        <w:t xml:space="preserve">Modelling scenarios on the evolution of the energy system is highly dependent on the assumptions on the development of technologies - both in terms of performance and costs. </w:t>
      </w:r>
    </w:p>
    <w:p w14:paraId="696D1EF0" w14:textId="77777777" w:rsidR="00A71942" w:rsidRPr="003C4498" w:rsidRDefault="00A71942" w:rsidP="00E276C8">
      <w:pPr>
        <w:spacing w:line="240" w:lineRule="auto"/>
        <w:rPr>
          <w:rFonts w:eastAsia="Times New Roman"/>
          <w:noProof/>
        </w:rPr>
      </w:pPr>
      <w:r>
        <w:rPr>
          <w:noProof/>
        </w:rPr>
        <w:t>Continuing the approach adopted in the long-term strategy in 2018 and for the Reference Scenario 2020, the Commission consulted on the technology assumption with Member States and stakeholders in 2024. In particular, the technology database of the main model suite (PRIMES, PRIMES-TREMOVE, POTEnCIA, GAINS, GLOBIOM, and CAPRI) were discussed with Member State during a meeting of the Reference scenario expert group on 5 J</w:t>
      </w:r>
      <w:r w:rsidRPr="1FC5E705">
        <w:rPr>
          <w:rFonts w:eastAsia="Times New Roman"/>
          <w:noProof/>
        </w:rPr>
        <w:t>une 2024. They also benefited from a dedicated consultation workshop with stakeholders, held on 22 and 23 October 2024. The technology costs assumptions for energy technologies including for industry are published together with the impact assessment report for the ETS review.</w:t>
      </w:r>
    </w:p>
    <w:p w14:paraId="1A48C232" w14:textId="77777777" w:rsidR="00A71942" w:rsidRPr="003C4498" w:rsidRDefault="00A71942" w:rsidP="00E276C8">
      <w:pPr>
        <w:spacing w:line="240" w:lineRule="auto"/>
        <w:rPr>
          <w:rFonts w:eastAsia="Times New Roman"/>
          <w:noProof/>
        </w:rPr>
      </w:pPr>
      <w:r w:rsidRPr="1FC5E705">
        <w:rPr>
          <w:rFonts w:eastAsia="Times New Roman"/>
          <w:noProof/>
        </w:rPr>
        <w:t>The discount rates for investing in these technologies differ per sector and are published in the Reference Scenario 2020 report</w:t>
      </w:r>
      <w:r w:rsidRPr="1FC5E705">
        <w:rPr>
          <w:rStyle w:val="FootnoteReference"/>
          <w:noProof/>
        </w:rPr>
        <w:footnoteReference w:id="42"/>
      </w:r>
      <w:r w:rsidRPr="003C4498">
        <w:rPr>
          <w:rStyle w:val="FootnoteReference"/>
          <w:rFonts w:eastAsia="Times New Roman"/>
          <w:noProof/>
        </w:rPr>
        <w:t xml:space="preserve"> </w:t>
      </w:r>
      <w:r w:rsidRPr="003C4498">
        <w:rPr>
          <w:rFonts w:eastAsia="Times New Roman"/>
          <w:noProof/>
        </w:rPr>
        <w:t>for the PRIMES model</w:t>
      </w:r>
      <w:r w:rsidRPr="009D24A1">
        <w:rPr>
          <w:rFonts w:eastAsia="Times New Roman"/>
          <w:noProof/>
        </w:rPr>
        <w:t>.</w:t>
      </w:r>
    </w:p>
    <w:p w14:paraId="744EA5F1" w14:textId="77777777" w:rsidR="00A71942" w:rsidRPr="006907EC" w:rsidRDefault="00A71942" w:rsidP="00E276C8">
      <w:pPr>
        <w:pStyle w:val="Heading4COM"/>
        <w:spacing w:before="120" w:after="120" w:line="240" w:lineRule="auto"/>
        <w:outlineLvl w:val="4"/>
        <w:rPr>
          <w:noProof/>
        </w:rPr>
      </w:pPr>
      <w:r>
        <w:rPr>
          <w:noProof/>
        </w:rPr>
        <w:t xml:space="preserve"> </w:t>
      </w:r>
      <w:bookmarkStart w:id="376" w:name="_Toc232611486"/>
      <w:bookmarkStart w:id="377" w:name="_Toc232758167"/>
      <w:r>
        <w:rPr>
          <w:noProof/>
        </w:rPr>
        <w:t>International aviation carbon pricing</w:t>
      </w:r>
      <w:bookmarkEnd w:id="376"/>
      <w:bookmarkEnd w:id="377"/>
    </w:p>
    <w:p w14:paraId="08410E15" w14:textId="71D7E1EA" w:rsidR="00A71942" w:rsidRPr="004027CF" w:rsidRDefault="00A71942" w:rsidP="00E276C8">
      <w:pPr>
        <w:spacing w:line="240" w:lineRule="auto"/>
        <w:rPr>
          <w:rFonts w:eastAsia="Times New Roman"/>
          <w:noProof/>
        </w:rPr>
      </w:pPr>
      <w:r>
        <w:rPr>
          <w:noProof/>
        </w:rPr>
        <w:t>Specific to the aviation sector, t</w:t>
      </w:r>
      <w:r w:rsidRPr="1FC5E705">
        <w:rPr>
          <w:rFonts w:eastAsia="Times New Roman"/>
          <w:noProof/>
        </w:rPr>
        <w:t xml:space="preserve">he offset price of CORSIA (expressed in </w:t>
      </w:r>
      <w:r w:rsidR="00AF4C40">
        <w:rPr>
          <w:rFonts w:eastAsia="Times New Roman"/>
          <w:noProof/>
        </w:rPr>
        <w:t>EUR</w:t>
      </w:r>
      <w:r w:rsidRPr="1FC5E705">
        <w:rPr>
          <w:rFonts w:eastAsia="Times New Roman"/>
          <w:noProof/>
        </w:rPr>
        <w:t xml:space="preserve">23/tCO2) is projected to increase from 30 </w:t>
      </w:r>
      <w:r w:rsidR="00AF4C40">
        <w:rPr>
          <w:rFonts w:eastAsia="Times New Roman"/>
          <w:noProof/>
        </w:rPr>
        <w:t>EUR</w:t>
      </w:r>
      <w:r w:rsidRPr="1FC5E705">
        <w:rPr>
          <w:rFonts w:eastAsia="Times New Roman"/>
          <w:noProof/>
        </w:rPr>
        <w:t xml:space="preserve">/tCO2 in 2030 to 83 </w:t>
      </w:r>
      <w:r w:rsidR="00AF4C40">
        <w:rPr>
          <w:rFonts w:eastAsia="Times New Roman"/>
          <w:noProof/>
        </w:rPr>
        <w:t>EUR</w:t>
      </w:r>
      <w:r w:rsidRPr="1FC5E705">
        <w:rPr>
          <w:rFonts w:eastAsia="Times New Roman"/>
          <w:noProof/>
        </w:rPr>
        <w:t xml:space="preserve">/tCO2 in 2035. No projections are made for later years considering CORSIA’s defined end date in 2035 (subject to the “special review” in 2032 determining if and how the scheme should be continued). It is equally worth noting that modelling includes flights operated by EU-based airline operators between two third countries outside the scope of application of the EU ETS and subject to CORSIA. In 2023, such flights represented approximately 5% of emissions covered by CORSIA. Based on </w:t>
      </w:r>
      <w:r w:rsidRPr="004027CF">
        <w:rPr>
          <w:rFonts w:eastAsia="Times New Roman"/>
          <w:noProof/>
        </w:rPr>
        <w:t>available data, it is speculative to project the 2023 share to future years: beyond typical fluctuations in activity levels, network planning through aviation partnerships determines the dynamics of routes and slot allocation. For this reason, these flights were not taken into account when calculating CORSIA offsetting costs, which in turn would result in modelling presumably slightly underestimating such cost estimates.</w:t>
      </w:r>
    </w:p>
    <w:p w14:paraId="42C5F519" w14:textId="3E497AFC" w:rsidR="00A71942" w:rsidRPr="004027CF" w:rsidRDefault="00A71942" w:rsidP="00E276C8">
      <w:pPr>
        <w:spacing w:line="240" w:lineRule="auto"/>
        <w:rPr>
          <w:rFonts w:eastAsia="Times New Roman"/>
          <w:noProof/>
        </w:rPr>
      </w:pPr>
      <w:r w:rsidRPr="004027CF">
        <w:rPr>
          <w:rFonts w:eastAsia="Times New Roman"/>
          <w:noProof/>
        </w:rPr>
        <w:t>International jet fuel prices expressed in (</w:t>
      </w:r>
      <w:r w:rsidR="00AF4C40" w:rsidRPr="004027CF">
        <w:rPr>
          <w:rFonts w:eastAsia="Times New Roman"/>
          <w:noProof/>
        </w:rPr>
        <w:t>EUR</w:t>
      </w:r>
      <w:r w:rsidRPr="004027CF">
        <w:rPr>
          <w:rFonts w:eastAsia="Times New Roman"/>
          <w:noProof/>
        </w:rPr>
        <w:t xml:space="preserve">23/boe) are projected to increase by 14% approximately from 85 </w:t>
      </w:r>
      <w:r w:rsidR="009D0E7C">
        <w:rPr>
          <w:rFonts w:eastAsia="Times New Roman"/>
          <w:noProof/>
        </w:rPr>
        <w:t>EUR</w:t>
      </w:r>
      <w:r w:rsidRPr="004027CF">
        <w:rPr>
          <w:rFonts w:eastAsia="Times New Roman"/>
          <w:noProof/>
        </w:rPr>
        <w:t>/boe in 2030 to 97 in 2040.</w:t>
      </w:r>
    </w:p>
    <w:p w14:paraId="3F58A622" w14:textId="17CEA7CF" w:rsidR="00A71942" w:rsidRPr="006907EC" w:rsidRDefault="00A71942" w:rsidP="00E276C8">
      <w:pPr>
        <w:spacing w:line="240" w:lineRule="auto"/>
        <w:rPr>
          <w:noProof/>
          <w:highlight w:val="yellow"/>
        </w:rPr>
      </w:pPr>
      <w:r w:rsidRPr="004027CF">
        <w:rPr>
          <w:rFonts w:eastAsia="Times New Roman"/>
          <w:noProof/>
        </w:rPr>
        <w:t>SAF options are used as computed in PRIMES</w:t>
      </w:r>
      <w:r w:rsidR="00D164F6" w:rsidRPr="004027CF">
        <w:rPr>
          <w:rStyle w:val="FootnoteReference"/>
          <w:rFonts w:eastAsia="Times New Roman"/>
          <w:noProof/>
        </w:rPr>
        <w:footnoteReference w:id="43"/>
      </w:r>
      <w:r w:rsidR="004027CF" w:rsidRPr="004027CF">
        <w:rPr>
          <w:rFonts w:eastAsia="Times New Roman"/>
          <w:noProof/>
        </w:rPr>
        <w:t>,</w:t>
      </w:r>
      <w:r w:rsidRPr="004027CF">
        <w:rPr>
          <w:rFonts w:eastAsia="Times New Roman"/>
          <w:noProof/>
        </w:rPr>
        <w:t xml:space="preserve"> resulting in slightly higher post-2035 ETS compliance prices compared to the PRIMES 85% (20</w:t>
      </w:r>
      <w:r w:rsidR="00AF4C40" w:rsidRPr="004027CF">
        <w:rPr>
          <w:rFonts w:eastAsia="Times New Roman"/>
          <w:noProof/>
        </w:rPr>
        <w:t xml:space="preserve"> </w:t>
      </w:r>
      <w:r w:rsidR="009D0E7C">
        <w:rPr>
          <w:rFonts w:eastAsia="Times New Roman"/>
          <w:noProof/>
        </w:rPr>
        <w:t>EUR</w:t>
      </w:r>
      <w:r w:rsidRPr="004027CF">
        <w:rPr>
          <w:rFonts w:eastAsia="Times New Roman"/>
          <w:noProof/>
        </w:rPr>
        <w:t>/tCO</w:t>
      </w:r>
      <w:r w:rsidRPr="004027CF">
        <w:rPr>
          <w:rFonts w:eastAsia="Times New Roman"/>
          <w:noProof/>
          <w:vertAlign w:val="subscript"/>
        </w:rPr>
        <w:t>2</w:t>
      </w:r>
      <w:r w:rsidRPr="004027CF">
        <w:rPr>
          <w:rFonts w:eastAsia="Times New Roman"/>
          <w:noProof/>
        </w:rPr>
        <w:t>). This slight difference is thus not relevant to the SAF support mechanism because dedicated allowances are projected to be used up by 2035 at the latest. It is equally worth noting that further breakdowns per feedstock category and production processes are used based on the underlying assumptions on fuel production within PRIMES. Such finer granularity results in SAF prices’ projected evolution differing from PRIMES overall assumptions when assessing</w:t>
      </w:r>
      <w:r w:rsidRPr="1FC5E705">
        <w:rPr>
          <w:rFonts w:eastAsia="Times New Roman"/>
          <w:noProof/>
        </w:rPr>
        <w:t xml:space="preserve"> the options of an extended support mechanism for SAF uptake (cross-ref to relevant section, currently 8). SAF uptake being represented in the models consistently with ReFuelEU Aviation mandates results in synthetic fuels’ use starting in 2030 with production costs used as a proxy to today’s inexistent market price and held constant over the time period of relevance to this exercise. SAF produced from RED Annex IX Part A via advanced conversion processes (Alcohol-to-Jet, and Fischer-Tropsch) are conversely projected to lower production costs while still more costly than HEFA in the same period. Production costs are based on EASA’s ReFuelEU Aviation Annual Technical Report</w:t>
      </w:r>
      <w:r w:rsidRPr="1FC5E705">
        <w:rPr>
          <w:rFonts w:eastAsia="Times New Roman"/>
          <w:noProof/>
          <w:vertAlign w:val="superscript"/>
        </w:rPr>
        <w:t>289</w:t>
      </w:r>
      <w:r w:rsidRPr="1FC5E705">
        <w:rPr>
          <w:rFonts w:eastAsia="Times New Roman"/>
          <w:noProof/>
        </w:rPr>
        <w:t>. This choice is justified out of precaution when considering fuel options not in commercial production today.  Assumptions are aligned with PRIMES with respect to EU domestic production vs imported volumes of SAF.</w:t>
      </w:r>
    </w:p>
    <w:p w14:paraId="46EA4F53" w14:textId="77777777" w:rsidR="00A71942" w:rsidRDefault="00A71942" w:rsidP="00E276C8">
      <w:pPr>
        <w:pStyle w:val="Heading1COM"/>
        <w:spacing w:before="120" w:after="120" w:line="240" w:lineRule="auto"/>
        <w:outlineLvl w:val="1"/>
        <w:rPr>
          <w:noProof/>
        </w:rPr>
      </w:pPr>
      <w:bookmarkStart w:id="378" w:name="_Ref141876811"/>
      <w:bookmarkStart w:id="379" w:name="_Toc157692518"/>
      <w:bookmarkStart w:id="380" w:name="_Toc232591580"/>
      <w:bookmarkStart w:id="381" w:name="_Toc232611487"/>
      <w:bookmarkStart w:id="382" w:name="_Toc232758168"/>
      <w:r>
        <w:rPr>
          <w:noProof/>
        </w:rPr>
        <w:t>Scenarios</w:t>
      </w:r>
      <w:bookmarkEnd w:id="378"/>
      <w:bookmarkEnd w:id="379"/>
      <w:bookmarkEnd w:id="380"/>
      <w:bookmarkEnd w:id="381"/>
      <w:bookmarkEnd w:id="382"/>
    </w:p>
    <w:p w14:paraId="25F20F5A" w14:textId="77777777" w:rsidR="00A71942" w:rsidRPr="00042AAD" w:rsidRDefault="00A71942" w:rsidP="00E276C8">
      <w:pPr>
        <w:pStyle w:val="Text2"/>
        <w:spacing w:line="240" w:lineRule="auto"/>
        <w:ind w:left="0"/>
        <w:rPr>
          <w:rStyle w:val="normaltextrun"/>
          <w:b/>
          <w:smallCaps/>
          <w:noProof/>
          <w:sz w:val="28"/>
          <w:szCs w:val="22"/>
        </w:rPr>
      </w:pPr>
      <w:r>
        <w:rPr>
          <w:noProof/>
        </w:rPr>
        <w:t xml:space="preserve">The specific objectives of this initiative are to identify and assess pathways towards climate </w:t>
      </w:r>
      <w:r w:rsidRPr="00EE781B">
        <w:rPr>
          <w:noProof/>
        </w:rPr>
        <w:t>neutrality in 2050 and an intermediate target for 2040</w:t>
      </w:r>
      <w:r w:rsidRPr="1FC5E705">
        <w:rPr>
          <w:rStyle w:val="FootnoteReference"/>
          <w:noProof/>
        </w:rPr>
        <w:footnoteReference w:id="44"/>
      </w:r>
      <w:r w:rsidRPr="00EE781B">
        <w:rPr>
          <w:noProof/>
        </w:rPr>
        <w:t xml:space="preserve">. </w:t>
      </w:r>
    </w:p>
    <w:p w14:paraId="5243AE42" w14:textId="77777777" w:rsidR="00A71942" w:rsidRPr="00EE781B" w:rsidRDefault="00A71942" w:rsidP="00E276C8">
      <w:pPr>
        <w:pStyle w:val="Heading2COM"/>
        <w:spacing w:before="120" w:after="120" w:line="240" w:lineRule="auto"/>
        <w:outlineLvl w:val="2"/>
        <w15:collapsed w:val="0"/>
        <w:rPr>
          <w:noProof/>
        </w:rPr>
      </w:pPr>
      <w:bookmarkStart w:id="383" w:name="_Toc232591581"/>
      <w:bookmarkStart w:id="384" w:name="_Toc232611488"/>
      <w:bookmarkStart w:id="385" w:name="_Toc232758169"/>
      <w:r>
        <w:rPr>
          <w:noProof/>
        </w:rPr>
        <w:t>Baseline Scenario</w:t>
      </w:r>
      <w:bookmarkEnd w:id="383"/>
      <w:bookmarkEnd w:id="384"/>
      <w:bookmarkEnd w:id="385"/>
    </w:p>
    <w:p w14:paraId="09810D85" w14:textId="77777777" w:rsidR="00A71942" w:rsidRPr="00EE781B" w:rsidRDefault="00A71942" w:rsidP="00E276C8">
      <w:pPr>
        <w:spacing w:line="240" w:lineRule="auto"/>
        <w:rPr>
          <w:noProof/>
          <w:lang w:val="en-US"/>
        </w:rPr>
      </w:pPr>
      <w:r>
        <w:rPr>
          <w:noProof/>
        </w:rPr>
        <w:t xml:space="preserve">The Baseline scenario in this </w:t>
      </w:r>
      <w:r w:rsidRPr="1FC5E705">
        <w:rPr>
          <w:rFonts w:eastAsia="Times New Roman"/>
          <w:noProof/>
        </w:rPr>
        <w:t>Impact</w:t>
      </w:r>
      <w:r>
        <w:rPr>
          <w:noProof/>
        </w:rPr>
        <w:t xml:space="preserve"> Assessment is used as a counterfactual scenario – with the EU ETS as currently legislated: meeting the emissions reduction target in 2030, and post-2030 gross emissions under the EU ETS will reduce yearly as defined by the linear reduction factor. The scenario will be used as the comparison basis to analyse and assess the impacts of the alternative policy options compared to the unchanged policy setup for the EU ETS and broader EU climate goals (overall GHG emission reduction target, renewable and energy efficiency objectives).</w:t>
      </w:r>
    </w:p>
    <w:p w14:paraId="36F05E3D" w14:textId="77777777" w:rsidR="00A71942" w:rsidRPr="00EE781B" w:rsidRDefault="00A71942" w:rsidP="00E276C8">
      <w:pPr>
        <w:spacing w:line="240" w:lineRule="auto"/>
        <w:rPr>
          <w:noProof/>
          <w:lang w:val="en-US"/>
        </w:rPr>
      </w:pPr>
      <w:r>
        <w:rPr>
          <w:noProof/>
        </w:rPr>
        <w:t xml:space="preserve">The Baseline scenario was reproduced with the PRIMES model for the EU level and at member </w:t>
      </w:r>
      <w:r w:rsidRPr="1FC5E705">
        <w:rPr>
          <w:rFonts w:eastAsia="Times New Roman"/>
          <w:noProof/>
        </w:rPr>
        <w:t>state</w:t>
      </w:r>
      <w:r>
        <w:rPr>
          <w:noProof/>
        </w:rPr>
        <w:t xml:space="preserve"> level. GEM-E3 and POLES-Enerdata models integrate elements of the Baseline scenario produced with the PRIMES model, by aligning assumptions and scenario narrative. However, it was not possible in the modelling to reproduce fully the linear reduction factor of 4.4% until 2040. A scenario, called PRIMES-MAX, utilizes the technical potentially available. While the scenario provided technical information, it is not the key scenario to which economic data is compared, as the change in ambition level would dominate the differences between all other aspects of the policy options.  </w:t>
      </w:r>
    </w:p>
    <w:p w14:paraId="3E5C2978" w14:textId="77777777" w:rsidR="00A71942" w:rsidRPr="00EE781B" w:rsidRDefault="00A71942" w:rsidP="00E276C8">
      <w:pPr>
        <w:pStyle w:val="Tabletitle"/>
        <w:keepNext/>
        <w:spacing w:after="120" w:line="240" w:lineRule="auto"/>
        <w:ind w:left="720"/>
        <w:rPr>
          <w:noProof/>
        </w:rPr>
      </w:pPr>
      <w:bookmarkStart w:id="386" w:name="_Toc222405591"/>
      <w:bookmarkStart w:id="387" w:name="_Toc232608937"/>
      <w:bookmarkStart w:id="388" w:name="_Toc232611547"/>
      <w:bookmarkStart w:id="389" w:name="_Toc232672607"/>
      <w:bookmarkStart w:id="390" w:name="_Toc232758459"/>
      <w:r>
        <w:rPr>
          <w:noProof/>
        </w:rPr>
        <w:t>Overview of the development of the baseline at the non-EU level</w:t>
      </w:r>
      <w:bookmarkEnd w:id="386"/>
      <w:bookmarkEnd w:id="387"/>
      <w:bookmarkEnd w:id="388"/>
      <w:bookmarkEnd w:id="389"/>
      <w:bookmarkEnd w:id="390"/>
    </w:p>
    <w:tbl>
      <w:tblPr>
        <w:tblStyle w:val="CV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7"/>
        <w:gridCol w:w="5759"/>
      </w:tblGrid>
      <w:tr w:rsidR="00A71942" w:rsidRPr="00652404" w14:paraId="26DCCE8E" w14:textId="77777777" w:rsidTr="1FC5E705">
        <w:trPr>
          <w:trHeight w:val="290"/>
          <w:jc w:val="center"/>
        </w:trPr>
        <w:tc>
          <w:tcPr>
            <w:tcW w:w="1806" w:type="pct"/>
            <w:hideMark/>
          </w:tcPr>
          <w:p w14:paraId="70AFBC3A" w14:textId="77777777" w:rsidR="00A71942" w:rsidRPr="00652404" w:rsidRDefault="00A71942" w:rsidP="00E276C8">
            <w:pPr>
              <w:spacing w:after="120"/>
              <w:rPr>
                <w:b/>
                <w:bCs/>
                <w:noProof/>
                <w:color w:val="242828" w:themeColor="text1"/>
              </w:rPr>
            </w:pPr>
            <w:r w:rsidRPr="1FC5E705">
              <w:rPr>
                <w:b/>
                <w:bCs/>
                <w:noProof/>
                <w:color w:val="242828" w:themeColor="text1"/>
              </w:rPr>
              <w:t> </w:t>
            </w:r>
          </w:p>
        </w:tc>
        <w:tc>
          <w:tcPr>
            <w:tcW w:w="3194" w:type="pct"/>
            <w:hideMark/>
          </w:tcPr>
          <w:p w14:paraId="20D502E5" w14:textId="77777777" w:rsidR="00A71942" w:rsidRPr="00652404" w:rsidRDefault="00A71942" w:rsidP="00E276C8">
            <w:pPr>
              <w:spacing w:after="120"/>
              <w:rPr>
                <w:b/>
                <w:bCs/>
                <w:noProof/>
                <w:color w:val="242828" w:themeColor="text1"/>
              </w:rPr>
            </w:pPr>
            <w:r w:rsidRPr="1FC5E705">
              <w:rPr>
                <w:b/>
                <w:bCs/>
                <w:noProof/>
                <w:color w:val="242828" w:themeColor="text1"/>
              </w:rPr>
              <w:t>Baseline / PRIMES MAX</w:t>
            </w:r>
          </w:p>
        </w:tc>
      </w:tr>
      <w:tr w:rsidR="00A71942" w:rsidRPr="00652404" w14:paraId="5B57FF66" w14:textId="77777777" w:rsidTr="1FC5E705">
        <w:trPr>
          <w:trHeight w:val="1633"/>
          <w:jc w:val="center"/>
        </w:trPr>
        <w:tc>
          <w:tcPr>
            <w:tcW w:w="1806" w:type="pct"/>
            <w:hideMark/>
          </w:tcPr>
          <w:p w14:paraId="7FECDC5F" w14:textId="77777777" w:rsidR="00A71942" w:rsidRPr="00652404" w:rsidRDefault="00A71942" w:rsidP="00E276C8">
            <w:pPr>
              <w:spacing w:after="120"/>
              <w:rPr>
                <w:noProof/>
                <w:color w:val="242828" w:themeColor="text1"/>
              </w:rPr>
            </w:pPr>
            <w:r w:rsidRPr="1FC5E705">
              <w:rPr>
                <w:noProof/>
                <w:color w:val="242828" w:themeColor="text1"/>
              </w:rPr>
              <w:t>The energy and climate policies that we will consider in non-EU countries impact the carbon leakage</w:t>
            </w:r>
          </w:p>
        </w:tc>
        <w:tc>
          <w:tcPr>
            <w:tcW w:w="3194" w:type="pct"/>
            <w:hideMark/>
          </w:tcPr>
          <w:p w14:paraId="3CCF30F5" w14:textId="77777777" w:rsidR="00A71942" w:rsidRPr="00652404" w:rsidRDefault="00A71942" w:rsidP="00E276C8">
            <w:pPr>
              <w:spacing w:after="120"/>
              <w:rPr>
                <w:noProof/>
                <w:color w:val="242828" w:themeColor="text1"/>
              </w:rPr>
            </w:pPr>
            <w:r w:rsidRPr="1FC5E705">
              <w:rPr>
                <w:noProof/>
                <w:color w:val="242828" w:themeColor="text1"/>
              </w:rPr>
              <w:t>Options:</w:t>
            </w:r>
          </w:p>
          <w:p w14:paraId="7395F800" w14:textId="77777777" w:rsidR="00A71942" w:rsidRPr="00652404" w:rsidRDefault="00A71942" w:rsidP="00E276C8">
            <w:pPr>
              <w:spacing w:after="120"/>
              <w:rPr>
                <w:noProof/>
                <w:color w:val="242828" w:themeColor="text1"/>
              </w:rPr>
            </w:pPr>
            <w:r w:rsidRPr="1FC5E705">
              <w:rPr>
                <w:noProof/>
                <w:color w:val="242828" w:themeColor="text1"/>
              </w:rPr>
              <w:t>1. Current policies in non-EU countries (suggested option) – legislated up until 2023 – e.g., China NDC not included.</w:t>
            </w:r>
            <w:r>
              <w:rPr>
                <w:noProof/>
              </w:rPr>
              <w:br/>
            </w:r>
            <w:r w:rsidRPr="1FC5E705">
              <w:rPr>
                <w:noProof/>
                <w:color w:val="242828" w:themeColor="text1"/>
              </w:rPr>
              <w:t xml:space="preserve">2. nationally determined contributions (NDC) until 2030 and frozen policies after 2030. </w:t>
            </w:r>
            <w:r>
              <w:rPr>
                <w:noProof/>
              </w:rPr>
              <w:br/>
            </w:r>
            <w:r w:rsidRPr="1FC5E705">
              <w:rPr>
                <w:noProof/>
                <w:color w:val="242828" w:themeColor="text1"/>
              </w:rPr>
              <w:t xml:space="preserve">3. NDC until 2030 and long-term strategy (LTS) afterwards. </w:t>
            </w:r>
          </w:p>
        </w:tc>
      </w:tr>
    </w:tbl>
    <w:p w14:paraId="59EDDF5E" w14:textId="77777777" w:rsidR="00A71942" w:rsidRPr="00EE781B" w:rsidRDefault="00A71942" w:rsidP="00E276C8">
      <w:pPr>
        <w:spacing w:line="240" w:lineRule="auto"/>
        <w:rPr>
          <w:noProof/>
        </w:rPr>
      </w:pPr>
      <w:r>
        <w:rPr>
          <w:noProof/>
        </w:rPr>
        <w:t>At the EU level and in the context of the EU ETS revision impact assessment, the Baseline scenario can be summarised with the following points:</w:t>
      </w:r>
    </w:p>
    <w:p w14:paraId="159F07E5" w14:textId="77777777" w:rsidR="00A71942" w:rsidRPr="001C7BDC" w:rsidRDefault="00A71942" w:rsidP="00E276C8">
      <w:pPr>
        <w:pStyle w:val="ListParagraph"/>
        <w:numPr>
          <w:ilvl w:val="0"/>
          <w:numId w:val="84"/>
        </w:numPr>
        <w:spacing w:after="120" w:line="240" w:lineRule="auto"/>
        <w:ind w:left="714" w:hanging="357"/>
        <w:rPr>
          <w:b/>
          <w:noProof/>
        </w:rPr>
      </w:pPr>
      <w:r w:rsidRPr="001C7BDC">
        <w:rPr>
          <w:i/>
          <w:noProof/>
        </w:rPr>
        <w:t>GHG scope :</w:t>
      </w:r>
      <w:r w:rsidRPr="001C7BDC">
        <w:rPr>
          <w:noProof/>
        </w:rPr>
        <w:t xml:space="preserve"> Domestic countries + intra-EU aviation + 100% international intra-EU maritime + 50% international extra-EU MRV maritime + 50% international extra-EU aviation (incoming and outgoing).</w:t>
      </w:r>
    </w:p>
    <w:p w14:paraId="10FEA181" w14:textId="77777777" w:rsidR="00A71942" w:rsidRPr="00784293" w:rsidRDefault="00A71942" w:rsidP="00E276C8">
      <w:pPr>
        <w:pStyle w:val="ListParagraph"/>
        <w:numPr>
          <w:ilvl w:val="0"/>
          <w:numId w:val="84"/>
        </w:numPr>
        <w:spacing w:after="120" w:line="240" w:lineRule="auto"/>
        <w:ind w:left="714" w:hanging="357"/>
        <w:rPr>
          <w:noProof/>
        </w:rPr>
      </w:pPr>
      <w:r w:rsidRPr="1FC5E705">
        <w:rPr>
          <w:i/>
          <w:iCs/>
          <w:noProof/>
        </w:rPr>
        <w:t>EU ETS cap:</w:t>
      </w:r>
      <w:r w:rsidRPr="1FC5E705">
        <w:rPr>
          <w:b/>
          <w:bCs/>
          <w:noProof/>
        </w:rPr>
        <w:t xml:space="preserve"> </w:t>
      </w:r>
      <w:r>
        <w:rPr>
          <w:noProof/>
        </w:rPr>
        <w:t xml:space="preserve">follows the EU ETS emissions reduction trajectory </w:t>
      </w:r>
      <w:r w:rsidRPr="1FC5E705">
        <w:rPr>
          <w:i/>
          <w:iCs/>
          <w:noProof/>
        </w:rPr>
        <w:t>as currently legislated.</w:t>
      </w:r>
    </w:p>
    <w:p w14:paraId="13868604" w14:textId="77777777" w:rsidR="00A71942" w:rsidRPr="00DF05E0" w:rsidRDefault="00A71942" w:rsidP="00E276C8">
      <w:pPr>
        <w:pStyle w:val="ListParagraph"/>
        <w:numPr>
          <w:ilvl w:val="0"/>
          <w:numId w:val="84"/>
        </w:numPr>
        <w:spacing w:after="120" w:line="240" w:lineRule="auto"/>
        <w:ind w:left="714" w:hanging="357"/>
        <w:rPr>
          <w:b/>
          <w:bCs/>
          <w:noProof/>
        </w:rPr>
      </w:pPr>
      <w:r w:rsidRPr="1FC5E705">
        <w:rPr>
          <w:i/>
          <w:iCs/>
          <w:noProof/>
        </w:rPr>
        <w:t>EU ETS scope:</w:t>
      </w:r>
      <w:r w:rsidRPr="1FC5E705">
        <w:rPr>
          <w:b/>
          <w:bCs/>
          <w:noProof/>
        </w:rPr>
        <w:t xml:space="preserve"> </w:t>
      </w:r>
      <w:r>
        <w:rPr>
          <w:noProof/>
        </w:rPr>
        <w:t xml:space="preserve">follows the EU ETS scope </w:t>
      </w:r>
      <w:r w:rsidRPr="1FC5E705">
        <w:rPr>
          <w:i/>
          <w:iCs/>
          <w:noProof/>
        </w:rPr>
        <w:t>as currently legislated, where the aviation scope from 2027 onwards is</w:t>
      </w:r>
      <w:r w:rsidRPr="1FC5E705">
        <w:rPr>
          <w:b/>
          <w:bCs/>
          <w:noProof/>
        </w:rPr>
        <w:t xml:space="preserve">: </w:t>
      </w:r>
      <w:r>
        <w:rPr>
          <w:noProof/>
        </w:rPr>
        <w:t>domestic, intra-EEA flights and extra-EEA flights (outgoing and incoming).</w:t>
      </w:r>
    </w:p>
    <w:p w14:paraId="2AD00B1D" w14:textId="77777777" w:rsidR="00A71942" w:rsidRPr="00E727AB" w:rsidRDefault="00A71942" w:rsidP="00E276C8">
      <w:pPr>
        <w:pStyle w:val="ListParagraph"/>
        <w:numPr>
          <w:ilvl w:val="0"/>
          <w:numId w:val="84"/>
        </w:numPr>
        <w:spacing w:after="120" w:line="240" w:lineRule="auto"/>
        <w:ind w:left="714" w:hanging="357"/>
        <w:rPr>
          <w:noProof/>
        </w:rPr>
      </w:pPr>
      <w:r w:rsidRPr="1FC5E705">
        <w:rPr>
          <w:i/>
          <w:iCs/>
          <w:noProof/>
        </w:rPr>
        <w:t>Removals in EU ETS</w:t>
      </w:r>
      <w:r w:rsidRPr="1FC5E705">
        <w:rPr>
          <w:b/>
          <w:bCs/>
          <w:noProof/>
        </w:rPr>
        <w:t xml:space="preserve">: </w:t>
      </w:r>
      <w:r>
        <w:rPr>
          <w:noProof/>
        </w:rPr>
        <w:t>Carbon removals (from BECCS or DACCS) do not contribute to the yearly decrease of emissions under the EU ETS.</w:t>
      </w:r>
    </w:p>
    <w:p w14:paraId="0A473234" w14:textId="77777777" w:rsidR="00A71942" w:rsidRPr="00E727AB" w:rsidRDefault="00A71942" w:rsidP="00E276C8">
      <w:pPr>
        <w:pStyle w:val="ListParagraph"/>
        <w:numPr>
          <w:ilvl w:val="0"/>
          <w:numId w:val="84"/>
        </w:numPr>
        <w:spacing w:after="120" w:line="240" w:lineRule="auto"/>
        <w:ind w:left="714" w:hanging="357"/>
        <w:rPr>
          <w:noProof/>
        </w:rPr>
      </w:pPr>
      <w:r w:rsidRPr="1FC5E705">
        <w:rPr>
          <w:i/>
          <w:iCs/>
          <w:noProof/>
        </w:rPr>
        <w:t>CCU in EU ETS</w:t>
      </w:r>
      <w:r w:rsidRPr="1FC5E705">
        <w:rPr>
          <w:b/>
          <w:bCs/>
          <w:noProof/>
        </w:rPr>
        <w:t xml:space="preserve">: </w:t>
      </w:r>
      <w:r>
        <w:rPr>
          <w:noProof/>
        </w:rPr>
        <w:t>Fossil CO</w:t>
      </w:r>
      <w:r w:rsidRPr="1FC5E705">
        <w:rPr>
          <w:noProof/>
          <w:vertAlign w:val="subscript"/>
        </w:rPr>
        <w:t>2</w:t>
      </w:r>
      <w:r>
        <w:rPr>
          <w:noProof/>
        </w:rPr>
        <w:t xml:space="preserve"> emissions captured from installation under ETS and used to produce synthetic fuels count as emissions under ETS.</w:t>
      </w:r>
    </w:p>
    <w:p w14:paraId="685DA01F" w14:textId="77777777" w:rsidR="00A71942" w:rsidRDefault="00A71942" w:rsidP="00E276C8">
      <w:pPr>
        <w:spacing w:line="240" w:lineRule="auto"/>
        <w:contextualSpacing/>
        <w:rPr>
          <w:noProof/>
        </w:rPr>
      </w:pPr>
      <w:r>
        <w:rPr>
          <w:noProof/>
        </w:rPr>
        <w:t xml:space="preserve">The detailed overview of PRIMES Baseline scenario specifications is provided in Table 7. </w:t>
      </w:r>
    </w:p>
    <w:p w14:paraId="6AD4BE0B" w14:textId="77777777" w:rsidR="00A71942" w:rsidRPr="00A7553F" w:rsidRDefault="00A71942" w:rsidP="00E276C8">
      <w:pPr>
        <w:pStyle w:val="Tabletitle"/>
        <w:keepNext/>
        <w:spacing w:after="120" w:line="240" w:lineRule="auto"/>
        <w:ind w:left="720"/>
        <w:rPr>
          <w:noProof/>
        </w:rPr>
      </w:pPr>
      <w:bookmarkStart w:id="391" w:name="_Toc222405592"/>
      <w:bookmarkStart w:id="392" w:name="_Toc232608938"/>
      <w:bookmarkStart w:id="393" w:name="_Toc232611548"/>
      <w:bookmarkStart w:id="394" w:name="_Toc232672608"/>
      <w:bookmarkStart w:id="395" w:name="_Toc232758460"/>
      <w:r>
        <w:rPr>
          <w:noProof/>
        </w:rPr>
        <w:t>Overview of the development of the baseline at the EU level</w:t>
      </w:r>
      <w:bookmarkEnd w:id="391"/>
      <w:bookmarkEnd w:id="392"/>
      <w:bookmarkEnd w:id="393"/>
      <w:bookmarkEnd w:id="394"/>
      <w:bookmarkEnd w:id="395"/>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011"/>
      </w:tblGrid>
      <w:tr w:rsidR="00A71942" w:rsidRPr="009B361A" w14:paraId="352EEACC" w14:textId="77777777" w:rsidTr="1FC5E705">
        <w:trPr>
          <w:trHeight w:val="290"/>
        </w:trPr>
        <w:tc>
          <w:tcPr>
            <w:tcW w:w="0" w:type="auto"/>
            <w:hideMark/>
          </w:tcPr>
          <w:p w14:paraId="7E8BA4B4"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 </w:t>
            </w:r>
          </w:p>
        </w:tc>
        <w:tc>
          <w:tcPr>
            <w:tcW w:w="0" w:type="auto"/>
            <w:hideMark/>
          </w:tcPr>
          <w:p w14:paraId="4E3A7F35"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Baseline / PRIMES MAX</w:t>
            </w:r>
          </w:p>
        </w:tc>
      </w:tr>
      <w:tr w:rsidR="00A71942" w:rsidRPr="009B361A" w14:paraId="56C4D925" w14:textId="77777777" w:rsidTr="1FC5E705">
        <w:trPr>
          <w:trHeight w:val="455"/>
        </w:trPr>
        <w:tc>
          <w:tcPr>
            <w:tcW w:w="0" w:type="auto"/>
            <w:hideMark/>
          </w:tcPr>
          <w:p w14:paraId="63F26614"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International fossil fuel prices (oil, gas, coal)</w:t>
            </w:r>
          </w:p>
        </w:tc>
        <w:tc>
          <w:tcPr>
            <w:tcW w:w="0" w:type="auto"/>
            <w:hideMark/>
          </w:tcPr>
          <w:p w14:paraId="65430287"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Assumptions as presented in section 1.2.2.</w:t>
            </w:r>
          </w:p>
        </w:tc>
      </w:tr>
      <w:tr w:rsidR="00A71942" w:rsidRPr="009B361A" w14:paraId="29C2C1CB" w14:textId="77777777" w:rsidTr="1FC5E705">
        <w:trPr>
          <w:trHeight w:val="523"/>
        </w:trPr>
        <w:tc>
          <w:tcPr>
            <w:tcW w:w="0" w:type="auto"/>
            <w:hideMark/>
          </w:tcPr>
          <w:p w14:paraId="58CB540E"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Technology assumptions, coal, nuclear, CCS capacities</w:t>
            </w:r>
          </w:p>
        </w:tc>
        <w:tc>
          <w:tcPr>
            <w:tcW w:w="0" w:type="auto"/>
            <w:hideMark/>
          </w:tcPr>
          <w:p w14:paraId="0B648158"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Technology assumptions as presented in section 1.2.3. and capacities based on Member States’ latest announced capacity developments, and information in final updated NECP</w:t>
            </w:r>
            <w:r w:rsidRPr="1FC5E705">
              <w:rPr>
                <w:noProof/>
                <w:color w:val="242828" w:themeColor="text1"/>
                <w:sz w:val="22"/>
                <w:szCs w:val="22"/>
                <w:vertAlign w:val="superscript"/>
              </w:rPr>
              <w:t>1</w:t>
            </w:r>
            <w:r w:rsidRPr="1FC5E705">
              <w:rPr>
                <w:noProof/>
                <w:color w:val="242828" w:themeColor="text1"/>
                <w:sz w:val="22"/>
                <w:szCs w:val="22"/>
              </w:rPr>
              <w:t xml:space="preserve">, as well as information collected during bilateral meetings with Member States. </w:t>
            </w:r>
          </w:p>
        </w:tc>
      </w:tr>
      <w:tr w:rsidR="00A71942" w:rsidRPr="009B361A" w14:paraId="7EA7B179" w14:textId="77777777" w:rsidTr="1FC5E705">
        <w:trPr>
          <w:trHeight w:val="433"/>
        </w:trPr>
        <w:tc>
          <w:tcPr>
            <w:tcW w:w="0" w:type="auto"/>
            <w:hideMark/>
          </w:tcPr>
          <w:p w14:paraId="2F9164C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Population, GDP/ macroeconomics/ activity levels</w:t>
            </w:r>
          </w:p>
        </w:tc>
        <w:tc>
          <w:tcPr>
            <w:tcW w:w="0" w:type="auto"/>
          </w:tcPr>
          <w:p w14:paraId="77D34269"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Assumptions as presented in section 1.2.1.</w:t>
            </w:r>
          </w:p>
        </w:tc>
      </w:tr>
      <w:tr w:rsidR="00A71942" w:rsidRPr="009B361A" w14:paraId="5373A9D0" w14:textId="77777777" w:rsidTr="1FC5E705">
        <w:trPr>
          <w:trHeight w:val="283"/>
        </w:trPr>
        <w:tc>
          <w:tcPr>
            <w:tcW w:w="0" w:type="auto"/>
            <w:hideMark/>
          </w:tcPr>
          <w:p w14:paraId="02506E90" w14:textId="77777777" w:rsidR="00A71942" w:rsidRPr="009B361A" w:rsidRDefault="00A71942" w:rsidP="00E276C8">
            <w:pPr>
              <w:spacing w:after="120"/>
              <w:jc w:val="center"/>
              <w:rPr>
                <w:b/>
                <w:bCs/>
                <w:noProof/>
                <w:color w:val="242828" w:themeColor="text1"/>
                <w:sz w:val="22"/>
                <w:szCs w:val="22"/>
              </w:rPr>
            </w:pPr>
            <w:r w:rsidRPr="1FC5E705">
              <w:rPr>
                <w:b/>
                <w:bCs/>
                <w:noProof/>
                <w:color w:val="242828" w:themeColor="text1"/>
                <w:sz w:val="22"/>
                <w:szCs w:val="22"/>
              </w:rPr>
              <w:t>2030</w:t>
            </w:r>
          </w:p>
        </w:tc>
        <w:tc>
          <w:tcPr>
            <w:tcW w:w="0" w:type="auto"/>
            <w:hideMark/>
          </w:tcPr>
          <w:p w14:paraId="62AE4AAD" w14:textId="77777777" w:rsidR="00A71942" w:rsidRPr="009B361A" w:rsidRDefault="00A71942" w:rsidP="00E276C8">
            <w:pPr>
              <w:spacing w:after="120"/>
              <w:rPr>
                <w:noProof/>
                <w:color w:val="242828" w:themeColor="text1"/>
                <w:sz w:val="22"/>
                <w:szCs w:val="22"/>
              </w:rPr>
            </w:pPr>
          </w:p>
        </w:tc>
      </w:tr>
      <w:tr w:rsidR="00A71942" w:rsidRPr="009B361A" w14:paraId="0C32B684" w14:textId="77777777" w:rsidTr="1FC5E705">
        <w:trPr>
          <w:trHeight w:val="946"/>
        </w:trPr>
        <w:tc>
          <w:tcPr>
            <w:tcW w:w="0" w:type="auto"/>
            <w:hideMark/>
          </w:tcPr>
          <w:p w14:paraId="17466EAD"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EU ETS emissions reduction target / cap and scope</w:t>
            </w:r>
          </w:p>
        </w:tc>
        <w:tc>
          <w:tcPr>
            <w:tcW w:w="0" w:type="auto"/>
          </w:tcPr>
          <w:p w14:paraId="04109BB9" w14:textId="77777777" w:rsidR="00A71942" w:rsidRPr="009B361A" w:rsidRDefault="00A71942" w:rsidP="00E276C8">
            <w:pPr>
              <w:spacing w:after="120"/>
              <w:rPr>
                <w:rStyle w:val="normaltextrun"/>
                <w:rFonts w:eastAsiaTheme="minorHAnsi"/>
                <w:noProof/>
                <w:color w:val="242828" w:themeColor="text1"/>
                <w:sz w:val="22"/>
                <w:szCs w:val="22"/>
                <w:lang w:val="en-GB" w:eastAsia="en-US"/>
              </w:rPr>
            </w:pPr>
            <w:r w:rsidRPr="1FC5E705">
              <w:rPr>
                <w:rStyle w:val="normaltextrun"/>
                <w:noProof/>
                <w:color w:val="242828" w:themeColor="text1"/>
                <w:sz w:val="22"/>
                <w:szCs w:val="22"/>
              </w:rPr>
              <w:t xml:space="preserve">The cap follows the EU ETS emissions reduction trajectory as currently legislated. The EU ETS aviation scope </w:t>
            </w:r>
            <w:r w:rsidRPr="1FC5E705">
              <w:rPr>
                <w:rStyle w:val="normaltextrun"/>
                <w:b/>
                <w:bCs/>
                <w:noProof/>
                <w:color w:val="242828" w:themeColor="text1"/>
                <w:sz w:val="22"/>
                <w:szCs w:val="22"/>
              </w:rPr>
              <w:t>includes extra-EEA aviation from January 2027</w:t>
            </w:r>
            <w:r w:rsidRPr="1FC5E705">
              <w:rPr>
                <w:rStyle w:val="normaltextrun"/>
                <w:noProof/>
                <w:color w:val="242828" w:themeColor="text1"/>
                <w:sz w:val="22"/>
                <w:szCs w:val="22"/>
              </w:rPr>
              <w:t xml:space="preserve">. CO2 emissions from installation under EU ETS and used to produce e-fuels are accounted for under the EU ETS at the point where they are captured.  </w:t>
            </w:r>
          </w:p>
        </w:tc>
      </w:tr>
      <w:tr w:rsidR="00A71942" w:rsidRPr="009B361A" w14:paraId="37770007" w14:textId="77777777" w:rsidTr="1FC5E705">
        <w:trPr>
          <w:trHeight w:val="285"/>
        </w:trPr>
        <w:tc>
          <w:tcPr>
            <w:tcW w:w="0" w:type="auto"/>
            <w:hideMark/>
          </w:tcPr>
          <w:p w14:paraId="1090A32C"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EU RES share in final energy consumption</w:t>
            </w:r>
          </w:p>
        </w:tc>
        <w:tc>
          <w:tcPr>
            <w:tcW w:w="0" w:type="auto"/>
          </w:tcPr>
          <w:p w14:paraId="17D091D3" w14:textId="77777777" w:rsidR="00A71942" w:rsidRPr="009B361A" w:rsidRDefault="00A71942" w:rsidP="00E276C8">
            <w:pPr>
              <w:spacing w:after="120"/>
              <w:rPr>
                <w:rStyle w:val="normaltextrun"/>
                <w:rFonts w:eastAsiaTheme="minorHAnsi"/>
                <w:noProof/>
                <w:color w:val="242828" w:themeColor="text1"/>
                <w:sz w:val="22"/>
                <w:szCs w:val="22"/>
                <w:lang w:val="en-GB" w:eastAsia="en-US"/>
              </w:rPr>
            </w:pPr>
            <w:r w:rsidRPr="1FC5E705">
              <w:rPr>
                <w:rStyle w:val="normaltextrun"/>
                <w:noProof/>
                <w:color w:val="242828" w:themeColor="text1"/>
                <w:sz w:val="22"/>
                <w:szCs w:val="22"/>
              </w:rPr>
              <w:t>Can deviate from the legislated target in 2030, driven by the GHG emissions reduction target.</w:t>
            </w:r>
          </w:p>
        </w:tc>
      </w:tr>
      <w:tr w:rsidR="00A71942" w:rsidRPr="009B361A" w14:paraId="5E98C1C0" w14:textId="77777777" w:rsidTr="1FC5E705">
        <w:trPr>
          <w:trHeight w:val="310"/>
        </w:trPr>
        <w:tc>
          <w:tcPr>
            <w:tcW w:w="0" w:type="auto"/>
            <w:hideMark/>
          </w:tcPr>
          <w:p w14:paraId="6B48E51B"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 xml:space="preserve">Total GHGs emissions </w:t>
            </w:r>
          </w:p>
        </w:tc>
        <w:tc>
          <w:tcPr>
            <w:tcW w:w="0" w:type="auto"/>
          </w:tcPr>
          <w:p w14:paraId="668A3178" w14:textId="77777777" w:rsidR="00A71942" w:rsidRPr="009B361A" w:rsidRDefault="00A71942" w:rsidP="00E276C8">
            <w:pPr>
              <w:spacing w:after="120"/>
              <w:rPr>
                <w:rStyle w:val="normaltextrun"/>
                <w:rFonts w:eastAsiaTheme="minorHAnsi"/>
                <w:noProof/>
                <w:color w:val="242828" w:themeColor="text1"/>
                <w:sz w:val="22"/>
                <w:szCs w:val="22"/>
                <w:lang w:val="en-GB" w:eastAsia="en-US"/>
              </w:rPr>
            </w:pPr>
            <w:r w:rsidRPr="1FC5E705">
              <w:rPr>
                <w:rStyle w:val="normaltextrun"/>
                <w:noProof/>
                <w:color w:val="242828" w:themeColor="text1"/>
                <w:sz w:val="22"/>
                <w:szCs w:val="22"/>
              </w:rPr>
              <w:t>As currently legislated.</w:t>
            </w:r>
          </w:p>
        </w:tc>
      </w:tr>
      <w:tr w:rsidR="00A71942" w:rsidRPr="009B361A" w14:paraId="66271486" w14:textId="77777777" w:rsidTr="1FC5E705">
        <w:trPr>
          <w:trHeight w:val="631"/>
        </w:trPr>
        <w:tc>
          <w:tcPr>
            <w:tcW w:w="0" w:type="auto"/>
            <w:hideMark/>
          </w:tcPr>
          <w:p w14:paraId="254DD7F1"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Reduction in final energy consumption relative to the projection in the EU 2020 Reference scenario</w:t>
            </w:r>
          </w:p>
        </w:tc>
        <w:tc>
          <w:tcPr>
            <w:tcW w:w="0" w:type="auto"/>
          </w:tcPr>
          <w:p w14:paraId="3661EF53" w14:textId="77777777" w:rsidR="00A71942" w:rsidRPr="009B361A" w:rsidRDefault="00A71942" w:rsidP="00E276C8">
            <w:pPr>
              <w:spacing w:after="120"/>
              <w:rPr>
                <w:rStyle w:val="normaltextrun"/>
                <w:rFonts w:eastAsiaTheme="minorHAnsi"/>
                <w:noProof/>
                <w:color w:val="242828" w:themeColor="text1"/>
                <w:sz w:val="22"/>
                <w:szCs w:val="22"/>
                <w:lang w:val="en-GB" w:eastAsia="en-US"/>
              </w:rPr>
            </w:pPr>
            <w:r w:rsidRPr="1FC5E705">
              <w:rPr>
                <w:rStyle w:val="normaltextrun"/>
                <w:noProof/>
                <w:color w:val="242828" w:themeColor="text1"/>
                <w:sz w:val="22"/>
                <w:szCs w:val="22"/>
              </w:rPr>
              <w:t>Can deviate from the legislated target in 2030, driven by the GHG emissions reduction target.</w:t>
            </w:r>
          </w:p>
        </w:tc>
      </w:tr>
      <w:tr w:rsidR="00A71942" w:rsidRPr="009B361A" w14:paraId="3C41D5A6" w14:textId="77777777" w:rsidTr="1FC5E705">
        <w:trPr>
          <w:trHeight w:val="283"/>
        </w:trPr>
        <w:tc>
          <w:tcPr>
            <w:tcW w:w="0" w:type="auto"/>
            <w:hideMark/>
          </w:tcPr>
          <w:p w14:paraId="044B3C90" w14:textId="77777777" w:rsidR="00A71942" w:rsidRPr="009B361A" w:rsidRDefault="00A71942" w:rsidP="00E276C8">
            <w:pPr>
              <w:spacing w:after="120"/>
              <w:jc w:val="center"/>
              <w:rPr>
                <w:b/>
                <w:bCs/>
                <w:noProof/>
                <w:color w:val="242828" w:themeColor="text1"/>
                <w:sz w:val="22"/>
                <w:szCs w:val="22"/>
              </w:rPr>
            </w:pPr>
            <w:r w:rsidRPr="1FC5E705">
              <w:rPr>
                <w:b/>
                <w:bCs/>
                <w:noProof/>
                <w:color w:val="242828" w:themeColor="text1"/>
                <w:sz w:val="22"/>
                <w:szCs w:val="22"/>
              </w:rPr>
              <w:t>2040</w:t>
            </w:r>
          </w:p>
        </w:tc>
        <w:tc>
          <w:tcPr>
            <w:tcW w:w="0" w:type="auto"/>
          </w:tcPr>
          <w:p w14:paraId="555F18A8" w14:textId="77777777" w:rsidR="00A71942" w:rsidRPr="009B361A" w:rsidRDefault="00A71942" w:rsidP="00E276C8">
            <w:pPr>
              <w:spacing w:after="120"/>
              <w:rPr>
                <w:noProof/>
                <w:color w:val="242828" w:themeColor="text1"/>
                <w:sz w:val="22"/>
                <w:szCs w:val="22"/>
              </w:rPr>
            </w:pPr>
          </w:p>
        </w:tc>
      </w:tr>
      <w:tr w:rsidR="00A71942" w:rsidRPr="009B361A" w14:paraId="11006B9A" w14:textId="77777777" w:rsidTr="1FC5E705">
        <w:trPr>
          <w:trHeight w:val="420"/>
        </w:trPr>
        <w:tc>
          <w:tcPr>
            <w:tcW w:w="0" w:type="auto"/>
            <w:hideMark/>
          </w:tcPr>
          <w:p w14:paraId="44AE1B5E"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EU ETS emissions reduction target / cap and scope</w:t>
            </w:r>
          </w:p>
        </w:tc>
        <w:tc>
          <w:tcPr>
            <w:tcW w:w="0" w:type="auto"/>
          </w:tcPr>
          <w:p w14:paraId="665CCBB9"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As currently legislated</w:t>
            </w:r>
          </w:p>
        </w:tc>
      </w:tr>
      <w:tr w:rsidR="00A71942" w:rsidRPr="009B361A" w14:paraId="7FD30AF9" w14:textId="77777777" w:rsidTr="1FC5E705">
        <w:trPr>
          <w:trHeight w:val="244"/>
        </w:trPr>
        <w:tc>
          <w:tcPr>
            <w:tcW w:w="0" w:type="auto"/>
            <w:hideMark/>
          </w:tcPr>
          <w:p w14:paraId="582C9BEE"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EU RES share in final energy consumption</w:t>
            </w:r>
          </w:p>
        </w:tc>
        <w:tc>
          <w:tcPr>
            <w:tcW w:w="0" w:type="auto"/>
          </w:tcPr>
          <w:p w14:paraId="4266E103"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Post 2030, the RES share as observed in the scenario, is the result of implemented policies and scenario specifications.</w:t>
            </w:r>
          </w:p>
        </w:tc>
      </w:tr>
      <w:tr w:rsidR="00A71942" w:rsidRPr="009B361A" w14:paraId="3A64C017" w14:textId="77777777" w:rsidTr="1FC5E705">
        <w:trPr>
          <w:trHeight w:val="520"/>
        </w:trPr>
        <w:tc>
          <w:tcPr>
            <w:tcW w:w="0" w:type="auto"/>
            <w:hideMark/>
          </w:tcPr>
          <w:p w14:paraId="5E58FF5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Total GHGs emissions</w:t>
            </w:r>
          </w:p>
        </w:tc>
        <w:tc>
          <w:tcPr>
            <w:tcW w:w="0" w:type="auto"/>
          </w:tcPr>
          <w:p w14:paraId="1747D937"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The scenario does not assume the overall net GHG objective post-2030, the GHG emissions reduction observed, is the result of policies implemented and scenario specifications.</w:t>
            </w:r>
          </w:p>
        </w:tc>
      </w:tr>
      <w:tr w:rsidR="00A71942" w:rsidRPr="009B361A" w14:paraId="2B48E2A7" w14:textId="77777777" w:rsidTr="1FC5E705">
        <w:trPr>
          <w:trHeight w:val="313"/>
        </w:trPr>
        <w:tc>
          <w:tcPr>
            <w:tcW w:w="0" w:type="auto"/>
            <w:hideMark/>
          </w:tcPr>
          <w:p w14:paraId="4629F32B"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Reduction in final energy consumption</w:t>
            </w:r>
          </w:p>
        </w:tc>
        <w:tc>
          <w:tcPr>
            <w:tcW w:w="0" w:type="auto"/>
          </w:tcPr>
          <w:p w14:paraId="52629708"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Post 2030, the reduction in final energy consumption as observed in the scenario, is the result of implemented policies and scenario specifications.</w:t>
            </w:r>
          </w:p>
        </w:tc>
      </w:tr>
      <w:tr w:rsidR="00A71942" w:rsidRPr="009B361A" w14:paraId="39CEAC8B" w14:textId="77777777" w:rsidTr="1FC5E705">
        <w:trPr>
          <w:trHeight w:val="170"/>
        </w:trPr>
        <w:tc>
          <w:tcPr>
            <w:tcW w:w="0" w:type="auto"/>
            <w:hideMark/>
          </w:tcPr>
          <w:p w14:paraId="262BE4DB" w14:textId="77777777" w:rsidR="00A71942" w:rsidRPr="009B361A" w:rsidRDefault="00A71942" w:rsidP="00E276C8">
            <w:pPr>
              <w:spacing w:after="120"/>
              <w:jc w:val="center"/>
              <w:rPr>
                <w:b/>
                <w:bCs/>
                <w:noProof/>
                <w:color w:val="242828" w:themeColor="text1"/>
                <w:sz w:val="22"/>
                <w:szCs w:val="22"/>
              </w:rPr>
            </w:pPr>
            <w:r w:rsidRPr="1FC5E705">
              <w:rPr>
                <w:b/>
                <w:bCs/>
                <w:noProof/>
                <w:color w:val="242828" w:themeColor="text1"/>
                <w:sz w:val="22"/>
                <w:szCs w:val="22"/>
              </w:rPr>
              <w:t>2050</w:t>
            </w:r>
          </w:p>
        </w:tc>
        <w:tc>
          <w:tcPr>
            <w:tcW w:w="0" w:type="auto"/>
          </w:tcPr>
          <w:p w14:paraId="7CF76445" w14:textId="77777777" w:rsidR="00A71942" w:rsidRPr="009B361A" w:rsidRDefault="00A71942" w:rsidP="00E276C8">
            <w:pPr>
              <w:spacing w:after="120"/>
              <w:rPr>
                <w:noProof/>
                <w:color w:val="242828" w:themeColor="text1"/>
                <w:sz w:val="22"/>
                <w:szCs w:val="22"/>
              </w:rPr>
            </w:pPr>
          </w:p>
        </w:tc>
      </w:tr>
      <w:tr w:rsidR="00A71942" w:rsidRPr="009B361A" w14:paraId="0AF4CF66" w14:textId="77777777" w:rsidTr="1FC5E705">
        <w:trPr>
          <w:trHeight w:val="510"/>
        </w:trPr>
        <w:tc>
          <w:tcPr>
            <w:tcW w:w="0" w:type="auto"/>
            <w:hideMark/>
          </w:tcPr>
          <w:p w14:paraId="48BE258A"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Total GHGs emissions without LULUCF</w:t>
            </w:r>
          </w:p>
        </w:tc>
        <w:tc>
          <w:tcPr>
            <w:tcW w:w="0" w:type="auto"/>
          </w:tcPr>
          <w:p w14:paraId="41B2FF31"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Achieve climate neutrality by 2050.</w:t>
            </w:r>
          </w:p>
        </w:tc>
      </w:tr>
      <w:tr w:rsidR="00A71942" w:rsidRPr="009B361A" w14:paraId="6427A14B" w14:textId="77777777" w:rsidTr="1FC5E705">
        <w:trPr>
          <w:trHeight w:val="283"/>
        </w:trPr>
        <w:tc>
          <w:tcPr>
            <w:tcW w:w="0" w:type="auto"/>
            <w:gridSpan w:val="2"/>
            <w:hideMark/>
          </w:tcPr>
          <w:p w14:paraId="6CC5324D"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EU ETS Impact Assessment thematic policy measures</w:t>
            </w:r>
          </w:p>
        </w:tc>
      </w:tr>
      <w:tr w:rsidR="00A71942" w:rsidRPr="009B361A" w14:paraId="1BF55F46" w14:textId="77777777" w:rsidTr="1FC5E705">
        <w:trPr>
          <w:trHeight w:val="360"/>
        </w:trPr>
        <w:tc>
          <w:tcPr>
            <w:tcW w:w="0" w:type="auto"/>
            <w:hideMark/>
          </w:tcPr>
          <w:p w14:paraId="5F6394AF"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EU ETS cap trajectory</w:t>
            </w:r>
          </w:p>
        </w:tc>
        <w:tc>
          <w:tcPr>
            <w:tcW w:w="0" w:type="auto"/>
            <w:hideMark/>
          </w:tcPr>
          <w:p w14:paraId="0A4BE0A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In line with existing legislation (as amended by ETS 2023/959)</w:t>
            </w:r>
          </w:p>
        </w:tc>
      </w:tr>
      <w:tr w:rsidR="00A71942" w:rsidRPr="009B361A" w14:paraId="4D724C9F" w14:textId="77777777" w:rsidTr="1FC5E705">
        <w:trPr>
          <w:trHeight w:val="360"/>
        </w:trPr>
        <w:tc>
          <w:tcPr>
            <w:tcW w:w="0" w:type="auto"/>
            <w:hideMark/>
          </w:tcPr>
          <w:p w14:paraId="2F54D1A7"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ETS2 cap trajectory</w:t>
            </w:r>
          </w:p>
        </w:tc>
        <w:tc>
          <w:tcPr>
            <w:tcW w:w="0" w:type="auto"/>
            <w:hideMark/>
          </w:tcPr>
          <w:p w14:paraId="63FBC99C"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In line with existing legislation (as amended by ETS 2023/959)</w:t>
            </w:r>
          </w:p>
        </w:tc>
      </w:tr>
      <w:tr w:rsidR="00A71942" w:rsidRPr="009B361A" w14:paraId="592AA4A4" w14:textId="77777777" w:rsidTr="1FC5E705">
        <w:trPr>
          <w:trHeight w:val="283"/>
        </w:trPr>
        <w:tc>
          <w:tcPr>
            <w:tcW w:w="0" w:type="auto"/>
            <w:hideMark/>
          </w:tcPr>
          <w:p w14:paraId="34F25FA1"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Carbon Leakage</w:t>
            </w:r>
          </w:p>
        </w:tc>
        <w:tc>
          <w:tcPr>
            <w:tcW w:w="0" w:type="auto"/>
            <w:hideMark/>
          </w:tcPr>
          <w:p w14:paraId="514B8498"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 </w:t>
            </w:r>
          </w:p>
        </w:tc>
      </w:tr>
      <w:tr w:rsidR="00A71942" w:rsidRPr="009B361A" w14:paraId="15D40712" w14:textId="77777777" w:rsidTr="1FC5E705">
        <w:trPr>
          <w:trHeight w:val="340"/>
        </w:trPr>
        <w:tc>
          <w:tcPr>
            <w:tcW w:w="0" w:type="auto"/>
            <w:hideMark/>
          </w:tcPr>
          <w:p w14:paraId="53FB1738"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Policy measures</w:t>
            </w:r>
          </w:p>
        </w:tc>
        <w:tc>
          <w:tcPr>
            <w:tcW w:w="0" w:type="auto"/>
            <w:hideMark/>
          </w:tcPr>
          <w:p w14:paraId="62B6B1E8"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In line with existing legislation (as amended by ETS 2023/959)</w:t>
            </w:r>
          </w:p>
        </w:tc>
      </w:tr>
      <w:tr w:rsidR="00A71942" w:rsidRPr="009B361A" w14:paraId="5FBEE6D7" w14:textId="77777777" w:rsidTr="1FC5E705">
        <w:trPr>
          <w:trHeight w:val="283"/>
        </w:trPr>
        <w:tc>
          <w:tcPr>
            <w:tcW w:w="0" w:type="auto"/>
            <w:hideMark/>
          </w:tcPr>
          <w:p w14:paraId="022005B3"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MSR EU ETS</w:t>
            </w:r>
          </w:p>
        </w:tc>
        <w:tc>
          <w:tcPr>
            <w:tcW w:w="0" w:type="auto"/>
            <w:hideMark/>
          </w:tcPr>
          <w:p w14:paraId="2187546F"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 </w:t>
            </w:r>
          </w:p>
        </w:tc>
      </w:tr>
      <w:tr w:rsidR="00A71942" w:rsidRPr="009B361A" w14:paraId="6B562451" w14:textId="77777777" w:rsidTr="1FC5E705">
        <w:trPr>
          <w:trHeight w:val="283"/>
        </w:trPr>
        <w:tc>
          <w:tcPr>
            <w:tcW w:w="0" w:type="auto"/>
            <w:hideMark/>
          </w:tcPr>
          <w:p w14:paraId="39AA9FA5"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Policy measures</w:t>
            </w:r>
          </w:p>
        </w:tc>
        <w:tc>
          <w:tcPr>
            <w:tcW w:w="0" w:type="auto"/>
            <w:hideMark/>
          </w:tcPr>
          <w:p w14:paraId="61BB591A" w14:textId="093F2743" w:rsidR="00A71942" w:rsidRPr="009B361A" w:rsidRDefault="00A71942" w:rsidP="00E276C8">
            <w:pPr>
              <w:spacing w:after="120"/>
              <w:rPr>
                <w:noProof/>
                <w:color w:val="242828" w:themeColor="text1"/>
                <w:sz w:val="22"/>
                <w:szCs w:val="22"/>
              </w:rPr>
            </w:pPr>
            <w:r w:rsidRPr="1FC5E705">
              <w:rPr>
                <w:noProof/>
                <w:color w:val="242828" w:themeColor="text1"/>
                <w:sz w:val="22"/>
                <w:szCs w:val="22"/>
              </w:rPr>
              <w:t>In line with existing legislation (ETS 2023/959)</w:t>
            </w:r>
          </w:p>
        </w:tc>
      </w:tr>
      <w:tr w:rsidR="00A71942" w:rsidRPr="009B361A" w14:paraId="67B7E3CA" w14:textId="77777777" w:rsidTr="1FC5E705">
        <w:trPr>
          <w:trHeight w:val="283"/>
        </w:trPr>
        <w:tc>
          <w:tcPr>
            <w:tcW w:w="0" w:type="auto"/>
            <w:gridSpan w:val="2"/>
            <w:hideMark/>
          </w:tcPr>
          <w:p w14:paraId="62BC2A84"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Potential inclusion of permanent carbon removals</w:t>
            </w:r>
          </w:p>
        </w:tc>
      </w:tr>
      <w:tr w:rsidR="00A71942" w:rsidRPr="009B361A" w14:paraId="4B0C4691" w14:textId="77777777" w:rsidTr="1FC5E705">
        <w:trPr>
          <w:trHeight w:val="340"/>
        </w:trPr>
        <w:tc>
          <w:tcPr>
            <w:tcW w:w="0" w:type="auto"/>
            <w:hideMark/>
          </w:tcPr>
          <w:p w14:paraId="14AAB46C"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Policy measures</w:t>
            </w:r>
          </w:p>
        </w:tc>
        <w:tc>
          <w:tcPr>
            <w:tcW w:w="0" w:type="auto"/>
            <w:hideMark/>
          </w:tcPr>
          <w:p w14:paraId="73D8464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Permanent removals excluded from the ETS (existing legislation (ETS 2023/959))</w:t>
            </w:r>
          </w:p>
        </w:tc>
      </w:tr>
      <w:tr w:rsidR="00A71942" w:rsidRPr="009B361A" w14:paraId="4CDCEBF0" w14:textId="77777777" w:rsidTr="1FC5E705">
        <w:trPr>
          <w:trHeight w:val="283"/>
        </w:trPr>
        <w:tc>
          <w:tcPr>
            <w:tcW w:w="0" w:type="auto"/>
            <w:gridSpan w:val="2"/>
            <w:hideMark/>
          </w:tcPr>
          <w:p w14:paraId="30FBF46E"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Potential inclusion of municipal waste incineration (MWI) and other waste management processes</w:t>
            </w:r>
          </w:p>
        </w:tc>
      </w:tr>
      <w:tr w:rsidR="00A71942" w:rsidRPr="009B361A" w14:paraId="17774F18" w14:textId="77777777" w:rsidTr="1FC5E705">
        <w:trPr>
          <w:trHeight w:val="283"/>
        </w:trPr>
        <w:tc>
          <w:tcPr>
            <w:tcW w:w="0" w:type="auto"/>
            <w:hideMark/>
          </w:tcPr>
          <w:p w14:paraId="5254371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Policy measures</w:t>
            </w:r>
          </w:p>
        </w:tc>
        <w:tc>
          <w:tcPr>
            <w:tcW w:w="0" w:type="auto"/>
            <w:hideMark/>
          </w:tcPr>
          <w:p w14:paraId="03D18210"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Waste management activities not included (in line with existing legislation (ETS 2023/959))</w:t>
            </w:r>
          </w:p>
        </w:tc>
      </w:tr>
      <w:tr w:rsidR="00A71942" w:rsidRPr="009B361A" w14:paraId="51D16A19" w14:textId="77777777" w:rsidTr="1FC5E705">
        <w:trPr>
          <w:trHeight w:val="283"/>
        </w:trPr>
        <w:tc>
          <w:tcPr>
            <w:tcW w:w="0" w:type="auto"/>
            <w:gridSpan w:val="2"/>
            <w:hideMark/>
          </w:tcPr>
          <w:p w14:paraId="572216CC" w14:textId="77777777" w:rsidR="00A71942" w:rsidRPr="009B361A" w:rsidRDefault="00A71942" w:rsidP="00E276C8">
            <w:pPr>
              <w:spacing w:after="120"/>
              <w:rPr>
                <w:b/>
                <w:bCs/>
                <w:noProof/>
                <w:color w:val="242828" w:themeColor="text1"/>
                <w:sz w:val="22"/>
                <w:szCs w:val="22"/>
              </w:rPr>
            </w:pPr>
            <w:r w:rsidRPr="1FC5E705">
              <w:rPr>
                <w:b/>
                <w:bCs/>
                <w:noProof/>
                <w:color w:val="242828" w:themeColor="text1"/>
                <w:sz w:val="22"/>
                <w:szCs w:val="22"/>
              </w:rPr>
              <w:t>Carbon Capture and Use (CCU):</w:t>
            </w:r>
          </w:p>
        </w:tc>
      </w:tr>
      <w:tr w:rsidR="00A71942" w:rsidRPr="009B361A" w14:paraId="47EBC5C0" w14:textId="77777777" w:rsidTr="1FC5E705">
        <w:trPr>
          <w:trHeight w:val="283"/>
        </w:trPr>
        <w:tc>
          <w:tcPr>
            <w:tcW w:w="0" w:type="auto"/>
            <w:hideMark/>
          </w:tcPr>
          <w:p w14:paraId="69E020B0"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Policy measures</w:t>
            </w:r>
          </w:p>
        </w:tc>
        <w:tc>
          <w:tcPr>
            <w:tcW w:w="0" w:type="auto"/>
            <w:hideMark/>
          </w:tcPr>
          <w:p w14:paraId="5652F772" w14:textId="77777777" w:rsidR="00A71942" w:rsidRPr="009B361A" w:rsidRDefault="00A71942" w:rsidP="00E276C8">
            <w:pPr>
              <w:spacing w:after="120"/>
              <w:rPr>
                <w:noProof/>
                <w:color w:val="242828" w:themeColor="text1"/>
                <w:sz w:val="22"/>
                <w:szCs w:val="22"/>
              </w:rPr>
            </w:pPr>
            <w:r w:rsidRPr="1FC5E705">
              <w:rPr>
                <w:noProof/>
                <w:color w:val="242828" w:themeColor="text1"/>
                <w:sz w:val="22"/>
                <w:szCs w:val="22"/>
              </w:rPr>
              <w:t>Upstream accounting - Emitter pays for the carbon molecule</w:t>
            </w:r>
          </w:p>
        </w:tc>
      </w:tr>
    </w:tbl>
    <w:p w14:paraId="15606106" w14:textId="5B89866B" w:rsidR="000640F4" w:rsidRPr="000640F4" w:rsidRDefault="00A71942" w:rsidP="00E276C8">
      <w:pPr>
        <w:pStyle w:val="Heading2COM"/>
        <w:spacing w:before="120" w:after="120" w:line="240" w:lineRule="auto"/>
        <w:outlineLvl w:val="2"/>
        <w15:collapsed w:val="0"/>
        <w:rPr>
          <w:noProof/>
        </w:rPr>
      </w:pPr>
      <w:bookmarkStart w:id="396" w:name="_Toc232591582"/>
      <w:bookmarkStart w:id="397" w:name="_Toc232611489"/>
      <w:bookmarkStart w:id="398" w:name="_Toc232758170"/>
      <w:r>
        <w:rPr>
          <w:noProof/>
        </w:rPr>
        <w:t>85% Policy Scenario</w:t>
      </w:r>
      <w:bookmarkEnd w:id="396"/>
      <w:bookmarkEnd w:id="397"/>
      <w:bookmarkEnd w:id="398"/>
    </w:p>
    <w:p w14:paraId="2D0004C9" w14:textId="05E3F5FB" w:rsidR="00A71942" w:rsidRPr="000640F4" w:rsidRDefault="00A71942" w:rsidP="00975687">
      <w:pPr>
        <w:spacing w:line="240" w:lineRule="auto"/>
        <w:rPr>
          <w:noProof/>
        </w:rPr>
      </w:pPr>
      <w:r w:rsidRPr="000640F4">
        <w:rPr>
          <w:noProof/>
        </w:rPr>
        <w:t xml:space="preserve">The PRIMES85 scenario serves as a basis for the assessment of EU ETS policy options. The scenario aims at achieving 85% reduction of net GHGs in 2040 and climate neutrality in 2050. Main changes compared to the Baseline scenario at the EU level can be summarised with the following points: </w:t>
      </w:r>
    </w:p>
    <w:p w14:paraId="74C45148" w14:textId="77777777" w:rsidR="00A71942" w:rsidRPr="001364B7" w:rsidRDefault="00A71942" w:rsidP="00975687">
      <w:pPr>
        <w:pStyle w:val="ListParagraph"/>
        <w:numPr>
          <w:ilvl w:val="0"/>
          <w:numId w:val="68"/>
        </w:numPr>
        <w:spacing w:after="120" w:line="240" w:lineRule="auto"/>
        <w:rPr>
          <w:b/>
          <w:noProof/>
        </w:rPr>
      </w:pPr>
      <w:r w:rsidRPr="001364B7">
        <w:rPr>
          <w:i/>
          <w:noProof/>
        </w:rPr>
        <w:t>GHG scope:</w:t>
      </w:r>
      <w:r w:rsidRPr="001364B7">
        <w:rPr>
          <w:noProof/>
        </w:rPr>
        <w:t xml:space="preserve"> Domestic countries + intra-EU aviation + 100% international intra-EU maritime + 50% international extra-EU MRV maritime + outgoing extra-EEA aviation.</w:t>
      </w:r>
    </w:p>
    <w:p w14:paraId="2A6F3530" w14:textId="77777777" w:rsidR="00A71942" w:rsidRPr="000640F4" w:rsidRDefault="00A71942" w:rsidP="00975687">
      <w:pPr>
        <w:pStyle w:val="ListParagraph"/>
        <w:numPr>
          <w:ilvl w:val="0"/>
          <w:numId w:val="68"/>
        </w:numPr>
        <w:spacing w:after="120" w:line="240" w:lineRule="auto"/>
        <w:rPr>
          <w:noProof/>
        </w:rPr>
      </w:pPr>
      <w:r w:rsidRPr="000640F4">
        <w:rPr>
          <w:i/>
          <w:iCs/>
          <w:noProof/>
        </w:rPr>
        <w:t>GHG emissions reduction ambition:</w:t>
      </w:r>
      <w:r w:rsidRPr="000640F4">
        <w:rPr>
          <w:b/>
          <w:bCs/>
          <w:noProof/>
        </w:rPr>
        <w:t xml:space="preserve"> </w:t>
      </w:r>
      <w:r w:rsidRPr="000640F4">
        <w:rPr>
          <w:noProof/>
        </w:rPr>
        <w:t xml:space="preserve">achieving 85% reduction of net GHGs in 2040 and climate neutrality in 2050. </w:t>
      </w:r>
    </w:p>
    <w:p w14:paraId="075839FF" w14:textId="77777777" w:rsidR="00A71942" w:rsidRPr="000640F4" w:rsidRDefault="00A71942" w:rsidP="00975687">
      <w:pPr>
        <w:pStyle w:val="ListParagraph"/>
        <w:numPr>
          <w:ilvl w:val="0"/>
          <w:numId w:val="68"/>
        </w:numPr>
        <w:spacing w:after="120" w:line="240" w:lineRule="auto"/>
        <w:ind w:left="714" w:hanging="357"/>
        <w:rPr>
          <w:noProof/>
        </w:rPr>
      </w:pPr>
      <w:r w:rsidRPr="000640F4">
        <w:rPr>
          <w:i/>
          <w:iCs/>
          <w:noProof/>
        </w:rPr>
        <w:t>EU ETS cap</w:t>
      </w:r>
      <w:r w:rsidRPr="000640F4">
        <w:rPr>
          <w:noProof/>
        </w:rPr>
        <w:t>: the scenario does not aim at following the EU ETS trajectories as in the Baseline scenario.</w:t>
      </w:r>
    </w:p>
    <w:p w14:paraId="5EB5B105" w14:textId="77777777" w:rsidR="00A71942" w:rsidRPr="000640F4" w:rsidRDefault="00A71942" w:rsidP="00975687">
      <w:pPr>
        <w:pStyle w:val="ListParagraph"/>
        <w:numPr>
          <w:ilvl w:val="0"/>
          <w:numId w:val="68"/>
        </w:numPr>
        <w:spacing w:after="120" w:line="240" w:lineRule="auto"/>
        <w:ind w:left="714" w:hanging="357"/>
        <w:rPr>
          <w:noProof/>
        </w:rPr>
      </w:pPr>
      <w:r w:rsidRPr="000640F4">
        <w:rPr>
          <w:i/>
          <w:iCs/>
          <w:noProof/>
        </w:rPr>
        <w:t>EU ETS scope</w:t>
      </w:r>
      <w:r w:rsidRPr="000640F4">
        <w:rPr>
          <w:noProof/>
        </w:rPr>
        <w:t>: domestic flights within EU-27 countries (except to and from outermost regions), intra-EEA flights (including non-domestic flights to and from outermost regions) plus departing flights to UK and Switzerland, outgoing extra-EEA aviation.</w:t>
      </w:r>
    </w:p>
    <w:p w14:paraId="7B54EE4B" w14:textId="77777777" w:rsidR="00A71942" w:rsidRPr="000640F4" w:rsidRDefault="00A71942" w:rsidP="00975687">
      <w:pPr>
        <w:pStyle w:val="Tabletitle"/>
        <w:keepNext/>
        <w:spacing w:after="120" w:line="240" w:lineRule="auto"/>
        <w:ind w:left="720"/>
        <w:rPr>
          <w:noProof/>
        </w:rPr>
      </w:pPr>
      <w:bookmarkStart w:id="399" w:name="_Toc222405593"/>
      <w:bookmarkStart w:id="400" w:name="_Toc232608939"/>
      <w:bookmarkStart w:id="401" w:name="_Toc232611549"/>
      <w:bookmarkStart w:id="402" w:name="_Toc232672609"/>
      <w:bookmarkStart w:id="403" w:name="_Toc232758461"/>
      <w:bookmarkStart w:id="404" w:name="_Ref199403578"/>
      <w:r w:rsidRPr="000640F4">
        <w:rPr>
          <w:noProof/>
        </w:rPr>
        <w:t>Overview of the development of the policy scenario at the EU level</w:t>
      </w:r>
      <w:bookmarkEnd w:id="399"/>
      <w:bookmarkEnd w:id="400"/>
      <w:bookmarkEnd w:id="401"/>
      <w:bookmarkEnd w:id="402"/>
      <w:bookmarkEnd w:id="403"/>
    </w:p>
    <w:tbl>
      <w:tblPr>
        <w:tblStyle w:val="CV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6400"/>
      </w:tblGrid>
      <w:tr w:rsidR="00A71942" w:rsidRPr="000640F4" w14:paraId="5FE8F190" w14:textId="77777777" w:rsidTr="00F514AE">
        <w:trPr>
          <w:trHeight w:val="290"/>
        </w:trPr>
        <w:tc>
          <w:tcPr>
            <w:tcW w:w="1451" w:type="pct"/>
            <w:hideMark/>
          </w:tcPr>
          <w:bookmarkEnd w:id="404"/>
          <w:p w14:paraId="0446BF84"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 </w:t>
            </w:r>
          </w:p>
        </w:tc>
        <w:tc>
          <w:tcPr>
            <w:tcW w:w="3549" w:type="pct"/>
            <w:hideMark/>
          </w:tcPr>
          <w:p w14:paraId="292DDFA1"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Policy scenario</w:t>
            </w:r>
          </w:p>
        </w:tc>
      </w:tr>
      <w:tr w:rsidR="00A71942" w:rsidRPr="000640F4" w14:paraId="72129E67" w14:textId="77777777" w:rsidTr="00F514AE">
        <w:trPr>
          <w:trHeight w:val="283"/>
        </w:trPr>
        <w:tc>
          <w:tcPr>
            <w:tcW w:w="1451" w:type="pct"/>
            <w:hideMark/>
          </w:tcPr>
          <w:p w14:paraId="0688057F" w14:textId="77777777" w:rsidR="00A71942" w:rsidRPr="000640F4" w:rsidRDefault="00A71942" w:rsidP="00975687">
            <w:pPr>
              <w:spacing w:after="120"/>
              <w:ind w:firstLineChars="100" w:firstLine="221"/>
              <w:rPr>
                <w:b/>
                <w:bCs/>
                <w:noProof/>
                <w:color w:val="242828" w:themeColor="text1"/>
                <w:sz w:val="22"/>
                <w:szCs w:val="22"/>
              </w:rPr>
            </w:pPr>
            <w:r w:rsidRPr="000640F4">
              <w:rPr>
                <w:b/>
                <w:bCs/>
                <w:noProof/>
                <w:color w:val="242828" w:themeColor="text1"/>
                <w:sz w:val="22"/>
                <w:szCs w:val="22"/>
              </w:rPr>
              <w:t>2040</w:t>
            </w:r>
          </w:p>
        </w:tc>
        <w:tc>
          <w:tcPr>
            <w:tcW w:w="3549" w:type="pct"/>
          </w:tcPr>
          <w:p w14:paraId="2B4786FF" w14:textId="77777777" w:rsidR="00A71942" w:rsidRPr="000640F4" w:rsidRDefault="00A71942" w:rsidP="00975687">
            <w:pPr>
              <w:spacing w:after="120"/>
              <w:rPr>
                <w:noProof/>
                <w:color w:val="242828" w:themeColor="text1"/>
                <w:sz w:val="22"/>
                <w:szCs w:val="22"/>
              </w:rPr>
            </w:pPr>
          </w:p>
        </w:tc>
      </w:tr>
      <w:tr w:rsidR="00A71942" w:rsidRPr="000640F4" w14:paraId="6857ECF0" w14:textId="77777777" w:rsidTr="00F514AE">
        <w:trPr>
          <w:trHeight w:val="420"/>
        </w:trPr>
        <w:tc>
          <w:tcPr>
            <w:tcW w:w="1451" w:type="pct"/>
            <w:hideMark/>
          </w:tcPr>
          <w:p w14:paraId="4F53D758" w14:textId="77777777" w:rsidR="00A71942" w:rsidRPr="000640F4" w:rsidRDefault="00A71942" w:rsidP="00975687">
            <w:pPr>
              <w:spacing w:after="120"/>
              <w:rPr>
                <w:noProof/>
                <w:color w:val="242828" w:themeColor="text1"/>
                <w:sz w:val="22"/>
                <w:szCs w:val="22"/>
                <w:lang w:val="fr-FR"/>
              </w:rPr>
            </w:pPr>
            <w:r w:rsidRPr="000640F4">
              <w:rPr>
                <w:noProof/>
                <w:color w:val="242828" w:themeColor="text1"/>
                <w:sz w:val="22"/>
                <w:szCs w:val="22"/>
                <w:lang w:val="fr-BE"/>
              </w:rPr>
              <w:t>EU ETS emissions reduction target</w:t>
            </w:r>
          </w:p>
        </w:tc>
        <w:tc>
          <w:tcPr>
            <w:tcW w:w="3549" w:type="pct"/>
          </w:tcPr>
          <w:p w14:paraId="5E79239B"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The reduction of EU ETS emissions as observed in the scenario, is the result of implemented policy options and scenario specifications. The cap trajectory will be the subject of the policy option design.</w:t>
            </w:r>
          </w:p>
        </w:tc>
      </w:tr>
      <w:tr w:rsidR="00A71942" w:rsidRPr="000640F4" w14:paraId="7E5D2EC9" w14:textId="77777777" w:rsidTr="00F514AE">
        <w:trPr>
          <w:trHeight w:val="244"/>
        </w:trPr>
        <w:tc>
          <w:tcPr>
            <w:tcW w:w="1451" w:type="pct"/>
            <w:hideMark/>
          </w:tcPr>
          <w:p w14:paraId="1029A827"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EU RES share in final energy consumption</w:t>
            </w:r>
          </w:p>
        </w:tc>
        <w:tc>
          <w:tcPr>
            <w:tcW w:w="3549" w:type="pct"/>
          </w:tcPr>
          <w:p w14:paraId="2924A867"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Post 2030, the RES share as observed in the scenario, is the result of implemented policies and scenario specifications.</w:t>
            </w:r>
          </w:p>
        </w:tc>
      </w:tr>
      <w:tr w:rsidR="00A71942" w:rsidRPr="000640F4" w14:paraId="59C7045B" w14:textId="77777777" w:rsidTr="00F514AE">
        <w:trPr>
          <w:trHeight w:val="520"/>
        </w:trPr>
        <w:tc>
          <w:tcPr>
            <w:tcW w:w="1451" w:type="pct"/>
            <w:hideMark/>
          </w:tcPr>
          <w:p w14:paraId="57D8DE23"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Total GHGs emissions</w:t>
            </w:r>
          </w:p>
        </w:tc>
        <w:tc>
          <w:tcPr>
            <w:tcW w:w="3549" w:type="pct"/>
          </w:tcPr>
          <w:p w14:paraId="35CECE24"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Aims at achieving 85% reduction of net GHGs in 2040 and climate neutrality in 2050, considering the following net GHG scope: domestic countries + intra-EU aviation + outgoing extra-EEA aviation + 100% international intra-EU maritime + 50% international extra-EU MRV maritime.</w:t>
            </w:r>
          </w:p>
        </w:tc>
      </w:tr>
      <w:tr w:rsidR="00A71942" w:rsidRPr="000640F4" w14:paraId="0837FF62" w14:textId="77777777" w:rsidTr="00F514AE">
        <w:trPr>
          <w:trHeight w:val="313"/>
        </w:trPr>
        <w:tc>
          <w:tcPr>
            <w:tcW w:w="1451" w:type="pct"/>
            <w:hideMark/>
          </w:tcPr>
          <w:p w14:paraId="42FF09A0"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Reduction in final energy consumption</w:t>
            </w:r>
          </w:p>
        </w:tc>
        <w:tc>
          <w:tcPr>
            <w:tcW w:w="3549" w:type="pct"/>
          </w:tcPr>
          <w:p w14:paraId="4D210E8C"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Post 2030, the reduction in final energy consumption as observed in the scenario, is the result of implemented policies and scenario specifications.</w:t>
            </w:r>
          </w:p>
        </w:tc>
      </w:tr>
      <w:tr w:rsidR="00A71942" w:rsidRPr="000640F4" w14:paraId="12702110" w14:textId="77777777" w:rsidTr="00F514AE">
        <w:trPr>
          <w:trHeight w:val="430"/>
        </w:trPr>
        <w:tc>
          <w:tcPr>
            <w:tcW w:w="1451" w:type="pct"/>
            <w:hideMark/>
          </w:tcPr>
          <w:p w14:paraId="674D0301"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2050</w:t>
            </w:r>
          </w:p>
        </w:tc>
        <w:tc>
          <w:tcPr>
            <w:tcW w:w="3549" w:type="pct"/>
          </w:tcPr>
          <w:p w14:paraId="1079243E" w14:textId="77777777" w:rsidR="00A71942" w:rsidRPr="000640F4" w:rsidRDefault="00A71942" w:rsidP="00975687">
            <w:pPr>
              <w:spacing w:after="120"/>
              <w:rPr>
                <w:noProof/>
                <w:color w:val="242828" w:themeColor="text1"/>
                <w:sz w:val="22"/>
                <w:szCs w:val="22"/>
              </w:rPr>
            </w:pPr>
          </w:p>
        </w:tc>
      </w:tr>
      <w:tr w:rsidR="00A71942" w:rsidRPr="000640F4" w14:paraId="2D588E82" w14:textId="77777777" w:rsidTr="00F514AE">
        <w:trPr>
          <w:trHeight w:val="510"/>
        </w:trPr>
        <w:tc>
          <w:tcPr>
            <w:tcW w:w="1451" w:type="pct"/>
            <w:hideMark/>
          </w:tcPr>
          <w:p w14:paraId="72B121AD"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Total GHGs emissions without LULUCF</w:t>
            </w:r>
          </w:p>
        </w:tc>
        <w:tc>
          <w:tcPr>
            <w:tcW w:w="3549" w:type="pct"/>
          </w:tcPr>
          <w:p w14:paraId="1065D2E6"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Achieve climate neutrality by 2050 (assuming LULUCF net sink of 250-275 Mt).</w:t>
            </w:r>
          </w:p>
        </w:tc>
      </w:tr>
      <w:tr w:rsidR="00A71942" w:rsidRPr="000640F4" w14:paraId="2D2BFAFB" w14:textId="77777777" w:rsidTr="00F514AE">
        <w:trPr>
          <w:trHeight w:val="283"/>
        </w:trPr>
        <w:tc>
          <w:tcPr>
            <w:tcW w:w="5000" w:type="pct"/>
            <w:gridSpan w:val="2"/>
            <w:hideMark/>
          </w:tcPr>
          <w:p w14:paraId="395FD99C"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 xml:space="preserve"> Impact Assessment thematic policy measures</w:t>
            </w:r>
          </w:p>
        </w:tc>
      </w:tr>
      <w:tr w:rsidR="00A71942" w:rsidRPr="000640F4" w14:paraId="0973099B" w14:textId="77777777" w:rsidTr="00F514AE">
        <w:trPr>
          <w:trHeight w:val="360"/>
        </w:trPr>
        <w:tc>
          <w:tcPr>
            <w:tcW w:w="1451" w:type="pct"/>
            <w:hideMark/>
          </w:tcPr>
          <w:p w14:paraId="0B4849B3"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EU ETS cap trajectory</w:t>
            </w:r>
          </w:p>
        </w:tc>
        <w:tc>
          <w:tcPr>
            <w:tcW w:w="3549" w:type="pct"/>
            <w:hideMark/>
          </w:tcPr>
          <w:p w14:paraId="6F401BAF"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r w:rsidR="00A71942" w:rsidRPr="000640F4" w14:paraId="7521257F" w14:textId="77777777" w:rsidTr="00F514AE">
        <w:trPr>
          <w:trHeight w:val="283"/>
        </w:trPr>
        <w:tc>
          <w:tcPr>
            <w:tcW w:w="1451" w:type="pct"/>
            <w:hideMark/>
          </w:tcPr>
          <w:p w14:paraId="1D442AB2"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Carbon Leakage</w:t>
            </w:r>
          </w:p>
        </w:tc>
        <w:tc>
          <w:tcPr>
            <w:tcW w:w="3549" w:type="pct"/>
            <w:hideMark/>
          </w:tcPr>
          <w:p w14:paraId="5B26A8A8"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 </w:t>
            </w:r>
          </w:p>
        </w:tc>
      </w:tr>
      <w:tr w:rsidR="00A71942" w:rsidRPr="000640F4" w14:paraId="0D445B32" w14:textId="77777777" w:rsidTr="00F514AE">
        <w:trPr>
          <w:trHeight w:val="340"/>
        </w:trPr>
        <w:tc>
          <w:tcPr>
            <w:tcW w:w="1451" w:type="pct"/>
            <w:hideMark/>
          </w:tcPr>
          <w:p w14:paraId="13A86BA1"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Policy measures</w:t>
            </w:r>
          </w:p>
        </w:tc>
        <w:tc>
          <w:tcPr>
            <w:tcW w:w="3549" w:type="pct"/>
            <w:hideMark/>
          </w:tcPr>
          <w:p w14:paraId="3F35C7F2"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r w:rsidR="00A71942" w:rsidRPr="000640F4" w14:paraId="18785AAC" w14:textId="77777777" w:rsidTr="00F514AE">
        <w:trPr>
          <w:trHeight w:val="283"/>
        </w:trPr>
        <w:tc>
          <w:tcPr>
            <w:tcW w:w="1451" w:type="pct"/>
            <w:hideMark/>
          </w:tcPr>
          <w:p w14:paraId="126B3D32"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MSR EU ETS</w:t>
            </w:r>
          </w:p>
        </w:tc>
        <w:tc>
          <w:tcPr>
            <w:tcW w:w="3549" w:type="pct"/>
            <w:hideMark/>
          </w:tcPr>
          <w:p w14:paraId="37176B33"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 </w:t>
            </w:r>
          </w:p>
        </w:tc>
      </w:tr>
      <w:tr w:rsidR="00A71942" w:rsidRPr="000640F4" w14:paraId="3F373723" w14:textId="77777777" w:rsidTr="00F514AE">
        <w:trPr>
          <w:trHeight w:val="283"/>
        </w:trPr>
        <w:tc>
          <w:tcPr>
            <w:tcW w:w="1451" w:type="pct"/>
            <w:hideMark/>
          </w:tcPr>
          <w:p w14:paraId="5C3B357A"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Policy measures</w:t>
            </w:r>
          </w:p>
        </w:tc>
        <w:tc>
          <w:tcPr>
            <w:tcW w:w="3549" w:type="pct"/>
            <w:hideMark/>
          </w:tcPr>
          <w:p w14:paraId="667F5D9D"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r w:rsidR="00A71942" w:rsidRPr="000640F4" w14:paraId="0EDE0466" w14:textId="77777777" w:rsidTr="00F514AE">
        <w:trPr>
          <w:trHeight w:val="283"/>
        </w:trPr>
        <w:tc>
          <w:tcPr>
            <w:tcW w:w="5000" w:type="pct"/>
            <w:gridSpan w:val="2"/>
            <w:hideMark/>
          </w:tcPr>
          <w:p w14:paraId="444B1128"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Potential inclusion of permanent carbon removals</w:t>
            </w:r>
          </w:p>
        </w:tc>
      </w:tr>
      <w:tr w:rsidR="00A71942" w:rsidRPr="000640F4" w14:paraId="4B227BD2" w14:textId="77777777" w:rsidTr="00F514AE">
        <w:trPr>
          <w:trHeight w:val="340"/>
        </w:trPr>
        <w:tc>
          <w:tcPr>
            <w:tcW w:w="1451" w:type="pct"/>
            <w:hideMark/>
          </w:tcPr>
          <w:p w14:paraId="765B80DD"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Policy measures</w:t>
            </w:r>
          </w:p>
        </w:tc>
        <w:tc>
          <w:tcPr>
            <w:tcW w:w="3549" w:type="pct"/>
            <w:hideMark/>
          </w:tcPr>
          <w:p w14:paraId="2F6B86E3"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r w:rsidR="00A71942" w:rsidRPr="000640F4" w14:paraId="45394C2C" w14:textId="77777777" w:rsidTr="00F514AE">
        <w:trPr>
          <w:trHeight w:val="283"/>
        </w:trPr>
        <w:tc>
          <w:tcPr>
            <w:tcW w:w="5000" w:type="pct"/>
            <w:gridSpan w:val="2"/>
            <w:hideMark/>
          </w:tcPr>
          <w:p w14:paraId="04F4FA77"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Potential inclusion of municipal waste incineration (MWI) and other waste management processes</w:t>
            </w:r>
          </w:p>
        </w:tc>
      </w:tr>
      <w:tr w:rsidR="00A71942" w:rsidRPr="000640F4" w14:paraId="3E83A1CD" w14:textId="77777777" w:rsidTr="00F514AE">
        <w:trPr>
          <w:trHeight w:val="283"/>
        </w:trPr>
        <w:tc>
          <w:tcPr>
            <w:tcW w:w="1451" w:type="pct"/>
            <w:hideMark/>
          </w:tcPr>
          <w:p w14:paraId="422BFC84"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Policy measures</w:t>
            </w:r>
          </w:p>
        </w:tc>
        <w:tc>
          <w:tcPr>
            <w:tcW w:w="3549" w:type="pct"/>
            <w:hideMark/>
          </w:tcPr>
          <w:p w14:paraId="2C832733"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r w:rsidR="00A71942" w:rsidRPr="000640F4" w14:paraId="509926B9" w14:textId="77777777" w:rsidTr="00F514AE">
        <w:trPr>
          <w:trHeight w:val="283"/>
        </w:trPr>
        <w:tc>
          <w:tcPr>
            <w:tcW w:w="5000" w:type="pct"/>
            <w:gridSpan w:val="2"/>
            <w:hideMark/>
          </w:tcPr>
          <w:p w14:paraId="5AE2F9E2" w14:textId="77777777" w:rsidR="00A71942" w:rsidRPr="000640F4" w:rsidRDefault="00A71942" w:rsidP="00975687">
            <w:pPr>
              <w:spacing w:after="120"/>
              <w:rPr>
                <w:b/>
                <w:bCs/>
                <w:noProof/>
                <w:color w:val="242828" w:themeColor="text1"/>
                <w:sz w:val="22"/>
                <w:szCs w:val="22"/>
              </w:rPr>
            </w:pPr>
            <w:r w:rsidRPr="000640F4">
              <w:rPr>
                <w:b/>
                <w:bCs/>
                <w:noProof/>
                <w:color w:val="242828" w:themeColor="text1"/>
                <w:sz w:val="22"/>
                <w:szCs w:val="22"/>
              </w:rPr>
              <w:t>Carbon Capture and Use (CCU):</w:t>
            </w:r>
          </w:p>
        </w:tc>
      </w:tr>
      <w:tr w:rsidR="00A71942" w:rsidRPr="000640F4" w14:paraId="592C637A" w14:textId="77777777" w:rsidTr="00F514AE">
        <w:trPr>
          <w:trHeight w:val="283"/>
        </w:trPr>
        <w:tc>
          <w:tcPr>
            <w:tcW w:w="1451" w:type="pct"/>
            <w:hideMark/>
          </w:tcPr>
          <w:p w14:paraId="1E6F55F6"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Policy measures</w:t>
            </w:r>
          </w:p>
        </w:tc>
        <w:tc>
          <w:tcPr>
            <w:tcW w:w="3549" w:type="pct"/>
            <w:hideMark/>
          </w:tcPr>
          <w:p w14:paraId="30416E2C" w14:textId="77777777" w:rsidR="00A71942" w:rsidRPr="000640F4" w:rsidRDefault="00A71942" w:rsidP="00975687">
            <w:pPr>
              <w:spacing w:after="120"/>
              <w:rPr>
                <w:noProof/>
                <w:color w:val="242828" w:themeColor="text1"/>
                <w:sz w:val="22"/>
                <w:szCs w:val="22"/>
              </w:rPr>
            </w:pPr>
            <w:r w:rsidRPr="000640F4">
              <w:rPr>
                <w:noProof/>
                <w:color w:val="242828" w:themeColor="text1"/>
                <w:sz w:val="22"/>
                <w:szCs w:val="22"/>
              </w:rPr>
              <w:t>To be defined based on policy option.</w:t>
            </w:r>
          </w:p>
        </w:tc>
      </w:tr>
    </w:tbl>
    <w:p w14:paraId="16F122D4" w14:textId="59B80771" w:rsidR="00A71942" w:rsidRPr="000640F4" w:rsidRDefault="00A71942" w:rsidP="00975687">
      <w:pPr>
        <w:spacing w:line="240" w:lineRule="auto"/>
        <w:rPr>
          <w:noProof/>
        </w:rPr>
      </w:pPr>
      <w:bookmarkStart w:id="405" w:name="_Toc212559741"/>
      <w:bookmarkStart w:id="406" w:name="_Toc212561623"/>
      <w:bookmarkStart w:id="407" w:name="_Toc212559742"/>
      <w:bookmarkStart w:id="408" w:name="_Toc212561624"/>
      <w:bookmarkStart w:id="409" w:name="_Toc212559743"/>
      <w:bookmarkStart w:id="410" w:name="_Toc212561625"/>
      <w:bookmarkEnd w:id="405"/>
      <w:bookmarkEnd w:id="406"/>
      <w:bookmarkEnd w:id="407"/>
      <w:bookmarkEnd w:id="408"/>
      <w:bookmarkEnd w:id="409"/>
      <w:bookmarkEnd w:id="410"/>
      <w:r w:rsidRPr="000640F4">
        <w:rPr>
          <w:noProof/>
        </w:rPr>
        <w:t xml:space="preserve">Here, the elements which can be varied per policy option are not necessarily modelled in </w:t>
      </w:r>
      <w:r w:rsidR="000640F4" w:rsidRPr="000640F4">
        <w:rPr>
          <w:noProof/>
        </w:rPr>
        <w:t>PRIMES but</w:t>
      </w:r>
      <w:r w:rsidRPr="000640F4">
        <w:rPr>
          <w:noProof/>
        </w:rPr>
        <w:t xml:space="preserve"> handled in different models like GEM-E3 for carbon leakage, POLES for MSR, and various post-hoc analysis for the other options, using PRIMES results.</w:t>
      </w:r>
    </w:p>
    <w:p w14:paraId="3BD1DAE2" w14:textId="4A78DE1D" w:rsidR="00A71942" w:rsidRDefault="00A71942" w:rsidP="00975687">
      <w:pPr>
        <w:spacing w:line="240" w:lineRule="auto"/>
        <w:rPr>
          <w:noProof/>
        </w:rPr>
      </w:pPr>
      <w:r w:rsidRPr="000640F4">
        <w:rPr>
          <w:noProof/>
        </w:rPr>
        <w:t>A version of this scenario attaining in 2035 an economy-wide GHG emissions level consistent with a pathway towards a 90% target in 2040, but thereafter consistent with an 85% target in 2040, has also been used.</w:t>
      </w:r>
    </w:p>
    <w:p w14:paraId="7CC6EEF5" w14:textId="77777777" w:rsidR="00A71942" w:rsidRDefault="00A71942" w:rsidP="00E276C8">
      <w:pPr>
        <w:pStyle w:val="Heading2COM"/>
        <w:spacing w:before="120" w:after="120" w:line="240" w:lineRule="auto"/>
        <w:outlineLvl w:val="2"/>
        <w15:collapsed w:val="0"/>
        <w:rPr>
          <w:noProof/>
        </w:rPr>
      </w:pPr>
      <w:bookmarkStart w:id="411" w:name="_Toc232591583"/>
      <w:bookmarkStart w:id="412" w:name="_Toc232611490"/>
      <w:bookmarkStart w:id="413" w:name="_Toc232758171"/>
      <w:r>
        <w:rPr>
          <w:noProof/>
        </w:rPr>
        <w:t>Integration of different models</w:t>
      </w:r>
      <w:bookmarkEnd w:id="411"/>
      <w:bookmarkEnd w:id="412"/>
      <w:bookmarkEnd w:id="413"/>
    </w:p>
    <w:p w14:paraId="76CA2B8E" w14:textId="722B192B" w:rsidR="00A71942" w:rsidRDefault="00A71942" w:rsidP="00E276C8">
      <w:pPr>
        <w:spacing w:line="240" w:lineRule="auto"/>
        <w:rPr>
          <w:noProof/>
          <w:lang w:val="en-US"/>
        </w:rPr>
      </w:pPr>
      <w:r>
        <w:rPr>
          <w:noProof/>
        </w:rPr>
        <w:t xml:space="preserve">The key analytical approach followed in the impact assessment has been to use the PRIMES </w:t>
      </w:r>
      <w:r w:rsidRPr="00446FCD">
        <w:rPr>
          <w:noProof/>
        </w:rPr>
        <w:t>8</w:t>
      </w:r>
      <w:r w:rsidR="00446FCD" w:rsidRPr="00446FCD">
        <w:rPr>
          <w:noProof/>
        </w:rPr>
        <w:t>5</w:t>
      </w:r>
      <w:r>
        <w:rPr>
          <w:noProof/>
        </w:rPr>
        <w:t xml:space="preserve"> scenario and using its outputs and variants to analyse policy options.</w:t>
      </w:r>
    </w:p>
    <w:p w14:paraId="44F5DED9" w14:textId="51B93341" w:rsidR="00A71942" w:rsidRDefault="00A71942" w:rsidP="00E276C8">
      <w:pPr>
        <w:spacing w:line="240" w:lineRule="auto"/>
        <w:rPr>
          <w:noProof/>
        </w:rPr>
      </w:pPr>
      <w:r>
        <w:rPr>
          <w:noProof/>
        </w:rPr>
        <w:t xml:space="preserve">Data about energy use, investments, technology deployment and other key drivers generated in the PRIMES </w:t>
      </w:r>
      <w:r w:rsidRPr="00446FCD">
        <w:rPr>
          <w:noProof/>
        </w:rPr>
        <w:t>85</w:t>
      </w:r>
      <w:r>
        <w:rPr>
          <w:noProof/>
        </w:rPr>
        <w:t xml:space="preserve"> run have been provided to the GEM-E3 model for macro-economic analysis. The GEM-E3 model then provides macro-economic indicators showing the sectorial impact of the different policy options for dealing with carbon leakage prevention (see Annex 12, section 1.3). Similar data has been provided to the POLES model to provide analysis of MSR measures, calibrated to specific PRIMES scenarios, but providing broader insights. </w:t>
      </w:r>
    </w:p>
    <w:p w14:paraId="2772F2D7" w14:textId="77777777" w:rsidR="00A71942" w:rsidRDefault="00A71942" w:rsidP="00E276C8">
      <w:pPr>
        <w:spacing w:line="240" w:lineRule="auto"/>
        <w:rPr>
          <w:noProof/>
        </w:rPr>
      </w:pPr>
      <w:r>
        <w:rPr>
          <w:noProof/>
        </w:rPr>
        <w:t>Other measures have been analysed through analysis of PRIMES results, including by varying removals amounts and costs, to represent different measures.</w:t>
      </w:r>
    </w:p>
    <w:p w14:paraId="7FDAEAEF" w14:textId="77777777" w:rsidR="00A71942" w:rsidRDefault="00A71942" w:rsidP="00E276C8">
      <w:pPr>
        <w:pStyle w:val="Heading1COM"/>
        <w:spacing w:before="120" w:after="120" w:line="240" w:lineRule="auto"/>
        <w:outlineLvl w:val="1"/>
        <w:rPr>
          <w:noProof/>
        </w:rPr>
      </w:pPr>
      <w:bookmarkStart w:id="414" w:name="_Toc232591584"/>
      <w:bookmarkStart w:id="415" w:name="_Toc232611491"/>
      <w:bookmarkStart w:id="416" w:name="_Toc232758172"/>
      <w:r>
        <w:rPr>
          <w:noProof/>
        </w:rPr>
        <w:t>Modelling for the Market Stability Reserve (POLES-Enerdata)</w:t>
      </w:r>
      <w:bookmarkEnd w:id="414"/>
      <w:bookmarkEnd w:id="415"/>
      <w:bookmarkEnd w:id="416"/>
    </w:p>
    <w:p w14:paraId="0C73C1F2" w14:textId="297854E3" w:rsidR="00A71942" w:rsidRPr="00446FCD" w:rsidRDefault="00A71942" w:rsidP="00E276C8">
      <w:pPr>
        <w:spacing w:line="240" w:lineRule="auto"/>
        <w:rPr>
          <w:noProof/>
        </w:rPr>
      </w:pPr>
      <w:bookmarkStart w:id="417" w:name="_Toc212595123"/>
      <w:r w:rsidRPr="00446FCD">
        <w:rPr>
          <w:noProof/>
        </w:rPr>
        <w:t>The objective of this section is to present the methodology used for the quantitative modelling work, using the POLES-Enerdata model, to support the analysis of the Market Stability Reserve (MSR).</w:t>
      </w:r>
      <w:r w:rsidR="00EC338B">
        <w:rPr>
          <w:noProof/>
        </w:rPr>
        <w:t xml:space="preserve"> </w:t>
      </w:r>
      <w:r w:rsidR="00EC338B" w:rsidRPr="00EC338B">
        <w:rPr>
          <w:noProof/>
        </w:rPr>
        <w:t xml:space="preserve">POLES was selected for the MSR modelling exercise </w:t>
      </w:r>
      <w:r w:rsidR="00EC338B">
        <w:rPr>
          <w:noProof/>
        </w:rPr>
        <w:t>instead</w:t>
      </w:r>
      <w:r w:rsidR="00EC338B" w:rsidRPr="00EC338B">
        <w:rPr>
          <w:noProof/>
        </w:rPr>
        <w:t xml:space="preserve"> of PRIMES, POTEnCIA, </w:t>
      </w:r>
      <w:r w:rsidR="00EC338B">
        <w:rPr>
          <w:noProof/>
        </w:rPr>
        <w:t>or</w:t>
      </w:r>
      <w:r w:rsidR="00EC338B" w:rsidRPr="00EC338B">
        <w:rPr>
          <w:noProof/>
        </w:rPr>
        <w:t xml:space="preserve"> GEM-E3 because it is a comparatively lightweight model, enabling </w:t>
      </w:r>
      <w:r w:rsidR="00EC338B">
        <w:rPr>
          <w:noProof/>
        </w:rPr>
        <w:t xml:space="preserve">faster </w:t>
      </w:r>
      <w:r w:rsidR="00EC338B" w:rsidRPr="00EC338B">
        <w:rPr>
          <w:noProof/>
        </w:rPr>
        <w:t>simulation</w:t>
      </w:r>
      <w:r w:rsidR="00EC338B">
        <w:rPr>
          <w:noProof/>
        </w:rPr>
        <w:t>s</w:t>
      </w:r>
      <w:r w:rsidR="00EC338B" w:rsidRPr="00EC338B">
        <w:rPr>
          <w:noProof/>
        </w:rPr>
        <w:t xml:space="preserve"> of scenarios and sensitivity analyses. By contrast, PRIMES and POTEnCIA are substantially more complex and </w:t>
      </w:r>
      <w:r w:rsidR="002B5E3A">
        <w:rPr>
          <w:noProof/>
        </w:rPr>
        <w:t>require much more time and resources</w:t>
      </w:r>
      <w:r w:rsidR="00EC338B" w:rsidRPr="00EC338B">
        <w:rPr>
          <w:noProof/>
        </w:rPr>
        <w:t xml:space="preserve"> produce results for a single variant</w:t>
      </w:r>
      <w:r w:rsidR="002B5E3A">
        <w:rPr>
          <w:noProof/>
        </w:rPr>
        <w:t>, making them less suited for exploring a large number of sensitivities and variants</w:t>
      </w:r>
      <w:r w:rsidR="00EC338B" w:rsidRPr="00EC338B">
        <w:rPr>
          <w:noProof/>
        </w:rPr>
        <w:t xml:space="preserve">. To ensure consistency with </w:t>
      </w:r>
      <w:r w:rsidR="00EC338B">
        <w:rPr>
          <w:noProof/>
        </w:rPr>
        <w:t xml:space="preserve">across </w:t>
      </w:r>
      <w:r w:rsidR="002B7113">
        <w:rPr>
          <w:noProof/>
        </w:rPr>
        <w:t>the different models</w:t>
      </w:r>
      <w:r w:rsidR="00EC338B" w:rsidRPr="00EC338B">
        <w:rPr>
          <w:noProof/>
        </w:rPr>
        <w:t xml:space="preserve">, the cap trajectory implemented in POLES was aligned with the cap derived from the PRIMES. Although the outputs generated by PRIMES and POTEnCIA are generally more detailed and are considered more robust, POLES nonetheless provides useful insights, particularly with regard to the relative impacts observed across </w:t>
      </w:r>
      <w:r w:rsidR="00EC338B">
        <w:rPr>
          <w:noProof/>
        </w:rPr>
        <w:t>the measures and policy options</w:t>
      </w:r>
      <w:r w:rsidR="00F26A16">
        <w:rPr>
          <w:noProof/>
        </w:rPr>
        <w:t xml:space="preserve"> for the MSR</w:t>
      </w:r>
      <w:r w:rsidR="00EC338B">
        <w:rPr>
          <w:noProof/>
        </w:rPr>
        <w:t xml:space="preserve">. </w:t>
      </w:r>
    </w:p>
    <w:p w14:paraId="4FE422C6" w14:textId="6506A328" w:rsidR="00A71942" w:rsidRPr="00446FCD" w:rsidRDefault="00A71942" w:rsidP="00E276C8">
      <w:pPr>
        <w:pStyle w:val="Heading2COM"/>
        <w:spacing w:before="120" w:after="120" w:line="240" w:lineRule="auto"/>
        <w:outlineLvl w:val="2"/>
        <w15:collapsed w:val="0"/>
        <w:rPr>
          <w:noProof/>
        </w:rPr>
      </w:pPr>
      <w:bookmarkStart w:id="418" w:name="_Toc232591585"/>
      <w:bookmarkStart w:id="419" w:name="_Toc232611492"/>
      <w:bookmarkStart w:id="420" w:name="_Toc232758173"/>
      <w:r>
        <w:rPr>
          <w:noProof/>
        </w:rPr>
        <w:t>Approach</w:t>
      </w:r>
      <w:r w:rsidRPr="00446FCD">
        <w:rPr>
          <w:noProof/>
        </w:rPr>
        <w:t xml:space="preserve"> for MSR analysis</w:t>
      </w:r>
      <w:bookmarkEnd w:id="418"/>
      <w:bookmarkEnd w:id="419"/>
      <w:bookmarkEnd w:id="420"/>
    </w:p>
    <w:p w14:paraId="7E16F92A" w14:textId="4C587669" w:rsidR="00A71942" w:rsidRPr="00446FCD" w:rsidRDefault="00A71942" w:rsidP="00E276C8">
      <w:pPr>
        <w:spacing w:line="240" w:lineRule="auto"/>
        <w:rPr>
          <w:noProof/>
          <w:sz w:val="20"/>
          <w:szCs w:val="20"/>
        </w:rPr>
      </w:pPr>
      <w:r w:rsidRPr="00446FCD">
        <w:rPr>
          <w:noProof/>
        </w:rPr>
        <w:t>The quantitative analysis of the MSR is based on two successive phases. First, a measure-level analysis is undertaken, with the aim to define possible MSR designs that best support the system’s stability and resilience to shocks. This measure-level analysis is based on a standard situation, referred to as the MSR core working assumption scenario (or MSR0 measure), which aims to represent one possible base trajectory for the future evolution of the EU emission reductions and of the EU ETS cap, as opposed to the legal default configuration which would lead to an over-constrained system by 2040. The core working assumption scenario definition (presented below) had to be set before the final version of the Policy scenario was ready and was defined to be close enough to the final versions tested in the next phase of policy option-level analysis.</w:t>
      </w:r>
      <w:r w:rsidRPr="00446FCD">
        <w:rPr>
          <w:rFonts w:ascii="Segoe UI" w:hAnsi="Segoe UI" w:cs="Segoe UI"/>
          <w:noProof/>
          <w:sz w:val="18"/>
          <w:szCs w:val="18"/>
        </w:rPr>
        <w:t xml:space="preserve"> </w:t>
      </w:r>
      <w:r w:rsidRPr="00446FCD">
        <w:rPr>
          <w:noProof/>
        </w:rPr>
        <w:t xml:space="preserve">Indeed, the calibration of the POLES-Enerdata model for the CWAS was based on the </w:t>
      </w:r>
      <w:r w:rsidRPr="00E82191">
        <w:rPr>
          <w:noProof/>
        </w:rPr>
        <w:t>PRIMES scenario for a 90% economy-wide target available on 30 May 2025. Despite these, PRIMES results having been updated subsequently, POLES-Enerdata used the intermediate results in order to be able to deliver the MSR results for the measure-level analysis within the deadline set by the contract. However, the MSR analysis at the policy options level was done using the most recent PRIMES results available for the 90-85% target, on 31 March 2026.</w:t>
      </w:r>
    </w:p>
    <w:p w14:paraId="5261CE65" w14:textId="388FAEA6" w:rsidR="00A71942" w:rsidRDefault="00A71942" w:rsidP="00E276C8">
      <w:pPr>
        <w:spacing w:line="240" w:lineRule="auto"/>
        <w:rPr>
          <w:noProof/>
        </w:rPr>
      </w:pPr>
      <w:r w:rsidRPr="00446FCD">
        <w:rPr>
          <w:noProof/>
        </w:rPr>
        <w:t>Then, the obtained robust MSR designs were indeed incorporated as part of policy options. This phase allowed to fine-tune and validate the parameters of the MSR configuration, in the actual context of the final considered scenario.</w:t>
      </w:r>
    </w:p>
    <w:p w14:paraId="0D37E890" w14:textId="77777777" w:rsidR="00A71942" w:rsidRPr="00141ED4" w:rsidRDefault="00A71942" w:rsidP="00E276C8">
      <w:pPr>
        <w:pStyle w:val="Heading2COM"/>
        <w:spacing w:before="120" w:after="120" w:line="240" w:lineRule="auto"/>
        <w:outlineLvl w:val="2"/>
        <w15:collapsed w:val="0"/>
        <w:rPr>
          <w:noProof/>
        </w:rPr>
      </w:pPr>
      <w:bookmarkStart w:id="421" w:name="_Toc232591586"/>
      <w:bookmarkStart w:id="422" w:name="_Toc232611493"/>
      <w:bookmarkStart w:id="423" w:name="_Toc232758174"/>
      <w:r>
        <w:rPr>
          <w:noProof/>
        </w:rPr>
        <w:t>Presentation of the model</w:t>
      </w:r>
      <w:bookmarkEnd w:id="421"/>
      <w:bookmarkEnd w:id="422"/>
      <w:bookmarkEnd w:id="423"/>
    </w:p>
    <w:p w14:paraId="34E1970F" w14:textId="64126122" w:rsidR="00A71942" w:rsidRDefault="00A71942" w:rsidP="00E276C8">
      <w:pPr>
        <w:spacing w:line="240" w:lineRule="auto"/>
        <w:rPr>
          <w:noProof/>
        </w:rPr>
      </w:pPr>
      <w:r>
        <w:rPr>
          <w:noProof/>
        </w:rPr>
        <w:t>Enerdata used the POLES-Enerdata model to do this modelling task.</w:t>
      </w:r>
      <w:r w:rsidR="009B6951">
        <w:rPr>
          <w:noProof/>
        </w:rPr>
        <w:t xml:space="preserve"> </w:t>
      </w:r>
    </w:p>
    <w:p w14:paraId="4D6CDD82" w14:textId="77777777" w:rsidR="00A71942" w:rsidRDefault="00A71942" w:rsidP="00E276C8">
      <w:pPr>
        <w:spacing w:line="240" w:lineRule="auto"/>
        <w:rPr>
          <w:noProof/>
        </w:rPr>
      </w:pPr>
      <w:r w:rsidRPr="1FC5E705">
        <w:rPr>
          <w:rFonts w:eastAsia="Arial"/>
          <w:noProof/>
        </w:rPr>
        <w:t xml:space="preserve">The POLES model has been initially (early 1990s) developed by IEPE (Institute for Economics and Energy Policy), now GAEL lab (Grenoble Applied Economics Lab). Today, it is co-developed by 3 entities: the GAEL lab, the Joint </w:t>
      </w:r>
      <w:r>
        <w:rPr>
          <w:noProof/>
        </w:rPr>
        <w:t>Research</w:t>
      </w:r>
      <w:r w:rsidRPr="1FC5E705">
        <w:rPr>
          <w:rFonts w:eastAsia="Arial"/>
          <w:noProof/>
        </w:rPr>
        <w:t xml:space="preserve"> Centre of the European Commission in Sevilla, and Enerdata. Each entity has ownership of its own version of the model, which is not open-source. POLES-Enerdata is the version of the POLES model owned, maintained and operated by Enerdata. It is continuously updated, developed and used in the framework of numerous studies for public and private actors in the EU and globally. </w:t>
      </w:r>
    </w:p>
    <w:p w14:paraId="5E869367" w14:textId="709B6EB4" w:rsidR="00A71942" w:rsidRDefault="00A71942" w:rsidP="00E276C8">
      <w:pPr>
        <w:spacing w:line="240" w:lineRule="auto"/>
        <w:rPr>
          <w:noProof/>
        </w:rPr>
      </w:pPr>
      <w:r>
        <w:rPr>
          <w:noProof/>
        </w:rPr>
        <w:t>The POLES-Enerdata (Prospective Outlook on Long-term Energy Systems) model is a recognised multi-issue energy model that relies on national energy balances combined with economic, policy and technological scenarios to withdraw energy production, consumption, and greenhouse gas (GHG) emission projections. The figure below shows the general structure of the model, with its main inputs, outputs and covered sectors.</w:t>
      </w:r>
    </w:p>
    <w:p w14:paraId="6BD1C4EF" w14:textId="77777777" w:rsidR="00A71942" w:rsidRPr="00A7553F" w:rsidRDefault="00A71942" w:rsidP="00E276C8">
      <w:pPr>
        <w:pStyle w:val="Figuretitle"/>
        <w:keepNext/>
        <w:spacing w:after="120" w:line="240" w:lineRule="auto"/>
        <w:ind w:left="709"/>
        <w:rPr>
          <w:noProof/>
        </w:rPr>
      </w:pPr>
      <w:bookmarkStart w:id="424" w:name="_Toc222405639"/>
      <w:bookmarkStart w:id="425" w:name="_Toc232609914"/>
      <w:bookmarkStart w:id="426" w:name="_Toc232672647"/>
      <w:bookmarkStart w:id="427" w:name="_Toc234931464"/>
      <w:bookmarkStart w:id="428" w:name="_Toc232758487"/>
      <w:r>
        <w:rPr>
          <w:noProof/>
        </w:rPr>
        <w:t>POLES-Enerdata multi-issue energy model</w:t>
      </w:r>
      <w:bookmarkEnd w:id="424"/>
      <w:bookmarkEnd w:id="425"/>
      <w:bookmarkEnd w:id="426"/>
      <w:bookmarkEnd w:id="427"/>
      <w:bookmarkEnd w:id="428"/>
    </w:p>
    <w:p w14:paraId="697D01F4" w14:textId="140ED894" w:rsidR="00A71942" w:rsidRPr="00C2040D" w:rsidRDefault="00A71942" w:rsidP="00E276C8">
      <w:pPr>
        <w:keepNext/>
        <w:spacing w:line="240" w:lineRule="auto"/>
        <w:rPr>
          <w:noProof/>
        </w:rPr>
      </w:pPr>
      <w:r>
        <w:rPr>
          <w:noProof/>
        </w:rPr>
        <w:t xml:space="preserve"> </w:t>
      </w:r>
      <w:r>
        <w:rPr>
          <w:noProof/>
          <w:lang w:eastAsia="en-GB"/>
        </w:rPr>
        <w:drawing>
          <wp:inline distT="0" distB="0" distL="0" distR="0" wp14:anchorId="45383D27" wp14:editId="7D87FE81">
            <wp:extent cx="5648325" cy="3952875"/>
            <wp:effectExtent l="0" t="0" r="9525" b="9525"/>
            <wp:docPr id="1073741919" name="officeArt object"/>
            <wp:cNvGraphicFramePr/>
            <a:graphic xmlns:a="http://schemas.openxmlformats.org/drawingml/2006/main">
              <a:graphicData uri="http://schemas.openxmlformats.org/drawingml/2006/picture">
                <pic:pic xmlns:pic="http://schemas.openxmlformats.org/drawingml/2006/picture">
                  <pic:nvPicPr>
                    <pic:cNvPr id="1073741919" name="officeArt object"/>
                    <pic:cNvPicPr>
                      <a:picLocks noChangeAspect="1"/>
                    </pic:cNvPicPr>
                  </pic:nvPicPr>
                  <pic:blipFill>
                    <a:blip r:embed="rId41">
                      <a:extLst>
                        <a:ext uri="{96DAC541-7B7A-43D3-8B79-37D633B846F1}">
                          <asvg:svgBlip xmlns:asvg="http://schemas.microsoft.com/office/drawing/2016/SVG/main" r:embed="rId42"/>
                        </a:ext>
                      </a:extLst>
                    </a:blip>
                    <a:stretch>
                      <a:fillRect/>
                    </a:stretch>
                  </pic:blipFill>
                  <pic:spPr>
                    <a:xfrm>
                      <a:off x="0" y="0"/>
                      <a:ext cx="5648325" cy="3952875"/>
                    </a:xfrm>
                    <a:prstGeom prst="rect">
                      <a:avLst/>
                    </a:prstGeom>
                    <a:effectLst/>
                  </pic:spPr>
                </pic:pic>
              </a:graphicData>
            </a:graphic>
          </wp:inline>
        </w:drawing>
      </w:r>
    </w:p>
    <w:p w14:paraId="7BC0D4AA" w14:textId="77777777" w:rsidR="00A71942" w:rsidRPr="002F7EB9" w:rsidRDefault="00A71942" w:rsidP="00E276C8">
      <w:pPr>
        <w:keepNext/>
        <w:spacing w:line="240" w:lineRule="auto"/>
        <w:rPr>
          <w:i/>
          <w:iCs/>
          <w:noProof/>
          <w:sz w:val="20"/>
          <w:szCs w:val="20"/>
        </w:rPr>
      </w:pPr>
      <w:r w:rsidRPr="1FC5E705">
        <w:rPr>
          <w:i/>
          <w:iCs/>
          <w:noProof/>
          <w:sz w:val="20"/>
          <w:szCs w:val="20"/>
        </w:rPr>
        <w:t>Source: Enerdata</w:t>
      </w:r>
    </w:p>
    <w:p w14:paraId="2FAB7498" w14:textId="77777777" w:rsidR="00A71942" w:rsidRPr="00C2040D" w:rsidRDefault="00A71942" w:rsidP="00E276C8">
      <w:pPr>
        <w:spacing w:line="240" w:lineRule="auto"/>
        <w:rPr>
          <w:noProof/>
        </w:rPr>
      </w:pPr>
      <w:r>
        <w:rPr>
          <w:noProof/>
        </w:rPr>
        <w:t>Enerdata co-develops and uses the internationally recognised POLES-Enerdata model to provide quantitative, scenario-based, empirical and objective analyses. Because the POLES-Enerdata model is used for many members of the energy sector (industry, governments, European Commission, etc.), it is very well adapted to forecast the effects of different energy-related engagements (demand-supply, GHG emissions limitations, promotion of renewables and energy efficiency, energy security issues, etc.). In addition, with its global coverage and the endogenous calculation of demand, supply and prices of numerous energies including oil, gas, and coal, the POLES-Enerdata model is very relevant to capture all the impacts of energy policies and climate change measures and to ensure that all the forecasts are coherent within the global environment.</w:t>
      </w:r>
    </w:p>
    <w:p w14:paraId="5FA4C85A" w14:textId="77777777" w:rsidR="00A71942" w:rsidRDefault="00A71942" w:rsidP="00E276C8">
      <w:pPr>
        <w:spacing w:line="240" w:lineRule="auto"/>
        <w:rPr>
          <w:noProof/>
        </w:rPr>
      </w:pPr>
      <w:r>
        <w:rPr>
          <w:noProof/>
        </w:rPr>
        <w:t>The model is a world energy-economy partial equilibrium simulation model of the energy sector, with complete modelling from upstream production through to final user demand and greenhouse gas emissions. The simulation process uses dynamic year-by-year recursive modelling, with endogenous international energy prices and lagged adjustments of supply and demand by world region, which allows for describing full development pathways to 2050. The below figure presents the geographical coverage of the POLES-Enerdata model, with a global coverage including 66 countries or country aggregates. All EU Member States are covered individually.</w:t>
      </w:r>
    </w:p>
    <w:p w14:paraId="4FA71C6E" w14:textId="77777777" w:rsidR="00A71942" w:rsidRPr="00C2040D" w:rsidRDefault="00A71942" w:rsidP="00E276C8">
      <w:pPr>
        <w:spacing w:line="240" w:lineRule="auto"/>
        <w:rPr>
          <w:noProof/>
        </w:rPr>
      </w:pPr>
    </w:p>
    <w:p w14:paraId="58FA8BD7" w14:textId="77777777" w:rsidR="00A71942" w:rsidRPr="00A7553F" w:rsidRDefault="00A71942" w:rsidP="00E276C8">
      <w:pPr>
        <w:pStyle w:val="Figuretitle"/>
        <w:keepNext/>
        <w:spacing w:after="120" w:line="240" w:lineRule="auto"/>
        <w:ind w:left="709"/>
        <w:rPr>
          <w:noProof/>
        </w:rPr>
      </w:pPr>
      <w:bookmarkStart w:id="429" w:name="_Toc222405640"/>
      <w:bookmarkStart w:id="430" w:name="_Toc232609915"/>
      <w:bookmarkStart w:id="431" w:name="_Toc232672648"/>
      <w:bookmarkStart w:id="432" w:name="_Toc234931465"/>
      <w:bookmarkStart w:id="433" w:name="_Toc232758488"/>
      <w:r>
        <w:rPr>
          <w:noProof/>
        </w:rPr>
        <w:t>POLES-Enerdata geographical coverage</w:t>
      </w:r>
      <w:bookmarkEnd w:id="429"/>
      <w:bookmarkEnd w:id="430"/>
      <w:bookmarkEnd w:id="431"/>
      <w:bookmarkEnd w:id="432"/>
      <w:bookmarkEnd w:id="433"/>
    </w:p>
    <w:p w14:paraId="1ED395D1" w14:textId="77777777" w:rsidR="00A71942" w:rsidRPr="008B3995" w:rsidRDefault="00A71942" w:rsidP="00E276C8">
      <w:pPr>
        <w:keepNext/>
        <w:spacing w:line="240" w:lineRule="auto"/>
        <w:rPr>
          <w:i/>
          <w:iCs/>
          <w:noProof/>
          <w:sz w:val="20"/>
          <w:szCs w:val="20"/>
        </w:rPr>
      </w:pPr>
      <w:r>
        <w:rPr>
          <w:noProof/>
          <w:lang w:eastAsia="en-GB"/>
        </w:rPr>
        <w:drawing>
          <wp:inline distT="0" distB="0" distL="0" distR="0" wp14:anchorId="1ACA9280" wp14:editId="35B58848">
            <wp:extent cx="5686425" cy="2685745"/>
            <wp:effectExtent l="0" t="0" r="0" b="635"/>
            <wp:docPr id="2015715757"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15757" name="Image 1" descr="Une image contenant texte, capture d’écran, Police, nombre&#10;&#10;Le contenu généré par l’IA peut êtr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92987" cy="2688844"/>
                    </a:xfrm>
                    <a:prstGeom prst="rect">
                      <a:avLst/>
                    </a:prstGeom>
                    <a:noFill/>
                  </pic:spPr>
                </pic:pic>
              </a:graphicData>
            </a:graphic>
          </wp:inline>
        </w:drawing>
      </w:r>
      <w:r>
        <w:rPr>
          <w:noProof/>
        </w:rPr>
        <w:t xml:space="preserve"> </w:t>
      </w:r>
      <w:r w:rsidRPr="1FC5E705">
        <w:rPr>
          <w:i/>
          <w:iCs/>
          <w:noProof/>
          <w:sz w:val="20"/>
          <w:szCs w:val="20"/>
        </w:rPr>
        <w:t>Source: Enerdata</w:t>
      </w:r>
    </w:p>
    <w:p w14:paraId="36273D2E" w14:textId="77777777" w:rsidR="00A71942" w:rsidRPr="00C2040D" w:rsidRDefault="00A71942" w:rsidP="00E276C8">
      <w:pPr>
        <w:spacing w:line="240" w:lineRule="auto"/>
        <w:rPr>
          <w:noProof/>
        </w:rPr>
      </w:pPr>
      <w:r>
        <w:rPr>
          <w:noProof/>
        </w:rPr>
        <w:t>The use of the POLES-Enerdata model combines a high degree of detail for key components of the energy system and a strong economic consistency, as all changes in these key components are influenced by relative price changes at the sectoral level. The model provides technological change through dynamic cumulative processes such as the incorporation of Two Factor Learning Curves, which combine the impacts of “learning by doing” and “learning by searching” on technologies’ development. As price induced diffusion mechanisms (such as feed-in tariffs) can also be included in the simulations, the model allows for consideration of key drivers to future development of new energy technologies. One key aspect of the analysis of energy technology development with the POLES-Enerdata model is indeed that it relies on a framework of permanent inter-technology competition, with dynamically changing attributes for each technology.</w:t>
      </w:r>
    </w:p>
    <w:p w14:paraId="1A62E7C7" w14:textId="77777777" w:rsidR="00A71942" w:rsidRPr="00C2040D" w:rsidRDefault="00A71942" w:rsidP="00E276C8">
      <w:pPr>
        <w:spacing w:line="240" w:lineRule="auto"/>
        <w:rPr>
          <w:noProof/>
        </w:rPr>
      </w:pPr>
      <w:r>
        <w:rPr>
          <w:noProof/>
        </w:rPr>
        <w:t xml:space="preserve">The model provides a complete endogenous calculation from upstream activities (supply, prices of several energies including oil, gas and coal) to final user demand. POLES-Enerdata offers a mixed approach based on: </w:t>
      </w:r>
    </w:p>
    <w:p w14:paraId="5F627D81" w14:textId="77777777" w:rsidR="00A71942" w:rsidRDefault="00A71942" w:rsidP="00E276C8">
      <w:pPr>
        <w:pStyle w:val="ListParagraph"/>
        <w:numPr>
          <w:ilvl w:val="0"/>
          <w:numId w:val="56"/>
        </w:numPr>
        <w:spacing w:after="120" w:line="240" w:lineRule="auto"/>
        <w:ind w:left="714" w:hanging="357"/>
        <w:rPr>
          <w:noProof/>
        </w:rPr>
      </w:pPr>
      <w:r>
        <w:rPr>
          <w:noProof/>
        </w:rPr>
        <w:t>a “top-down” modelling for sectorial demand, which is directly related to activity, prices and technologies through econometric equations; for each key economic sector energy consumption is distinguished between substitutable fuels and electricity; and</w:t>
      </w:r>
    </w:p>
    <w:p w14:paraId="6075B140" w14:textId="77777777" w:rsidR="00A71942" w:rsidRPr="00C2040D" w:rsidRDefault="00A71942" w:rsidP="00E276C8">
      <w:pPr>
        <w:pStyle w:val="ListParagraph"/>
        <w:numPr>
          <w:ilvl w:val="0"/>
          <w:numId w:val="56"/>
        </w:numPr>
        <w:spacing w:after="120" w:line="240" w:lineRule="auto"/>
        <w:ind w:left="714" w:hanging="357"/>
        <w:rPr>
          <w:noProof/>
        </w:rPr>
      </w:pPr>
      <w:r>
        <w:rPr>
          <w:noProof/>
        </w:rPr>
        <w:t>a “bottom-up” approach for the power sector (explicit representation of each type of technology as well as their costs).</w:t>
      </w:r>
    </w:p>
    <w:p w14:paraId="1E1DD9F7" w14:textId="77777777" w:rsidR="00A71942" w:rsidRPr="008F4162" w:rsidRDefault="00A71942" w:rsidP="00E276C8">
      <w:pPr>
        <w:pStyle w:val="Figuretitle"/>
        <w:keepNext/>
        <w:spacing w:after="120" w:line="240" w:lineRule="auto"/>
        <w:ind w:left="709"/>
        <w:rPr>
          <w:noProof/>
        </w:rPr>
      </w:pPr>
      <w:bookmarkStart w:id="434" w:name="_Toc222405641"/>
      <w:bookmarkStart w:id="435" w:name="_Ref230770162"/>
      <w:bookmarkStart w:id="436" w:name="_Toc232609916"/>
      <w:bookmarkStart w:id="437" w:name="_Toc232672649"/>
      <w:bookmarkStart w:id="438" w:name="_Toc234931466"/>
      <w:bookmarkStart w:id="439" w:name="_Toc232758489"/>
      <w:r>
        <w:rPr>
          <w:noProof/>
        </w:rPr>
        <w:t>POLES-Enerdata main issues and topics covered</w:t>
      </w:r>
      <w:bookmarkEnd w:id="434"/>
      <w:bookmarkEnd w:id="435"/>
      <w:bookmarkEnd w:id="436"/>
      <w:bookmarkEnd w:id="437"/>
      <w:bookmarkEnd w:id="438"/>
      <w:bookmarkEnd w:id="439"/>
    </w:p>
    <w:p w14:paraId="7A3F99EA" w14:textId="77777777" w:rsidR="00A71942" w:rsidRPr="00C2040D" w:rsidRDefault="00A71942" w:rsidP="00E276C8">
      <w:pPr>
        <w:keepNext/>
        <w:spacing w:line="240" w:lineRule="auto"/>
        <w:rPr>
          <w:noProof/>
        </w:rPr>
      </w:pPr>
      <w:r>
        <w:rPr>
          <w:noProof/>
          <w:lang w:eastAsia="en-GB"/>
        </w:rPr>
        <w:drawing>
          <wp:inline distT="0" distB="0" distL="0" distR="0" wp14:anchorId="39B83CD1" wp14:editId="3EC08AF6">
            <wp:extent cx="5695950" cy="2684399"/>
            <wp:effectExtent l="0" t="0" r="0" b="1905"/>
            <wp:docPr id="1206491868" name="Image 2" descr="Une image contenant texte, capture d’écran, menu, Police&#10;&#10;Description générée automatiquement">
              <a:extLst xmlns:a="http://schemas.openxmlformats.org/drawingml/2006/main">
                <a:ext uri="{FF2B5EF4-FFF2-40B4-BE49-F238E27FC236}">
                  <a16:creationId xmlns:a16="http://schemas.microsoft.com/office/drawing/2014/main" id="{3B57A339-7C59-0A1D-F0EE-B8FB042D2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91868" name="Image 2" descr="Une image contenant texte, capture d’écran, menu, Police&#10;&#10;Description générée automatiquement">
                      <a:extLst>
                        <a:ext uri="{FF2B5EF4-FFF2-40B4-BE49-F238E27FC236}">
                          <a16:creationId xmlns:a16="http://schemas.microsoft.com/office/drawing/2014/main" id="{3B57A339-7C59-0A1D-F0EE-B8FB042D220B}"/>
                        </a:ext>
                      </a:extLst>
                    </pic:cNvPr>
                    <pic:cNvPicPr>
                      <a:picLocks noChangeAspect="1"/>
                    </pic:cNvPicPr>
                  </pic:nvPicPr>
                  <pic:blipFill>
                    <a:blip r:embed="rId44"/>
                    <a:stretch>
                      <a:fillRect/>
                    </a:stretch>
                  </pic:blipFill>
                  <pic:spPr>
                    <a:xfrm>
                      <a:off x="0" y="0"/>
                      <a:ext cx="5710149" cy="2691091"/>
                    </a:xfrm>
                    <a:prstGeom prst="rect">
                      <a:avLst/>
                    </a:prstGeom>
                  </pic:spPr>
                </pic:pic>
              </a:graphicData>
            </a:graphic>
          </wp:inline>
        </w:drawing>
      </w:r>
    </w:p>
    <w:p w14:paraId="7500A742" w14:textId="77777777" w:rsidR="00A71942" w:rsidRPr="00A807B5" w:rsidRDefault="00A71942" w:rsidP="00E276C8">
      <w:pPr>
        <w:keepNext/>
        <w:spacing w:line="240" w:lineRule="auto"/>
        <w:rPr>
          <w:i/>
          <w:iCs/>
          <w:noProof/>
          <w:sz w:val="20"/>
          <w:szCs w:val="20"/>
        </w:rPr>
      </w:pPr>
      <w:r w:rsidRPr="1FC5E705">
        <w:rPr>
          <w:i/>
          <w:iCs/>
          <w:noProof/>
          <w:sz w:val="20"/>
          <w:szCs w:val="20"/>
        </w:rPr>
        <w:t>Source: Enerdata</w:t>
      </w:r>
    </w:p>
    <w:p w14:paraId="351D758E" w14:textId="77777777" w:rsidR="00A71942" w:rsidRPr="00C2040D" w:rsidRDefault="00A71942" w:rsidP="00E276C8">
      <w:pPr>
        <w:spacing w:line="240" w:lineRule="auto"/>
        <w:rPr>
          <w:noProof/>
        </w:rPr>
      </w:pPr>
      <w:r>
        <w:rPr>
          <w:noProof/>
        </w:rPr>
        <w:t>Key features of the POLES-Enerdata model are summarized in the following:</w:t>
      </w:r>
    </w:p>
    <w:p w14:paraId="463395B0" w14:textId="77777777" w:rsidR="00A71942" w:rsidRDefault="00A71942" w:rsidP="00E276C8">
      <w:pPr>
        <w:pStyle w:val="ListParagraph"/>
        <w:numPr>
          <w:ilvl w:val="0"/>
          <w:numId w:val="57"/>
        </w:numPr>
        <w:spacing w:after="120" w:line="240" w:lineRule="auto"/>
        <w:ind w:left="714" w:hanging="357"/>
        <w:rPr>
          <w:noProof/>
        </w:rPr>
      </w:pPr>
      <w:r>
        <w:rPr>
          <w:noProof/>
        </w:rPr>
        <w:t>Long-term (up to 2050) simulation of world energy scenarios/projections and international energy markets;</w:t>
      </w:r>
    </w:p>
    <w:p w14:paraId="44025741" w14:textId="77777777" w:rsidR="00A71942" w:rsidRDefault="00A71942" w:rsidP="00E276C8">
      <w:pPr>
        <w:pStyle w:val="ListParagraph"/>
        <w:numPr>
          <w:ilvl w:val="0"/>
          <w:numId w:val="57"/>
        </w:numPr>
        <w:spacing w:after="120" w:line="240" w:lineRule="auto"/>
        <w:ind w:left="714" w:hanging="357"/>
        <w:rPr>
          <w:noProof/>
        </w:rPr>
      </w:pPr>
      <w:r>
        <w:rPr>
          <w:noProof/>
        </w:rPr>
        <w:t>World energy supply scenarios by main producing country/region with consideration of reserve development and resource constraints (88 producing countries/regions);</w:t>
      </w:r>
    </w:p>
    <w:p w14:paraId="28DA3C0B" w14:textId="77777777" w:rsidR="00A71942" w:rsidRDefault="00A71942" w:rsidP="00E276C8">
      <w:pPr>
        <w:pStyle w:val="ListParagraph"/>
        <w:numPr>
          <w:ilvl w:val="0"/>
          <w:numId w:val="57"/>
        </w:numPr>
        <w:spacing w:after="120" w:line="240" w:lineRule="auto"/>
        <w:ind w:left="714" w:hanging="357"/>
        <w:rPr>
          <w:noProof/>
        </w:rPr>
      </w:pPr>
      <w:r>
        <w:rPr>
          <w:noProof/>
        </w:rPr>
        <w:t>Outlook for energy prices at international, national and sectoral level;</w:t>
      </w:r>
    </w:p>
    <w:p w14:paraId="573E4D42" w14:textId="77777777" w:rsidR="00A71942" w:rsidRDefault="00A71942" w:rsidP="00E276C8">
      <w:pPr>
        <w:pStyle w:val="ListParagraph"/>
        <w:numPr>
          <w:ilvl w:val="0"/>
          <w:numId w:val="57"/>
        </w:numPr>
        <w:spacing w:after="120" w:line="240" w:lineRule="auto"/>
        <w:ind w:left="714" w:hanging="357"/>
        <w:rPr>
          <w:noProof/>
        </w:rPr>
      </w:pPr>
      <w:r>
        <w:rPr>
          <w:noProof/>
        </w:rPr>
        <w:t>Disaggregation into 15 energy demand sectors, with over 40 technologies (power generation, buildings, transport);</w:t>
      </w:r>
    </w:p>
    <w:p w14:paraId="0C26BFF6" w14:textId="77777777" w:rsidR="00A71942" w:rsidRPr="00C2040D" w:rsidRDefault="00A71942" w:rsidP="00E276C8">
      <w:pPr>
        <w:pStyle w:val="ListParagraph"/>
        <w:numPr>
          <w:ilvl w:val="0"/>
          <w:numId w:val="57"/>
        </w:numPr>
        <w:spacing w:after="120" w:line="240" w:lineRule="auto"/>
        <w:ind w:left="714" w:hanging="357"/>
        <w:rPr>
          <w:noProof/>
        </w:rPr>
      </w:pPr>
      <w:r>
        <w:rPr>
          <w:noProof/>
        </w:rPr>
        <w:t>Detailed national/regional energy balances, integrating final energy demand, new and renewable energy technologies diffusion, electricity, hydrogen and Carbon Capture and Sequestration systems, fossil fuel supply, and uranium (66 consuming countries/regions);</w:t>
      </w:r>
    </w:p>
    <w:p w14:paraId="459EF1D2" w14:textId="77777777" w:rsidR="00A71942" w:rsidRDefault="00A71942" w:rsidP="00E276C8">
      <w:pPr>
        <w:pStyle w:val="ListParagraph"/>
        <w:numPr>
          <w:ilvl w:val="0"/>
          <w:numId w:val="57"/>
        </w:numPr>
        <w:spacing w:after="120" w:line="240" w:lineRule="auto"/>
        <w:ind w:left="714" w:hanging="357"/>
        <w:rPr>
          <w:noProof/>
        </w:rPr>
      </w:pPr>
      <w:r>
        <w:rPr>
          <w:noProof/>
        </w:rPr>
        <w:t>Full power generation system (and feedback effect on other energies);</w:t>
      </w:r>
    </w:p>
    <w:p w14:paraId="7DAFDAA1" w14:textId="77777777" w:rsidR="00A71942" w:rsidRDefault="00A71942" w:rsidP="00E276C8">
      <w:pPr>
        <w:pStyle w:val="ListParagraph"/>
        <w:numPr>
          <w:ilvl w:val="0"/>
          <w:numId w:val="57"/>
        </w:numPr>
        <w:spacing w:after="120" w:line="240" w:lineRule="auto"/>
        <w:ind w:left="714" w:hanging="357"/>
        <w:rPr>
          <w:noProof/>
        </w:rPr>
      </w:pPr>
      <w:r>
        <w:rPr>
          <w:noProof/>
        </w:rPr>
        <w:t>Impacts of energy prices and tax policies on regional energy systems;</w:t>
      </w:r>
    </w:p>
    <w:p w14:paraId="5E634E6B" w14:textId="77777777" w:rsidR="00A71942" w:rsidRDefault="00A71942" w:rsidP="00E276C8">
      <w:pPr>
        <w:pStyle w:val="ListParagraph"/>
        <w:numPr>
          <w:ilvl w:val="0"/>
          <w:numId w:val="57"/>
        </w:numPr>
        <w:spacing w:after="120" w:line="240" w:lineRule="auto"/>
        <w:ind w:left="714" w:hanging="357"/>
        <w:rPr>
          <w:noProof/>
        </w:rPr>
      </w:pPr>
      <w:r>
        <w:rPr>
          <w:noProof/>
        </w:rPr>
        <w:t>National greenhouse gas emissions and abatement strategies; costs of national and international GHG abatement scenarios with different regional targets/endowments and flexibility systems;</w:t>
      </w:r>
    </w:p>
    <w:p w14:paraId="22C4497F" w14:textId="77777777" w:rsidR="00A71942" w:rsidRDefault="00A71942" w:rsidP="00E276C8">
      <w:pPr>
        <w:pStyle w:val="ListParagraph"/>
        <w:numPr>
          <w:ilvl w:val="0"/>
          <w:numId w:val="57"/>
        </w:numPr>
        <w:spacing w:after="120" w:line="240" w:lineRule="auto"/>
        <w:ind w:left="714" w:hanging="357"/>
        <w:rPr>
          <w:noProof/>
        </w:rPr>
      </w:pPr>
      <w:r>
        <w:rPr>
          <w:noProof/>
        </w:rPr>
        <w:t>CO</w:t>
      </w:r>
      <w:r w:rsidRPr="1FC5E705">
        <w:rPr>
          <w:noProof/>
          <w:vertAlign w:val="subscript"/>
        </w:rPr>
        <w:t>2</w:t>
      </w:r>
      <w:r>
        <w:rPr>
          <w:noProof/>
        </w:rPr>
        <w:t xml:space="preserve"> emissions Marginal Abatement Cost Curves and Emission Trading System analyses by region and/or sector, under different market configurations and trading rules;</w:t>
      </w:r>
    </w:p>
    <w:p w14:paraId="5F4452D2" w14:textId="77777777" w:rsidR="00A71942" w:rsidRPr="0066101F" w:rsidRDefault="00A71942" w:rsidP="00E276C8">
      <w:pPr>
        <w:pStyle w:val="ListParagraph"/>
        <w:numPr>
          <w:ilvl w:val="0"/>
          <w:numId w:val="57"/>
        </w:numPr>
        <w:spacing w:after="120" w:line="240" w:lineRule="auto"/>
        <w:ind w:left="714" w:hanging="357"/>
        <w:rPr>
          <w:noProof/>
        </w:rPr>
      </w:pPr>
      <w:r>
        <w:rPr>
          <w:noProof/>
        </w:rPr>
        <w:t>Technology diffusion under conditions of sectoral demand and inter-technology competition based on relative costs and merit orders; and</w:t>
      </w:r>
    </w:p>
    <w:p w14:paraId="5B2A1948" w14:textId="77777777" w:rsidR="00A71942" w:rsidRDefault="00A71942" w:rsidP="00E276C8">
      <w:pPr>
        <w:pStyle w:val="ListParagraph"/>
        <w:numPr>
          <w:ilvl w:val="0"/>
          <w:numId w:val="57"/>
        </w:numPr>
        <w:spacing w:after="120" w:line="240" w:lineRule="auto"/>
        <w:ind w:left="714" w:hanging="357"/>
        <w:rPr>
          <w:noProof/>
        </w:rPr>
      </w:pPr>
      <w:r>
        <w:rPr>
          <w:noProof/>
        </w:rPr>
        <w:t>Endogenous developments in energy technology, with impacts of public and private investment in R&amp;D and cumulative learning experience. Induced technological change of climate policies.</w:t>
      </w:r>
    </w:p>
    <w:p w14:paraId="7918B492" w14:textId="77777777" w:rsidR="00A71942" w:rsidRDefault="00A71942" w:rsidP="00E276C8">
      <w:pPr>
        <w:spacing w:line="240" w:lineRule="auto"/>
        <w:rPr>
          <w:noProof/>
        </w:rPr>
      </w:pPr>
      <w:r>
        <w:rPr>
          <w:noProof/>
        </w:rPr>
        <w:t>The POLES model benefits from numerous references, including public study reports, mentions in official publications from the European Commission, project references and academic references. In particular, it has recently been used as part of a study supporting the European Commission’s Impact Assessment on the 2040 Climate Target in 2024.</w:t>
      </w:r>
    </w:p>
    <w:p w14:paraId="43D447F0" w14:textId="77777777" w:rsidR="00A71942" w:rsidRPr="004D0C76" w:rsidRDefault="00A71942" w:rsidP="00E276C8">
      <w:pPr>
        <w:spacing w:line="240" w:lineRule="auto"/>
        <w:rPr>
          <w:noProof/>
        </w:rPr>
      </w:pPr>
      <w:r>
        <w:rPr>
          <w:noProof/>
        </w:rPr>
        <w:t>Furthermore, although the full documentation of Enerdata’s version is not publicly available, the one from the EC-JRC’s version is.</w:t>
      </w:r>
      <w:r w:rsidRPr="1FC5E705">
        <w:rPr>
          <w:rStyle w:val="FootnoteReference"/>
          <w:noProof/>
        </w:rPr>
        <w:footnoteReference w:id="45"/>
      </w:r>
      <w:r>
        <w:rPr>
          <w:noProof/>
        </w:rPr>
        <w:t xml:space="preserve"> Both models are very similar in terms of core logic, and only a few recent developments on both sides have made them diverge on some aspects of the </w:t>
      </w:r>
      <w:r w:rsidRPr="004D0C76">
        <w:rPr>
          <w:noProof/>
        </w:rPr>
        <w:t>modelling.</w:t>
      </w:r>
    </w:p>
    <w:p w14:paraId="41D8A89D" w14:textId="77777777" w:rsidR="00A71942" w:rsidRPr="004D0C76" w:rsidRDefault="00A71942" w:rsidP="00E276C8">
      <w:pPr>
        <w:pStyle w:val="Heading2COM"/>
        <w:spacing w:before="120" w:after="120" w:line="240" w:lineRule="auto"/>
        <w:outlineLvl w:val="2"/>
        <w15:collapsed w:val="0"/>
        <w:rPr>
          <w:noProof/>
        </w:rPr>
      </w:pPr>
      <w:bookmarkStart w:id="440" w:name="_Toc232591587"/>
      <w:bookmarkStart w:id="441" w:name="_Toc232611494"/>
      <w:bookmarkStart w:id="442" w:name="_Toc232758175"/>
      <w:r w:rsidRPr="004D0C76">
        <w:rPr>
          <w:noProof/>
        </w:rPr>
        <w:t>Baseline scenario design</w:t>
      </w:r>
      <w:bookmarkEnd w:id="440"/>
      <w:bookmarkEnd w:id="441"/>
      <w:bookmarkEnd w:id="442"/>
    </w:p>
    <w:p w14:paraId="2FC9747D" w14:textId="7B2BDC5C" w:rsidR="00A71942" w:rsidRPr="004D0C76" w:rsidRDefault="00A71942" w:rsidP="00E276C8">
      <w:pPr>
        <w:spacing w:line="240" w:lineRule="auto"/>
        <w:rPr>
          <w:noProof/>
        </w:rPr>
      </w:pPr>
      <w:r w:rsidRPr="004D0C76">
        <w:rPr>
          <w:noProof/>
        </w:rPr>
        <w:t xml:space="preserve">The Commission designed scenarios which were ran with the PRIMES model by Ricardo-E3M, which serve as bases for the present study. </w:t>
      </w:r>
    </w:p>
    <w:p w14:paraId="5E86B700" w14:textId="06766D0A" w:rsidR="00A71942" w:rsidRPr="004D0C76" w:rsidRDefault="00A71942" w:rsidP="00E276C8">
      <w:pPr>
        <w:spacing w:line="240" w:lineRule="auto"/>
        <w:rPr>
          <w:noProof/>
        </w:rPr>
      </w:pPr>
      <w:r w:rsidRPr="004D0C76">
        <w:rPr>
          <w:noProof/>
        </w:rPr>
        <w:t>These PRIMES-based scenarios include the baseline scenario, a “90% economy-wide scenario”, and a “85% economy-wide scenario”.</w:t>
      </w:r>
    </w:p>
    <w:p w14:paraId="712761CD" w14:textId="52DE9611" w:rsidR="00A71942" w:rsidRPr="004D0C76" w:rsidRDefault="00A71942" w:rsidP="00E276C8">
      <w:pPr>
        <w:spacing w:line="240" w:lineRule="auto"/>
        <w:rPr>
          <w:noProof/>
        </w:rPr>
      </w:pPr>
      <w:r w:rsidRPr="004D0C76">
        <w:rPr>
          <w:noProof/>
        </w:rPr>
        <w:t>In the MSR measure-level analysis, the calibration of the POLES-Enerdata model for the core working assumption scenario was based on the “90% economy-wide scenario” available on 30 May 2025. In spite of these PRIMES results having been updated subsequently, intermediate results were used in order to be able to deliver the MSR results for the measure-level analysis within the deadline. For the policy option level analysis, the POLES-Enerdata baseline was based on the 90-85% var3 scenario sent by PRIMES on 15 December 2025.</w:t>
      </w:r>
    </w:p>
    <w:p w14:paraId="0EDFD768" w14:textId="77777777" w:rsidR="00A71942" w:rsidRPr="00694D38" w:rsidRDefault="00A71942" w:rsidP="00E276C8">
      <w:pPr>
        <w:spacing w:line="240" w:lineRule="auto"/>
        <w:rPr>
          <w:noProof/>
        </w:rPr>
      </w:pPr>
      <w:r w:rsidRPr="004D0C76">
        <w:rPr>
          <w:noProof/>
        </w:rPr>
        <w:t>The E3M team provided Enerdata with the GHG emissions for each consumption sectors and each EU ETS sector with a 5-year time step. Carbon prices trajectories were also provided</w:t>
      </w:r>
      <w:r w:rsidRPr="00694D38">
        <w:rPr>
          <w:noProof/>
        </w:rPr>
        <w:t xml:space="preserve"> for both the EU ETS and the ETS2 perimeters. The “90% economy-</w:t>
      </w:r>
      <w:r>
        <w:rPr>
          <w:noProof/>
        </w:rPr>
        <w:t>wide</w:t>
      </w:r>
      <w:r w:rsidRPr="00694D38">
        <w:rPr>
          <w:noProof/>
        </w:rPr>
        <w:t xml:space="preserve"> scenario” includes half of the emissions from extra-EU international aviation (“one way inclusion”). </w:t>
      </w:r>
    </w:p>
    <w:p w14:paraId="3C5773D8" w14:textId="0C997AE9" w:rsidR="00A71942" w:rsidRPr="00694D38" w:rsidRDefault="00A71942" w:rsidP="00E276C8">
      <w:pPr>
        <w:spacing w:line="240" w:lineRule="auto"/>
        <w:rPr>
          <w:noProof/>
        </w:rPr>
      </w:pPr>
      <w:r w:rsidRPr="00694D38">
        <w:rPr>
          <w:noProof/>
        </w:rPr>
        <w:t xml:space="preserve">Enerdata reproduced this scenario within the POLES-Enerdata model by targeting the same GHG emissions evolution for 2030 and 2050, looking at: total emissions, ETS-level emissions, and some specific sectors (notably: power generation). The aim of </w:t>
      </w:r>
      <w:r>
        <w:rPr>
          <w:noProof/>
        </w:rPr>
        <w:t>this</w:t>
      </w:r>
      <w:r w:rsidRPr="00694D38">
        <w:rPr>
          <w:noProof/>
        </w:rPr>
        <w:t xml:space="preserve"> approach is to align the emission reduction effort sharing between the EU ETS and other instruments, captured as part of the PRIMES model through the explicit inclusion of national policies.</w:t>
      </w:r>
    </w:p>
    <w:p w14:paraId="0203EEC1" w14:textId="77777777" w:rsidR="00A71942" w:rsidRPr="00EA429A" w:rsidRDefault="00A71942" w:rsidP="00E276C8">
      <w:pPr>
        <w:pStyle w:val="Heading2COM"/>
        <w:spacing w:before="120" w:after="120" w:line="240" w:lineRule="auto"/>
        <w:outlineLvl w:val="2"/>
        <w15:collapsed w:val="0"/>
        <w:rPr>
          <w:noProof/>
        </w:rPr>
      </w:pPr>
      <w:bookmarkStart w:id="443" w:name="_Toc232591588"/>
      <w:bookmarkStart w:id="444" w:name="_Toc232611495"/>
      <w:bookmarkStart w:id="445" w:name="_Toc232758176"/>
      <w:r>
        <w:rPr>
          <w:noProof/>
        </w:rPr>
        <w:t>Adaptation of the baseline with MSR modelling</w:t>
      </w:r>
      <w:bookmarkEnd w:id="443"/>
      <w:bookmarkEnd w:id="444"/>
      <w:bookmarkEnd w:id="445"/>
    </w:p>
    <w:p w14:paraId="6BEB07F3" w14:textId="77777777" w:rsidR="00A71942" w:rsidRPr="00EA429A" w:rsidRDefault="00A71942" w:rsidP="00E276C8">
      <w:pPr>
        <w:pStyle w:val="Heading3COM"/>
        <w:spacing w:before="120" w:after="120" w:line="240" w:lineRule="auto"/>
        <w:outlineLvl w:val="3"/>
        <w:rPr>
          <w:noProof/>
        </w:rPr>
      </w:pPr>
      <w:bookmarkStart w:id="446" w:name="_Toc232591589"/>
      <w:bookmarkStart w:id="447" w:name="_Toc232611496"/>
      <w:bookmarkStart w:id="448" w:name="_Toc232758177"/>
      <w:r>
        <w:rPr>
          <w:noProof/>
        </w:rPr>
        <w:t>MSR methodology applied to the core working scenario</w:t>
      </w:r>
      <w:bookmarkEnd w:id="446"/>
      <w:bookmarkEnd w:id="447"/>
      <w:bookmarkEnd w:id="448"/>
    </w:p>
    <w:p w14:paraId="329CEB11" w14:textId="50C3620B" w:rsidR="00A71942" w:rsidRPr="00AA38AB" w:rsidRDefault="00A71942" w:rsidP="00E276C8">
      <w:pPr>
        <w:spacing w:line="240" w:lineRule="auto"/>
        <w:rPr>
          <w:noProof/>
        </w:rPr>
      </w:pPr>
      <w:r w:rsidRPr="00AA38AB">
        <w:rPr>
          <w:noProof/>
        </w:rPr>
        <w:t>Based on the core working assumption scenario, Enerdata would run the POLES-Enerdata model with its added ETS optimisation module, which explicitly represents MSR operations, and whose parameters are presented in detail below.</w:t>
      </w:r>
    </w:p>
    <w:p w14:paraId="48F2CA69" w14:textId="2325DA51" w:rsidR="00A71942" w:rsidRPr="004D0C76" w:rsidRDefault="00A71942" w:rsidP="00E276C8">
      <w:pPr>
        <w:spacing w:line="240" w:lineRule="auto"/>
        <w:rPr>
          <w:noProof/>
        </w:rPr>
      </w:pPr>
      <w:r w:rsidRPr="00AA38AB">
        <w:rPr>
          <w:noProof/>
        </w:rPr>
        <w:t>One of the results from the optimisation module is a</w:t>
      </w:r>
      <w:r w:rsidR="00655331">
        <w:rPr>
          <w:noProof/>
        </w:rPr>
        <w:t xml:space="preserve">n indexed </w:t>
      </w:r>
      <w:r w:rsidRPr="00AA38AB">
        <w:rPr>
          <w:noProof/>
        </w:rPr>
        <w:t xml:space="preserve">EUA price trajectory, as the specificities of the EU ETS market are represented and a limited foresight of the market from actors is considered (which inherently differs from PRIMES). The model calculates the EUA price evolution, based on a supply-demand equilibrium. These modelling outputs should not be considered as actual forecasts, as the model cannot perfectly capture the broader policy mix and relies on simplified assumptions for the regulated entities’ behaviors. The post-2040 period also has impacts on the output price trajectory due to a modelled actors’ anticipation horizon. The price results should therefore be considered with caution, however the main trends observed, also validated with qualitative reasoning, are instructive and provide a very useful </w:t>
      </w:r>
      <w:r w:rsidRPr="004D0C76">
        <w:rPr>
          <w:noProof/>
        </w:rPr>
        <w:t xml:space="preserve">comparison framework for the different measures. All prices are provided </w:t>
      </w:r>
      <w:r w:rsidR="00655331" w:rsidRPr="004D0C76">
        <w:rPr>
          <w:noProof/>
        </w:rPr>
        <w:t xml:space="preserve">as index considering 2028 as the base year. </w:t>
      </w:r>
    </w:p>
    <w:p w14:paraId="254BF2D1" w14:textId="0E392284" w:rsidR="00A71942" w:rsidRPr="004D0C76" w:rsidRDefault="00A71942" w:rsidP="00E276C8">
      <w:pPr>
        <w:spacing w:line="240" w:lineRule="auto"/>
        <w:rPr>
          <w:noProof/>
        </w:rPr>
      </w:pPr>
      <w:r w:rsidRPr="004D0C76">
        <w:rPr>
          <w:noProof/>
        </w:rPr>
        <w:t>As a result, a POLES-Enerdata core working assumption scenario is produced, consistent with the PRIMES 90% scenario (to which one-way extra-EU aviation is added to the ETS scope in 2027), and with the carbon price trajectory assessed with the MSR methodology. This scenario is taken as a basis for the different runs and sensitivities analysis envisioned as part of the quantitative measure-level assessment.</w:t>
      </w:r>
    </w:p>
    <w:p w14:paraId="6DAEF924" w14:textId="6EE3B4A6" w:rsidR="00A71942" w:rsidRPr="00AA38AB" w:rsidRDefault="00A71942" w:rsidP="00E276C8">
      <w:pPr>
        <w:spacing w:line="240" w:lineRule="auto"/>
        <w:rPr>
          <w:noProof/>
        </w:rPr>
      </w:pPr>
      <w:r w:rsidRPr="004D0C76">
        <w:rPr>
          <w:noProof/>
        </w:rPr>
        <w:t xml:space="preserve">As shown on </w:t>
      </w:r>
      <w:r w:rsidRPr="004D0C76">
        <w:rPr>
          <w:noProof/>
        </w:rPr>
        <w:fldChar w:fldCharType="begin"/>
      </w:r>
      <w:r w:rsidRPr="004D0C76">
        <w:rPr>
          <w:noProof/>
        </w:rPr>
        <w:instrText xml:space="preserve"> REF _Ref230770183 \n \h  \* MERGEFORMAT </w:instrText>
      </w:r>
      <w:r w:rsidRPr="004D0C76">
        <w:rPr>
          <w:noProof/>
        </w:rPr>
      </w:r>
      <w:r w:rsidRPr="004D0C76">
        <w:rPr>
          <w:noProof/>
        </w:rPr>
        <w:fldChar w:fldCharType="separate"/>
      </w:r>
      <w:r w:rsidRPr="004D0C76">
        <w:rPr>
          <w:noProof/>
        </w:rPr>
        <w:t>Figure 11</w:t>
      </w:r>
      <w:r w:rsidRPr="004D0C76">
        <w:rPr>
          <w:noProof/>
        </w:rPr>
        <w:fldChar w:fldCharType="end"/>
      </w:r>
      <w:r w:rsidRPr="004D0C76">
        <w:rPr>
          <w:noProof/>
        </w:rPr>
        <w:t>, the indexed price outlook in POLES-Enerdata is not aligned with the initial 90% scenario from PRIMES to which the CWAS was aligned. This difference is explained by the differing methodologies</w:t>
      </w:r>
      <w:r w:rsidRPr="00AA38AB">
        <w:rPr>
          <w:noProof/>
        </w:rPr>
        <w:t xml:space="preserve"> used: in PRIMES, the carbon value is an input of the model, and the ETS and MSR operations are not directly endogenously represented. PRIMES also uses a benchmark approach with foresight up to 2050. In POLES-Enerdata, the price is the output from an optimization, which explicitly accounts for the ETS and MSR operations, and which works with a limited rolling anticipation horizon. These elements are the key factors explaining the differences observed.</w:t>
      </w:r>
    </w:p>
    <w:p w14:paraId="135A6833" w14:textId="03050FD1" w:rsidR="00655331" w:rsidRPr="00EA429A" w:rsidRDefault="002B63F5" w:rsidP="00E276C8">
      <w:pPr>
        <w:pStyle w:val="Figuretitle"/>
        <w:keepNext/>
        <w:spacing w:after="120" w:line="240" w:lineRule="auto"/>
        <w:ind w:left="709"/>
        <w:rPr>
          <w:noProof/>
        </w:rPr>
      </w:pPr>
      <w:bookmarkStart w:id="449" w:name="_Toc234931467"/>
      <w:r>
        <w:rPr>
          <w:noProof/>
        </w:rPr>
        <w:t>EUA price comparison between POLES-Enerdata &amp; PRIMES - Core Working Assumption Scenario</w:t>
      </w:r>
      <w:bookmarkEnd w:id="449"/>
    </w:p>
    <w:p w14:paraId="78461B0B" w14:textId="49B87AB2" w:rsidR="00A71942" w:rsidRPr="00BA156F" w:rsidRDefault="00E24916" w:rsidP="00571A12">
      <w:pPr>
        <w:spacing w:line="240" w:lineRule="auto"/>
        <w:jc w:val="center"/>
        <w:rPr>
          <w:noProof/>
          <w:highlight w:val="magenta"/>
        </w:rPr>
      </w:pPr>
      <w:r>
        <w:rPr>
          <w:noProof/>
          <w:lang w:eastAsia="en-GB"/>
        </w:rPr>
        <w:drawing>
          <wp:inline distT="0" distB="0" distL="0" distR="0" wp14:anchorId="21B7BF22" wp14:editId="5EC7D5F6">
            <wp:extent cx="5023485" cy="2517775"/>
            <wp:effectExtent l="0" t="0" r="5715" b="0"/>
            <wp:docPr id="578688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23485" cy="2517775"/>
                    </a:xfrm>
                    <a:prstGeom prst="rect">
                      <a:avLst/>
                    </a:prstGeom>
                    <a:noFill/>
                  </pic:spPr>
                </pic:pic>
              </a:graphicData>
            </a:graphic>
          </wp:inline>
        </w:drawing>
      </w:r>
    </w:p>
    <w:p w14:paraId="348870A1" w14:textId="77777777" w:rsidR="00A71942" w:rsidRPr="00EA429A" w:rsidRDefault="00A71942" w:rsidP="00E276C8">
      <w:pPr>
        <w:spacing w:line="240" w:lineRule="auto"/>
        <w:rPr>
          <w:i/>
          <w:iCs/>
          <w:noProof/>
          <w:sz w:val="20"/>
          <w:szCs w:val="20"/>
          <w:lang w:val="en-IE"/>
        </w:rPr>
      </w:pPr>
      <w:r w:rsidRPr="1FC5E705">
        <w:rPr>
          <w:i/>
          <w:iCs/>
          <w:noProof/>
          <w:sz w:val="20"/>
          <w:szCs w:val="20"/>
        </w:rPr>
        <w:t xml:space="preserve">Source: POLES-Enerdata, PRIMES. </w:t>
      </w:r>
    </w:p>
    <w:p w14:paraId="71559F3C" w14:textId="77777777" w:rsidR="00A71942" w:rsidRPr="00EA429A" w:rsidRDefault="00A71942" w:rsidP="00E276C8">
      <w:pPr>
        <w:spacing w:line="240" w:lineRule="auto"/>
        <w:rPr>
          <w:i/>
          <w:iCs/>
          <w:noProof/>
          <w:sz w:val="20"/>
          <w:szCs w:val="20"/>
          <w:lang w:val="en-IE"/>
        </w:rPr>
      </w:pPr>
      <w:r w:rsidRPr="1FC5E705">
        <w:rPr>
          <w:i/>
          <w:iCs/>
          <w:noProof/>
          <w:sz w:val="20"/>
          <w:szCs w:val="20"/>
        </w:rPr>
        <w:t>Note: Primes prices are indexed with 2028 POLES-Enerdata for model comparison.</w:t>
      </w:r>
    </w:p>
    <w:p w14:paraId="7CCABD53" w14:textId="77777777" w:rsidR="00A71942" w:rsidRPr="004D0C76" w:rsidRDefault="00A71942" w:rsidP="00E276C8">
      <w:pPr>
        <w:pStyle w:val="Heading3COM"/>
        <w:spacing w:before="120" w:after="120" w:line="240" w:lineRule="auto"/>
        <w:outlineLvl w:val="3"/>
        <w:rPr>
          <w:noProof/>
        </w:rPr>
      </w:pPr>
      <w:bookmarkStart w:id="450" w:name="_Toc232591590"/>
      <w:bookmarkStart w:id="451" w:name="_Toc232611497"/>
      <w:bookmarkStart w:id="452" w:name="_Toc232758178"/>
      <w:r w:rsidRPr="004D0C76">
        <w:rPr>
          <w:noProof/>
        </w:rPr>
        <w:t>Modelling the removals</w:t>
      </w:r>
      <w:bookmarkEnd w:id="450"/>
      <w:bookmarkEnd w:id="451"/>
      <w:bookmarkEnd w:id="452"/>
    </w:p>
    <w:p w14:paraId="08CE152A" w14:textId="77777777" w:rsidR="00A71942" w:rsidRPr="004D0C76" w:rsidRDefault="00A71942" w:rsidP="00E276C8">
      <w:pPr>
        <w:spacing w:line="240" w:lineRule="auto"/>
        <w:rPr>
          <w:noProof/>
        </w:rPr>
      </w:pPr>
      <w:r w:rsidRPr="004D0C76">
        <w:rPr>
          <w:noProof/>
        </w:rPr>
        <w:t>In POLES-Enerdata, removals (both BECCS and DACCS) are modelled in the following way: it is agreed that the volume of CO</w:t>
      </w:r>
      <w:r w:rsidRPr="004D0C76">
        <w:rPr>
          <w:noProof/>
          <w:vertAlign w:val="subscript"/>
        </w:rPr>
        <w:t>2</w:t>
      </w:r>
      <w:r w:rsidRPr="004D0C76">
        <w:rPr>
          <w:noProof/>
        </w:rPr>
        <w:t xml:space="preserve"> captured can be considered as an exogenous hypothesis. The level of captured CO</w:t>
      </w:r>
      <w:r w:rsidRPr="004D0C76">
        <w:rPr>
          <w:noProof/>
          <w:vertAlign w:val="subscript"/>
        </w:rPr>
        <w:t>2</w:t>
      </w:r>
      <w:r w:rsidRPr="004D0C76">
        <w:rPr>
          <w:noProof/>
        </w:rPr>
        <w:t xml:space="preserve"> of BECCS and DACCS provided by PRIMES are considered as added in the gross cap. The development of these technologies is set exogenously in the model, bypassing its usual endogenous equations. This solution allows us to take into account the BECCS and DACCS contributions in the market by adding removals without having to assume any explicit mechanism for how they are integrated into the system. Also, the level of removals will not depend on the sensitivities ulteriorly run. In both cases, removals are excluded from the EU ETS emission perimeter.</w:t>
      </w:r>
    </w:p>
    <w:p w14:paraId="650E910C" w14:textId="77777777" w:rsidR="00A71942" w:rsidRPr="004D0C76" w:rsidRDefault="00A71942" w:rsidP="00E276C8">
      <w:pPr>
        <w:pStyle w:val="Heading3COM"/>
        <w:spacing w:before="120" w:after="120" w:line="240" w:lineRule="auto"/>
        <w:outlineLvl w:val="3"/>
        <w:rPr>
          <w:noProof/>
        </w:rPr>
      </w:pPr>
      <w:bookmarkStart w:id="453" w:name="_Toc232591591"/>
      <w:bookmarkStart w:id="454" w:name="_Toc232611498"/>
      <w:bookmarkStart w:id="455" w:name="_Toc232758179"/>
      <w:r w:rsidRPr="004D0C76">
        <w:rPr>
          <w:noProof/>
        </w:rPr>
        <w:t>Market parameters</w:t>
      </w:r>
      <w:bookmarkEnd w:id="453"/>
      <w:bookmarkEnd w:id="454"/>
      <w:bookmarkEnd w:id="455"/>
    </w:p>
    <w:p w14:paraId="7ADF5A50" w14:textId="007EEEED" w:rsidR="00A71942" w:rsidRPr="00EA429A" w:rsidRDefault="00A71942" w:rsidP="00E276C8">
      <w:pPr>
        <w:spacing w:line="240" w:lineRule="auto"/>
        <w:rPr>
          <w:noProof/>
        </w:rPr>
      </w:pPr>
      <w:r>
        <w:rPr>
          <w:noProof/>
        </w:rPr>
        <w:t xml:space="preserve">This section presents the different scopes and parameters </w:t>
      </w:r>
      <w:r w:rsidR="00F514AE">
        <w:rPr>
          <w:noProof/>
        </w:rPr>
        <w:t>considered</w:t>
      </w:r>
      <w:r>
        <w:rPr>
          <w:noProof/>
        </w:rPr>
        <w:t xml:space="preserve"> in the modelling of the EU ETS market and the MSR and provide the default values of these parameters, some of which are then modified in the different scenarios run for the analysis.</w:t>
      </w:r>
    </w:p>
    <w:p w14:paraId="6598B0E9" w14:textId="77777777" w:rsidR="00A71942" w:rsidRPr="004D0C76" w:rsidRDefault="00A71942" w:rsidP="00E276C8">
      <w:pPr>
        <w:pStyle w:val="Heading4COM"/>
        <w:spacing w:before="120" w:after="120" w:line="240" w:lineRule="auto"/>
        <w:outlineLvl w:val="4"/>
        <w:rPr>
          <w:b/>
          <w:noProof/>
        </w:rPr>
      </w:pPr>
      <w:r w:rsidRPr="004D0C76">
        <w:rPr>
          <w:noProof/>
        </w:rPr>
        <w:t xml:space="preserve"> </w:t>
      </w:r>
      <w:bookmarkStart w:id="456" w:name="_Toc232611499"/>
      <w:bookmarkStart w:id="457" w:name="_Toc232758180"/>
      <w:r w:rsidRPr="004D0C76">
        <w:rPr>
          <w:noProof/>
        </w:rPr>
        <w:t>Geographical perimeter covered for the EU ETS market:</w:t>
      </w:r>
      <w:bookmarkEnd w:id="456"/>
      <w:bookmarkEnd w:id="457"/>
      <w:r w:rsidRPr="004D0C76">
        <w:rPr>
          <w:b/>
          <w:noProof/>
        </w:rPr>
        <w:t xml:space="preserve">  </w:t>
      </w:r>
    </w:p>
    <w:p w14:paraId="2DC7D29B" w14:textId="77777777" w:rsidR="00A71942" w:rsidRPr="004D0C76" w:rsidRDefault="00A71942" w:rsidP="00E276C8">
      <w:pPr>
        <w:spacing w:line="240" w:lineRule="auto"/>
        <w:rPr>
          <w:b/>
          <w:bCs/>
          <w:noProof/>
        </w:rPr>
      </w:pPr>
      <w:r w:rsidRPr="004D0C76">
        <w:rPr>
          <w:noProof/>
        </w:rPr>
        <w:t>The geographical perimeter within the EU ETS is the EU27, Norway, Iceland and Liechtenstein. Emissions can be assessed for both this “EEA” perimeter and the EU27 perimeter allowing us to follow the PRIMES figures.</w:t>
      </w:r>
    </w:p>
    <w:p w14:paraId="65E756BA" w14:textId="77777777" w:rsidR="00A71942" w:rsidRPr="004D0C76" w:rsidRDefault="00A71942" w:rsidP="00E276C8">
      <w:pPr>
        <w:pStyle w:val="Heading4COM"/>
        <w:spacing w:before="120" w:after="120" w:line="240" w:lineRule="auto"/>
        <w:outlineLvl w:val="4"/>
        <w:rPr>
          <w:noProof/>
        </w:rPr>
      </w:pPr>
      <w:r w:rsidRPr="004D0C76">
        <w:rPr>
          <w:noProof/>
        </w:rPr>
        <w:t xml:space="preserve"> </w:t>
      </w:r>
      <w:bookmarkStart w:id="458" w:name="_Toc232611500"/>
      <w:bookmarkStart w:id="459" w:name="_Toc232758181"/>
      <w:r w:rsidRPr="004D0C76">
        <w:rPr>
          <w:noProof/>
        </w:rPr>
        <w:t>Sectoral perimeter accounted in the EU ETS market</w:t>
      </w:r>
      <w:bookmarkEnd w:id="458"/>
      <w:bookmarkEnd w:id="459"/>
    </w:p>
    <w:p w14:paraId="76F71647" w14:textId="77777777" w:rsidR="00A71942" w:rsidRPr="004D0C76" w:rsidRDefault="00A71942" w:rsidP="00E276C8">
      <w:pPr>
        <w:spacing w:line="240" w:lineRule="auto"/>
        <w:rPr>
          <w:i/>
          <w:iCs/>
          <w:noProof/>
        </w:rPr>
      </w:pPr>
      <w:r w:rsidRPr="004D0C76">
        <w:rPr>
          <w:noProof/>
        </w:rPr>
        <w:t>Emissions from electricity generation are assumed fully accounted for in the EU ETS market</w:t>
      </w:r>
    </w:p>
    <w:p w14:paraId="001E938A" w14:textId="77777777" w:rsidR="00A71942" w:rsidRPr="004D0C76" w:rsidRDefault="00A71942" w:rsidP="00E276C8">
      <w:pPr>
        <w:numPr>
          <w:ilvl w:val="0"/>
          <w:numId w:val="69"/>
        </w:numPr>
        <w:spacing w:line="240" w:lineRule="auto"/>
        <w:rPr>
          <w:noProof/>
        </w:rPr>
      </w:pPr>
      <w:r w:rsidRPr="004D0C76">
        <w:rPr>
          <w:noProof/>
        </w:rPr>
        <w:t xml:space="preserve">Emissions from the industrial sector, in particular </w:t>
      </w:r>
    </w:p>
    <w:p w14:paraId="300EBE6B" w14:textId="77777777" w:rsidR="00A71942" w:rsidRPr="004D0C76" w:rsidRDefault="00A71942" w:rsidP="00E276C8">
      <w:pPr>
        <w:numPr>
          <w:ilvl w:val="1"/>
          <w:numId w:val="69"/>
        </w:numPr>
        <w:spacing w:line="240" w:lineRule="auto"/>
        <w:rPr>
          <w:noProof/>
        </w:rPr>
      </w:pPr>
      <w:r w:rsidRPr="004D0C76">
        <w:rPr>
          <w:noProof/>
        </w:rPr>
        <w:t>Emissions from manufacturing industry sectors such as chemicals, non-metallic minerals, steel, and other industries</w:t>
      </w:r>
    </w:p>
    <w:p w14:paraId="40ABEBEF" w14:textId="77777777" w:rsidR="00A71942" w:rsidRPr="004D0C76" w:rsidRDefault="00A71942" w:rsidP="00E276C8">
      <w:pPr>
        <w:numPr>
          <w:ilvl w:val="1"/>
          <w:numId w:val="69"/>
        </w:numPr>
        <w:spacing w:line="240" w:lineRule="auto"/>
        <w:rPr>
          <w:noProof/>
        </w:rPr>
      </w:pPr>
      <w:r w:rsidRPr="004D0C76">
        <w:rPr>
          <w:noProof/>
        </w:rPr>
        <w:t>Non-CO</w:t>
      </w:r>
      <w:r w:rsidRPr="004D0C76">
        <w:rPr>
          <w:noProof/>
          <w:vertAlign w:val="subscript"/>
        </w:rPr>
        <w:t>2</w:t>
      </w:r>
      <w:r w:rsidRPr="004D0C76">
        <w:rPr>
          <w:noProof/>
        </w:rPr>
        <w:t xml:space="preserve"> emissions from industry: PFC from aluminium production &amp; N2O from industry</w:t>
      </w:r>
    </w:p>
    <w:p w14:paraId="1E87089E" w14:textId="77777777" w:rsidR="00A71942" w:rsidRPr="004D0C76" w:rsidRDefault="00A71942" w:rsidP="00E276C8">
      <w:pPr>
        <w:numPr>
          <w:ilvl w:val="1"/>
          <w:numId w:val="69"/>
        </w:numPr>
        <w:spacing w:line="240" w:lineRule="auto"/>
        <w:rPr>
          <w:noProof/>
        </w:rPr>
      </w:pPr>
      <w:r w:rsidRPr="004D0C76">
        <w:rPr>
          <w:noProof/>
        </w:rPr>
        <w:t>Emissions from the hydrogen production sector</w:t>
      </w:r>
    </w:p>
    <w:p w14:paraId="3D62523E" w14:textId="77777777" w:rsidR="00A71942" w:rsidRPr="004D0C76" w:rsidRDefault="00A71942" w:rsidP="00E276C8">
      <w:pPr>
        <w:numPr>
          <w:ilvl w:val="1"/>
          <w:numId w:val="69"/>
        </w:numPr>
        <w:spacing w:line="240" w:lineRule="auto"/>
        <w:rPr>
          <w:noProof/>
        </w:rPr>
      </w:pPr>
      <w:r w:rsidRPr="004D0C76">
        <w:rPr>
          <w:noProof/>
        </w:rPr>
        <w:t>Emissions from the district heat production sector</w:t>
      </w:r>
    </w:p>
    <w:p w14:paraId="7FF9DAE1" w14:textId="77777777" w:rsidR="00A71942" w:rsidRPr="004D0C76" w:rsidRDefault="00A71942" w:rsidP="00E276C8">
      <w:pPr>
        <w:numPr>
          <w:ilvl w:val="0"/>
          <w:numId w:val="69"/>
        </w:numPr>
        <w:spacing w:line="240" w:lineRule="auto"/>
        <w:rPr>
          <w:noProof/>
        </w:rPr>
      </w:pPr>
      <w:r w:rsidRPr="004D0C76">
        <w:rPr>
          <w:noProof/>
        </w:rPr>
        <w:t>Emissions from the energy transformation sector.</w:t>
      </w:r>
    </w:p>
    <w:p w14:paraId="2F4ED915" w14:textId="77777777" w:rsidR="00A71942" w:rsidRPr="004D0C76" w:rsidRDefault="00A71942" w:rsidP="00E276C8">
      <w:pPr>
        <w:numPr>
          <w:ilvl w:val="1"/>
          <w:numId w:val="70"/>
        </w:numPr>
        <w:spacing w:line="240" w:lineRule="auto"/>
        <w:rPr>
          <w:noProof/>
        </w:rPr>
      </w:pPr>
      <w:r w:rsidRPr="004D0C76">
        <w:rPr>
          <w:noProof/>
        </w:rPr>
        <w:t>Emissions from aviation (domestic &amp; intra-EU since historically, extra-EU one-way starting 2027) and maritime (starting 2024) transport are considered exogenously in the modelling, with values based on the PRIMES 90% scenario. In the model, these aviation and maritime emissions are considered as an exogenous added demand for EU ETS allowances. The amount of allowances required for these sectors are therefore deducted from the EU ETS cap to reflect the contribution of these sectors in the EU ETS market.</w:t>
      </w:r>
    </w:p>
    <w:p w14:paraId="7EEAD178" w14:textId="77777777" w:rsidR="00A71942" w:rsidRPr="004D0C76" w:rsidRDefault="00A71942" w:rsidP="00E276C8">
      <w:pPr>
        <w:numPr>
          <w:ilvl w:val="1"/>
          <w:numId w:val="70"/>
        </w:numPr>
        <w:spacing w:line="240" w:lineRule="auto"/>
        <w:rPr>
          <w:noProof/>
        </w:rPr>
      </w:pPr>
      <w:r w:rsidRPr="004D0C76">
        <w:rPr>
          <w:noProof/>
        </w:rPr>
        <w:t xml:space="preserve">This means that, for the purpose of MSR measure-level analyses, we assume that the aviation and maritime emissions will not be affected by the changes in the ETS price. In other words, we neglect the retroactions on aviation and maritime emissions through the price. This assumption enables to simplify the modelling work, also accounting for the fact that modelling price effects for mobility demand internationally is complex. Finally, some sensitivities to shocks will be studied as part of the measure analysis, some of which could simulate a different EUA demand from aviation and maritime. </w:t>
      </w:r>
    </w:p>
    <w:p w14:paraId="1172D671" w14:textId="77777777" w:rsidR="00A71942" w:rsidRPr="004D0C76" w:rsidRDefault="00A71942" w:rsidP="00E276C8">
      <w:pPr>
        <w:pStyle w:val="Heading4COM"/>
        <w:spacing w:before="120" w:after="120" w:line="240" w:lineRule="auto"/>
        <w:outlineLvl w:val="4"/>
        <w:rPr>
          <w:noProof/>
        </w:rPr>
      </w:pPr>
      <w:r w:rsidRPr="004D0C76">
        <w:rPr>
          <w:noProof/>
        </w:rPr>
        <w:t xml:space="preserve"> </w:t>
      </w:r>
      <w:bookmarkStart w:id="460" w:name="_Toc232611501"/>
      <w:bookmarkStart w:id="461" w:name="_Toc232758182"/>
      <w:r w:rsidRPr="004D0C76">
        <w:rPr>
          <w:noProof/>
        </w:rPr>
        <w:t>Cap of emissions:</w:t>
      </w:r>
      <w:bookmarkEnd w:id="460"/>
      <w:bookmarkEnd w:id="461"/>
      <w:r w:rsidRPr="004D0C76">
        <w:rPr>
          <w:noProof/>
        </w:rPr>
        <w:t xml:space="preserve"> </w:t>
      </w:r>
    </w:p>
    <w:p w14:paraId="7D996B9D" w14:textId="77777777" w:rsidR="00A71942" w:rsidRPr="004D0C76" w:rsidRDefault="00A71942" w:rsidP="00E276C8">
      <w:pPr>
        <w:spacing w:line="240" w:lineRule="auto"/>
        <w:rPr>
          <w:noProof/>
        </w:rPr>
      </w:pPr>
      <w:r w:rsidRPr="004D0C76">
        <w:rPr>
          <w:noProof/>
        </w:rPr>
        <w:t xml:space="preserve">The cap taken into account is provided by the EU Commission for each year between 2023 and 2050.  There is consideration of </w:t>
      </w:r>
    </w:p>
    <w:p w14:paraId="01C25994" w14:textId="77777777" w:rsidR="00A71942" w:rsidRPr="004D0C76" w:rsidRDefault="00A71942" w:rsidP="00E276C8">
      <w:pPr>
        <w:numPr>
          <w:ilvl w:val="0"/>
          <w:numId w:val="69"/>
        </w:numPr>
        <w:spacing w:line="240" w:lineRule="auto"/>
        <w:rPr>
          <w:noProof/>
        </w:rPr>
      </w:pPr>
      <w:r w:rsidRPr="004D0C76">
        <w:rPr>
          <w:noProof/>
        </w:rPr>
        <w:t>Industry EU ETS energy CO</w:t>
      </w:r>
      <w:r w:rsidRPr="004D0C76">
        <w:rPr>
          <w:noProof/>
          <w:vertAlign w:val="subscript"/>
        </w:rPr>
        <w:t>2</w:t>
      </w:r>
    </w:p>
    <w:p w14:paraId="17F339D7" w14:textId="77777777" w:rsidR="00A71942" w:rsidRPr="004D0C76" w:rsidRDefault="00A71942" w:rsidP="00E276C8">
      <w:pPr>
        <w:numPr>
          <w:ilvl w:val="0"/>
          <w:numId w:val="69"/>
        </w:numPr>
        <w:spacing w:line="240" w:lineRule="auto"/>
        <w:rPr>
          <w:noProof/>
          <w:lang w:val="fr-BE"/>
        </w:rPr>
      </w:pPr>
      <w:r w:rsidRPr="004D0C76">
        <w:rPr>
          <w:noProof/>
        </w:rPr>
        <w:t>Industry EU ETS non energy CO</w:t>
      </w:r>
      <w:r w:rsidRPr="004D0C76">
        <w:rPr>
          <w:noProof/>
          <w:vertAlign w:val="subscript"/>
        </w:rPr>
        <w:t>2</w:t>
      </w:r>
    </w:p>
    <w:p w14:paraId="68FEB3FD" w14:textId="77777777" w:rsidR="00A71942" w:rsidRPr="004D0C76" w:rsidRDefault="00A71942" w:rsidP="00E276C8">
      <w:pPr>
        <w:numPr>
          <w:ilvl w:val="0"/>
          <w:numId w:val="69"/>
        </w:numPr>
        <w:spacing w:line="240" w:lineRule="auto"/>
        <w:rPr>
          <w:noProof/>
          <w:lang w:val="fr-BE"/>
        </w:rPr>
      </w:pPr>
      <w:r w:rsidRPr="004D0C76">
        <w:rPr>
          <w:noProof/>
        </w:rPr>
        <w:t>Industry EU ETS non-CO</w:t>
      </w:r>
      <w:r w:rsidRPr="004D0C76">
        <w:rPr>
          <w:noProof/>
          <w:vertAlign w:val="subscript"/>
        </w:rPr>
        <w:t>2</w:t>
      </w:r>
    </w:p>
    <w:p w14:paraId="0E4BDB50" w14:textId="77777777" w:rsidR="00A71942" w:rsidRPr="004D0C76" w:rsidRDefault="00A71942" w:rsidP="00E276C8">
      <w:pPr>
        <w:numPr>
          <w:ilvl w:val="0"/>
          <w:numId w:val="69"/>
        </w:numPr>
        <w:spacing w:line="240" w:lineRule="auto"/>
        <w:rPr>
          <w:noProof/>
        </w:rPr>
      </w:pPr>
      <w:r w:rsidRPr="004D0C76">
        <w:rPr>
          <w:noProof/>
        </w:rPr>
        <w:t>Supply Side, that gather power, heat and hydrogen production sectors</w:t>
      </w:r>
    </w:p>
    <w:p w14:paraId="0F293CD8" w14:textId="77777777" w:rsidR="00A71942" w:rsidRPr="004D0C76" w:rsidRDefault="00A71942" w:rsidP="00E276C8">
      <w:pPr>
        <w:numPr>
          <w:ilvl w:val="0"/>
          <w:numId w:val="69"/>
        </w:numPr>
        <w:spacing w:line="240" w:lineRule="auto"/>
        <w:rPr>
          <w:noProof/>
        </w:rPr>
      </w:pPr>
      <w:r w:rsidRPr="004D0C76">
        <w:rPr>
          <w:noProof/>
        </w:rPr>
        <w:t>Intra EU international Aviation</w:t>
      </w:r>
    </w:p>
    <w:p w14:paraId="3C0FE776" w14:textId="77777777" w:rsidR="00A71942" w:rsidRPr="004D0C76" w:rsidRDefault="00A71942" w:rsidP="00E276C8">
      <w:pPr>
        <w:numPr>
          <w:ilvl w:val="0"/>
          <w:numId w:val="69"/>
        </w:numPr>
        <w:spacing w:line="240" w:lineRule="auto"/>
        <w:rPr>
          <w:noProof/>
        </w:rPr>
      </w:pPr>
      <w:r w:rsidRPr="004D0C76">
        <w:rPr>
          <w:noProof/>
        </w:rPr>
        <w:t>Domestic Aviation</w:t>
      </w:r>
    </w:p>
    <w:p w14:paraId="492F6E29" w14:textId="77777777" w:rsidR="00A71942" w:rsidRPr="004D0C76" w:rsidRDefault="00A71942" w:rsidP="00E276C8">
      <w:pPr>
        <w:numPr>
          <w:ilvl w:val="0"/>
          <w:numId w:val="69"/>
        </w:numPr>
        <w:spacing w:line="240" w:lineRule="auto"/>
        <w:rPr>
          <w:noProof/>
        </w:rPr>
      </w:pPr>
      <w:r w:rsidRPr="004D0C76">
        <w:rPr>
          <w:noProof/>
        </w:rPr>
        <w:t xml:space="preserve">EU ETS Navigation </w:t>
      </w:r>
    </w:p>
    <w:p w14:paraId="3BA201FF" w14:textId="77777777" w:rsidR="00A71942" w:rsidRPr="004D0C76" w:rsidRDefault="00A71942" w:rsidP="00E276C8">
      <w:pPr>
        <w:numPr>
          <w:ilvl w:val="0"/>
          <w:numId w:val="69"/>
        </w:numPr>
        <w:spacing w:line="240" w:lineRule="auto"/>
        <w:rPr>
          <w:noProof/>
        </w:rPr>
      </w:pPr>
      <w:r w:rsidRPr="004D0C76">
        <w:rPr>
          <w:noProof/>
        </w:rPr>
        <w:t>50% of international aviation outside the EU: “International aviation one way”</w:t>
      </w:r>
    </w:p>
    <w:p w14:paraId="51336B14" w14:textId="77777777" w:rsidR="00A71942" w:rsidRPr="004D0C76" w:rsidRDefault="00A71942" w:rsidP="00E276C8">
      <w:pPr>
        <w:pStyle w:val="Heading4COM"/>
        <w:spacing w:before="120" w:after="120" w:line="240" w:lineRule="auto"/>
        <w:outlineLvl w:val="4"/>
        <w:rPr>
          <w:noProof/>
        </w:rPr>
      </w:pPr>
      <w:bookmarkStart w:id="462" w:name="_Toc232611502"/>
      <w:bookmarkStart w:id="463" w:name="_Toc232758183"/>
      <w:r w:rsidRPr="004D0C76">
        <w:rPr>
          <w:noProof/>
        </w:rPr>
        <w:t>Banking from industrials:</w:t>
      </w:r>
      <w:bookmarkEnd w:id="462"/>
      <w:bookmarkEnd w:id="463"/>
      <w:r w:rsidRPr="004D0C76">
        <w:rPr>
          <w:noProof/>
        </w:rPr>
        <w:t xml:space="preserve"> </w:t>
      </w:r>
    </w:p>
    <w:p w14:paraId="3C9FB722" w14:textId="20A097EC" w:rsidR="00A71942" w:rsidRPr="004D0C76" w:rsidRDefault="00A71942" w:rsidP="00E276C8">
      <w:pPr>
        <w:spacing w:line="240" w:lineRule="auto"/>
        <w:rPr>
          <w:noProof/>
        </w:rPr>
      </w:pPr>
      <w:r w:rsidRPr="004D0C76">
        <w:rPr>
          <w:noProof/>
        </w:rPr>
        <w:t>A quantity of allowances is assumed historically banked by industrial actors. It is assumed that industrial actors will use these EUAs in the short term in a context of sustained ETS prices. In practice, it is assumed that 350 MtCO</w:t>
      </w:r>
      <w:r w:rsidRPr="004D0C76">
        <w:rPr>
          <w:noProof/>
          <w:vertAlign w:val="subscript"/>
        </w:rPr>
        <w:t>2</w:t>
      </w:r>
      <w:r w:rsidRPr="004D0C76">
        <w:rPr>
          <w:noProof/>
        </w:rPr>
        <w:t xml:space="preserve"> is banked in end-2023 by industrials and they will release this quantity until 2030 with the same amount per year: 50MtCO</w:t>
      </w:r>
      <w:r w:rsidRPr="004D0C76">
        <w:rPr>
          <w:noProof/>
          <w:vertAlign w:val="subscript"/>
        </w:rPr>
        <w:t>2</w:t>
      </w:r>
      <w:r w:rsidRPr="004D0C76">
        <w:rPr>
          <w:noProof/>
        </w:rPr>
        <w:t>/year. The model treats the “banked allowances” as a temporarily unavailable supply, to reproduce the reality of the market operations.</w:t>
      </w:r>
    </w:p>
    <w:p w14:paraId="56415729" w14:textId="77777777" w:rsidR="00A71942" w:rsidRPr="004D0C76" w:rsidRDefault="00A71942" w:rsidP="00E276C8">
      <w:pPr>
        <w:pStyle w:val="Heading4COM"/>
        <w:spacing w:before="120" w:after="120" w:line="240" w:lineRule="auto"/>
        <w:outlineLvl w:val="4"/>
        <w:rPr>
          <w:noProof/>
        </w:rPr>
      </w:pPr>
      <w:r w:rsidRPr="004D0C76">
        <w:rPr>
          <w:noProof/>
        </w:rPr>
        <w:t xml:space="preserve"> </w:t>
      </w:r>
      <w:bookmarkStart w:id="464" w:name="_Toc232611503"/>
      <w:bookmarkStart w:id="465" w:name="_Toc232758184"/>
      <w:r w:rsidRPr="004D0C76">
        <w:rPr>
          <w:noProof/>
        </w:rPr>
        <w:t>Hedging from the electricity sector:</w:t>
      </w:r>
      <w:bookmarkEnd w:id="464"/>
      <w:bookmarkEnd w:id="465"/>
      <w:r w:rsidRPr="004D0C76">
        <w:rPr>
          <w:noProof/>
        </w:rPr>
        <w:t xml:space="preserve"> </w:t>
      </w:r>
    </w:p>
    <w:p w14:paraId="23B9A87F" w14:textId="77777777" w:rsidR="00A71942" w:rsidRPr="004D0C76" w:rsidRDefault="00A71942" w:rsidP="00E276C8">
      <w:pPr>
        <w:spacing w:line="240" w:lineRule="auto"/>
        <w:rPr>
          <w:noProof/>
        </w:rPr>
      </w:pPr>
      <w:r w:rsidRPr="004D0C76">
        <w:rPr>
          <w:noProof/>
        </w:rPr>
        <w:t>Hedging behaviour from power actors is represented in the model. Hedging is a crucial strategy for electricity producers to manage and stabilise costs or revenues by locking in prices in advance. It is assumed that electricity producers apply this strategy within the EU ETS market.</w:t>
      </w:r>
    </w:p>
    <w:p w14:paraId="2481D97E" w14:textId="77777777" w:rsidR="00A71942" w:rsidRPr="004D0C76" w:rsidRDefault="00A71942" w:rsidP="00E276C8">
      <w:pPr>
        <w:spacing w:line="240" w:lineRule="auto"/>
        <w:rPr>
          <w:noProof/>
        </w:rPr>
      </w:pPr>
      <w:r w:rsidRPr="004D0C76">
        <w:rPr>
          <w:noProof/>
        </w:rPr>
        <w:t>In the modelling, the demand for EUA computed when representing compliance, i.e. the supply-demand equilibrium leading to the formation of the price, accounts for the hedging from power producers, assuming that the corresponding quantity of EUAs is not available for trade. Therefore, instead of calculating the EUA demand for a year N as [industry emissions (within the EU ETS scope) year N + Electricity production emissions year N + Aviation and maritime transport emissions], it is calculated as [industry emissions (within the EU ETS scope) year N + Electricity production emissions year N not already covered by past hedging + Electricity production emissions hedging need for future years + Aviation and maritime transport emissions]. It is assumed that the hedging needs are considered for the 3 years in advance (with partial coverage of future emissions). The aim for hedging at year N is to cover 80 % of emissions of year N+1, 50% of N+2 and 10% of N+3. These are default settings, adjusted with historical data, and are configurable.</w:t>
      </w:r>
    </w:p>
    <w:p w14:paraId="248189F2" w14:textId="77777777" w:rsidR="00A71942" w:rsidRPr="004D0C76" w:rsidRDefault="00A71942" w:rsidP="00E276C8">
      <w:pPr>
        <w:spacing w:line="240" w:lineRule="auto"/>
        <w:rPr>
          <w:noProof/>
        </w:rPr>
      </w:pPr>
      <w:r w:rsidRPr="004D0C76">
        <w:rPr>
          <w:noProof/>
        </w:rPr>
        <w:t>Emissions projections of years N+1, N+2 and N+3 for calculating hedging are considered constant and equal to emissions in year N.</w:t>
      </w:r>
    </w:p>
    <w:p w14:paraId="1895D438" w14:textId="77777777" w:rsidR="00A71942" w:rsidRPr="004D0C76" w:rsidRDefault="00A71942" w:rsidP="00E276C8">
      <w:pPr>
        <w:pStyle w:val="Heading4COM"/>
        <w:spacing w:before="120" w:after="120" w:line="240" w:lineRule="auto"/>
        <w:outlineLvl w:val="4"/>
        <w:rPr>
          <w:noProof/>
        </w:rPr>
      </w:pPr>
      <w:r w:rsidRPr="004D0C76">
        <w:rPr>
          <w:noProof/>
        </w:rPr>
        <w:t xml:space="preserve"> </w:t>
      </w:r>
      <w:bookmarkStart w:id="466" w:name="_Toc232611504"/>
      <w:bookmarkStart w:id="467" w:name="_Toc232758185"/>
      <w:r w:rsidRPr="004D0C76">
        <w:rPr>
          <w:noProof/>
        </w:rPr>
        <w:t>Actors’ foresight:</w:t>
      </w:r>
      <w:bookmarkEnd w:id="466"/>
      <w:bookmarkEnd w:id="467"/>
      <w:r w:rsidRPr="004D0C76">
        <w:rPr>
          <w:noProof/>
        </w:rPr>
        <w:t xml:space="preserve"> </w:t>
      </w:r>
    </w:p>
    <w:p w14:paraId="46FB30E0" w14:textId="77777777" w:rsidR="00A71942" w:rsidRPr="004D0C76" w:rsidRDefault="00A71942" w:rsidP="00E276C8">
      <w:pPr>
        <w:spacing w:line="240" w:lineRule="auto"/>
        <w:rPr>
          <w:noProof/>
        </w:rPr>
      </w:pPr>
      <w:r w:rsidRPr="004D0C76">
        <w:rPr>
          <w:noProof/>
        </w:rPr>
        <w:t xml:space="preserve">It is assumed that there is not a perfect but a limited foresight for actors assessing the constraint of the market. In this case, 8 years foresight is taken into account as it is a common hypothesis seen in the literature.  </w:t>
      </w:r>
    </w:p>
    <w:p w14:paraId="2D8ED49F" w14:textId="77777777" w:rsidR="00A71942" w:rsidRPr="00831FC2" w:rsidRDefault="00A71942" w:rsidP="00E276C8">
      <w:pPr>
        <w:pStyle w:val="Heading4COM"/>
        <w:spacing w:before="120" w:after="120" w:line="240" w:lineRule="auto"/>
        <w:outlineLvl w:val="4"/>
        <w:rPr>
          <w:noProof/>
        </w:rPr>
      </w:pPr>
      <w:r w:rsidRPr="00831FC2">
        <w:rPr>
          <w:noProof/>
        </w:rPr>
        <w:t xml:space="preserve"> </w:t>
      </w:r>
      <w:bookmarkStart w:id="468" w:name="_Toc232611505"/>
      <w:bookmarkStart w:id="469" w:name="_Toc232758186"/>
      <w:r w:rsidRPr="00831FC2">
        <w:rPr>
          <w:noProof/>
        </w:rPr>
        <w:t xml:space="preserve">MSR </w:t>
      </w:r>
      <w:r>
        <w:rPr>
          <w:noProof/>
        </w:rPr>
        <w:t>specific</w:t>
      </w:r>
      <w:r w:rsidRPr="00831FC2">
        <w:rPr>
          <w:noProof/>
        </w:rPr>
        <w:t xml:space="preserve"> parameters:</w:t>
      </w:r>
      <w:bookmarkEnd w:id="468"/>
      <w:bookmarkEnd w:id="469"/>
    </w:p>
    <w:p w14:paraId="5B7FAA08" w14:textId="16CF5DB0" w:rsidR="00A71942" w:rsidRPr="00831FC2" w:rsidRDefault="00A71942" w:rsidP="00E276C8">
      <w:pPr>
        <w:numPr>
          <w:ilvl w:val="0"/>
          <w:numId w:val="69"/>
        </w:numPr>
        <w:spacing w:line="240" w:lineRule="auto"/>
        <w:rPr>
          <w:noProof/>
        </w:rPr>
      </w:pPr>
      <w:r w:rsidRPr="00831FC2">
        <w:rPr>
          <w:noProof/>
        </w:rPr>
        <w:t>Upper buffer: 1096 MtCO2 until 2030; 947 MtCO2 from 2031</w:t>
      </w:r>
    </w:p>
    <w:p w14:paraId="4BAADFAE" w14:textId="77777777" w:rsidR="00A71942" w:rsidRPr="00831FC2" w:rsidRDefault="00A71942" w:rsidP="00E276C8">
      <w:pPr>
        <w:numPr>
          <w:ilvl w:val="0"/>
          <w:numId w:val="69"/>
        </w:numPr>
        <w:spacing w:line="240" w:lineRule="auto"/>
        <w:rPr>
          <w:noProof/>
        </w:rPr>
      </w:pPr>
      <w:r w:rsidRPr="00831FC2">
        <w:rPr>
          <w:noProof/>
        </w:rPr>
        <w:t>Upper threshold: 833 MtCO</w:t>
      </w:r>
      <w:r w:rsidRPr="00831FC2">
        <w:rPr>
          <w:noProof/>
          <w:vertAlign w:val="subscript"/>
        </w:rPr>
        <w:t>2</w:t>
      </w:r>
    </w:p>
    <w:p w14:paraId="7553E9D4" w14:textId="77777777" w:rsidR="00A71942" w:rsidRPr="00831FC2" w:rsidRDefault="00A71942" w:rsidP="00E276C8">
      <w:pPr>
        <w:numPr>
          <w:ilvl w:val="0"/>
          <w:numId w:val="69"/>
        </w:numPr>
        <w:spacing w:line="240" w:lineRule="auto"/>
        <w:rPr>
          <w:noProof/>
        </w:rPr>
      </w:pPr>
      <w:r w:rsidRPr="00831FC2">
        <w:rPr>
          <w:noProof/>
        </w:rPr>
        <w:t xml:space="preserve">MSR intake: </w:t>
      </w:r>
    </w:p>
    <w:p w14:paraId="2F3E5F21" w14:textId="77777777" w:rsidR="00A71942" w:rsidRPr="00831FC2" w:rsidRDefault="00A71942" w:rsidP="00E276C8">
      <w:pPr>
        <w:numPr>
          <w:ilvl w:val="1"/>
          <w:numId w:val="69"/>
        </w:numPr>
        <w:spacing w:line="240" w:lineRule="auto"/>
        <w:rPr>
          <w:noProof/>
        </w:rPr>
      </w:pPr>
      <w:r w:rsidRPr="00831FC2">
        <w:rPr>
          <w:noProof/>
        </w:rPr>
        <w:t>If TNAC &gt; Upper buffer:24% of TNAC until 2030 and 12% of TNAC from 2031</w:t>
      </w:r>
    </w:p>
    <w:p w14:paraId="06D44B3C" w14:textId="77777777" w:rsidR="00A71942" w:rsidRPr="00831FC2" w:rsidRDefault="00A71942" w:rsidP="00E276C8">
      <w:pPr>
        <w:numPr>
          <w:ilvl w:val="1"/>
          <w:numId w:val="69"/>
        </w:numPr>
        <w:spacing w:line="240" w:lineRule="auto"/>
        <w:rPr>
          <w:noProof/>
        </w:rPr>
      </w:pPr>
      <w:r w:rsidRPr="00831FC2">
        <w:rPr>
          <w:noProof/>
        </w:rPr>
        <w:t>If Upper buffer &gt; TNAC &gt; Upper threshold: TNAC – Upper threshold</w:t>
      </w:r>
    </w:p>
    <w:p w14:paraId="1956F2E6" w14:textId="77777777" w:rsidR="00A71942" w:rsidRPr="00831FC2" w:rsidRDefault="00A71942" w:rsidP="00E276C8">
      <w:pPr>
        <w:numPr>
          <w:ilvl w:val="0"/>
          <w:numId w:val="69"/>
        </w:numPr>
        <w:spacing w:line="240" w:lineRule="auto"/>
        <w:rPr>
          <w:noProof/>
        </w:rPr>
      </w:pPr>
      <w:r w:rsidRPr="00831FC2">
        <w:rPr>
          <w:noProof/>
        </w:rPr>
        <w:t>Lower threshold: 400 MtCO</w:t>
      </w:r>
      <w:r w:rsidRPr="00831FC2">
        <w:rPr>
          <w:noProof/>
          <w:vertAlign w:val="subscript"/>
        </w:rPr>
        <w:t>2</w:t>
      </w:r>
    </w:p>
    <w:p w14:paraId="37B11A93" w14:textId="77777777" w:rsidR="00A71942" w:rsidRPr="00831FC2" w:rsidRDefault="00A71942" w:rsidP="00E276C8">
      <w:pPr>
        <w:numPr>
          <w:ilvl w:val="0"/>
          <w:numId w:val="69"/>
        </w:numPr>
        <w:spacing w:line="240" w:lineRule="auto"/>
        <w:rPr>
          <w:noProof/>
        </w:rPr>
      </w:pPr>
      <w:r w:rsidRPr="00831FC2">
        <w:rPr>
          <w:noProof/>
        </w:rPr>
        <w:t>MSR release: 100 MtCO</w:t>
      </w:r>
      <w:r w:rsidRPr="00831FC2">
        <w:rPr>
          <w:noProof/>
          <w:vertAlign w:val="subscript"/>
        </w:rPr>
        <w:t>2</w:t>
      </w:r>
    </w:p>
    <w:p w14:paraId="20555C03" w14:textId="77777777" w:rsidR="00A71942" w:rsidRPr="00831FC2" w:rsidRDefault="00A71942" w:rsidP="00E276C8">
      <w:pPr>
        <w:numPr>
          <w:ilvl w:val="0"/>
          <w:numId w:val="69"/>
        </w:numPr>
        <w:spacing w:line="240" w:lineRule="auto"/>
        <w:rPr>
          <w:noProof/>
        </w:rPr>
      </w:pPr>
      <w:r w:rsidRPr="00831FC2">
        <w:rPr>
          <w:noProof/>
        </w:rPr>
        <w:t>Maximum volume in MSR reserve: no limitation until 2023, then 400 MtCO2 in 2024 and after because of the invalidation mechanism</w:t>
      </w:r>
    </w:p>
    <w:p w14:paraId="05B79411" w14:textId="77777777" w:rsidR="00A71942" w:rsidRPr="00831FC2" w:rsidRDefault="00A71942" w:rsidP="00E276C8">
      <w:pPr>
        <w:pStyle w:val="Heading2COM"/>
        <w:spacing w:before="120" w:after="120" w:line="240" w:lineRule="auto"/>
        <w:outlineLvl w:val="2"/>
        <w15:collapsed w:val="0"/>
        <w:rPr>
          <w:noProof/>
        </w:rPr>
      </w:pPr>
      <w:bookmarkStart w:id="470" w:name="_Toc232591592"/>
      <w:bookmarkStart w:id="471" w:name="_Toc232611506"/>
      <w:bookmarkStart w:id="472" w:name="_Toc232758187"/>
      <w:r>
        <w:rPr>
          <w:noProof/>
        </w:rPr>
        <w:t>Assessing</w:t>
      </w:r>
      <w:r w:rsidRPr="00831FC2">
        <w:rPr>
          <w:noProof/>
        </w:rPr>
        <w:t xml:space="preserve"> the impact of the policy options on the functioning of the MSR</w:t>
      </w:r>
      <w:bookmarkEnd w:id="417"/>
      <w:bookmarkEnd w:id="470"/>
      <w:bookmarkEnd w:id="471"/>
      <w:bookmarkEnd w:id="472"/>
    </w:p>
    <w:p w14:paraId="6EB813C2" w14:textId="77777777" w:rsidR="00A71942" w:rsidRPr="00831FC2" w:rsidRDefault="00A71942" w:rsidP="00E276C8">
      <w:pPr>
        <w:spacing w:line="240" w:lineRule="auto"/>
        <w:rPr>
          <w:noProof/>
        </w:rPr>
      </w:pPr>
      <w:r w:rsidRPr="00831FC2">
        <w:rPr>
          <w:noProof/>
        </w:rPr>
        <w:t>The policy options bring together sets of measures across all thematic areas of the project, and hence from a combined effort from all working groups. Three main scenarios are constructed in the PRIMES model to analyse results from the options on most thematic areas, although for the MSR aspects, the POLES-Enerdata is required.</w:t>
      </w:r>
    </w:p>
    <w:p w14:paraId="26DAF389" w14:textId="77777777" w:rsidR="00A71942" w:rsidRPr="004D0C76" w:rsidRDefault="00A71942" w:rsidP="00E276C8">
      <w:pPr>
        <w:spacing w:line="240" w:lineRule="auto"/>
        <w:rPr>
          <w:noProof/>
        </w:rPr>
      </w:pPr>
      <w:r w:rsidRPr="00831FC2">
        <w:rPr>
          <w:noProof/>
        </w:rPr>
        <w:t xml:space="preserve">The 3 policy options are indeed assessed quantitatively with the POLES-Enerdata model to quantify their impacts in terms of MSR. Similarly to the measure-level assessment, the model allows to simulate the EU energy systems, with an explicit representation of the EU ETS and its MSR design. The endogenous evolution of key indicators such as the ETS-covered emissions, the TNAC, the MSR operations and the EUA price evolution, for each considered </w:t>
      </w:r>
      <w:r w:rsidRPr="004D0C76">
        <w:rPr>
          <w:noProof/>
        </w:rPr>
        <w:t>policy option, are analysed in this section.</w:t>
      </w:r>
    </w:p>
    <w:p w14:paraId="38BDA490" w14:textId="08C1C54C" w:rsidR="00A71942" w:rsidRPr="004D0C76" w:rsidRDefault="00A71942" w:rsidP="00E276C8">
      <w:pPr>
        <w:spacing w:line="240" w:lineRule="auto"/>
        <w:rPr>
          <w:noProof/>
        </w:rPr>
      </w:pPr>
      <w:r w:rsidRPr="004D0C76">
        <w:rPr>
          <w:noProof/>
        </w:rPr>
        <w:t>The 90-85% scenario from PRIMES, available on March 31</w:t>
      </w:r>
      <w:r w:rsidRPr="004D0C76">
        <w:rPr>
          <w:noProof/>
          <w:vertAlign w:val="superscript"/>
        </w:rPr>
        <w:t>st</w:t>
      </w:r>
      <w:r w:rsidRPr="004D0C76">
        <w:rPr>
          <w:noProof/>
        </w:rPr>
        <w:t>, 2026, is the starting point for the MSR option-level analysis. This scenario has been calibrated in the POLES-Enerdata model, to build upon the repartition of effort between ETS-covered emissions and other emissions calculated in PRIMES (exactly as the 90% scenario was used for the measures level assessment). In practice, the POLES-Enerdata scenario has been built by targeting the 90-85% scenario emissions provided by PRIMES for the ETS sectors (power generation and industry &amp; other supply side) and non-ETS sectors as transports and buildings. Then, the different policy options are design incrementally to this reference case.</w:t>
      </w:r>
    </w:p>
    <w:p w14:paraId="5E5F0153" w14:textId="2AD03280" w:rsidR="00A71942" w:rsidRPr="004D0C76" w:rsidRDefault="00A71942" w:rsidP="00E276C8">
      <w:pPr>
        <w:spacing w:line="240" w:lineRule="auto"/>
        <w:rPr>
          <w:noProof/>
        </w:rPr>
      </w:pPr>
      <w:r w:rsidRPr="004D0C76">
        <w:rPr>
          <w:noProof/>
        </w:rPr>
        <w:t>Using the 90-85% scenario for the policy option analysis was a compromise to ensure a timely delivery of results. Theoretically, it would have been needed to run the POLES-Enerdata model on the results of each PRIMES policy-option runs (incorporating the impacts from other thematic areas). However, given the delayed availability of results for policy option scenarios, it was decided to use only the 90% scenario for the MSR-focused analysis. The assumption is that the changes introduced in the other thematic areas have only a small impact on the MSR operations. In addition, the expected co-decision process to come at the EU level could lead to changes in the actual cap implemented. These changes are likely to have a magnitude as high (if not more) than what other thematic areas would induce in the model. Hence the choice to use a simple approach.</w:t>
      </w:r>
    </w:p>
    <w:p w14:paraId="7DC2C542" w14:textId="43A149AB" w:rsidR="00A71942" w:rsidRPr="00831FC2" w:rsidRDefault="00A71942" w:rsidP="00E276C8">
      <w:pPr>
        <w:spacing w:line="240" w:lineRule="auto"/>
        <w:rPr>
          <w:noProof/>
        </w:rPr>
      </w:pPr>
      <w:r w:rsidRPr="004D0C76">
        <w:rPr>
          <w:noProof/>
        </w:rPr>
        <w:t>It should be noted that this 90-85% scenario differs somewhat from the 90% scenario, notably in that it assumes that non-carbon price efforts for electricity decarbonisation are greater in the 90-85% scenario</w:t>
      </w:r>
      <w:r w:rsidRPr="00831FC2">
        <w:rPr>
          <w:noProof/>
        </w:rPr>
        <w:t>. The impact on the POLES-Enerdata MSR optimisation is that prices are automatically lower for the same EU ETS market design. Therefore, the results of the level of measures analysis and the policy options analysis should not be compared in terms of carbon prices.</w:t>
      </w:r>
    </w:p>
    <w:p w14:paraId="34167BB3" w14:textId="77777777" w:rsidR="00A71942" w:rsidRPr="00831FC2" w:rsidRDefault="00A71942" w:rsidP="00E276C8">
      <w:pPr>
        <w:spacing w:line="240" w:lineRule="auto"/>
        <w:rPr>
          <w:noProof/>
        </w:rPr>
      </w:pPr>
      <w:r w:rsidRPr="00831FC2">
        <w:rPr>
          <w:noProof/>
        </w:rPr>
        <w:t>As with MSR assessment measures, the optimization of the EU ETS system price using MSR modelling is based on an equilibrium on stationary emissions that include the power, industry, and other supply-side sectors. Aviation, maritime transport, and removals are considered as an exogenous EUA demand in the POLES-Enerdata model.</w:t>
      </w:r>
    </w:p>
    <w:p w14:paraId="5D944C48" w14:textId="77777777" w:rsidR="00A71942" w:rsidRPr="00831FC2" w:rsidRDefault="00A71942" w:rsidP="00E276C8">
      <w:pPr>
        <w:spacing w:line="240" w:lineRule="auto"/>
        <w:rPr>
          <w:noProof/>
        </w:rPr>
      </w:pPr>
      <w:r w:rsidRPr="00831FC2">
        <w:rPr>
          <w:noProof/>
        </w:rPr>
        <w:t>The 3 main policy options studied here are defined below for the MSR part:</w:t>
      </w:r>
    </w:p>
    <w:p w14:paraId="1D3F4039" w14:textId="77777777" w:rsidR="00A71942" w:rsidRPr="00831FC2" w:rsidRDefault="00A71942" w:rsidP="00E276C8">
      <w:pPr>
        <w:numPr>
          <w:ilvl w:val="0"/>
          <w:numId w:val="71"/>
        </w:numPr>
        <w:spacing w:line="240" w:lineRule="auto"/>
        <w:rPr>
          <w:noProof/>
        </w:rPr>
      </w:pPr>
      <w:r w:rsidRPr="00831FC2">
        <w:rPr>
          <w:noProof/>
        </w:rPr>
        <w:t>Policy option 1 (PO1). For the MSR part, this policy option takes into account the MSR1 measure previously presented in the MSR annex Section 1.3.1.</w:t>
      </w:r>
    </w:p>
    <w:p w14:paraId="1E8F8AEC" w14:textId="77777777" w:rsidR="00A71942" w:rsidRPr="00831FC2" w:rsidRDefault="00A71942" w:rsidP="00E276C8">
      <w:pPr>
        <w:numPr>
          <w:ilvl w:val="0"/>
          <w:numId w:val="71"/>
        </w:numPr>
        <w:spacing w:line="240" w:lineRule="auto"/>
        <w:rPr>
          <w:noProof/>
        </w:rPr>
      </w:pPr>
      <w:r w:rsidRPr="00831FC2">
        <w:rPr>
          <w:noProof/>
        </w:rPr>
        <w:t>Policy option 2 (PO2). For the MSR part, this policy option takes into account the MSR3 measure previously presented in the MSR annex Section 1.3.1. The contribution from the waste sector to the EU ETS is considered as an exogenous demand in POLES-Enerdata.</w:t>
      </w:r>
    </w:p>
    <w:p w14:paraId="03D14CC4" w14:textId="77777777" w:rsidR="00A71942" w:rsidRPr="00831FC2" w:rsidRDefault="00A71942" w:rsidP="00E276C8">
      <w:pPr>
        <w:numPr>
          <w:ilvl w:val="0"/>
          <w:numId w:val="71"/>
        </w:numPr>
        <w:spacing w:line="240" w:lineRule="auto"/>
        <w:rPr>
          <w:noProof/>
        </w:rPr>
      </w:pPr>
      <w:r w:rsidRPr="00831FC2">
        <w:rPr>
          <w:noProof/>
        </w:rPr>
        <w:t>Policy option 3 (PO3). For the MSR part, this policy option takes into account the MSR3 measure previously presented in the MSR annex Section 1.3.1. The contribution from waste and landfills sectors to the EU ETS is considered as an exogenous demand in POLES-Enerdata.</w:t>
      </w:r>
    </w:p>
    <w:p w14:paraId="0F7AA431" w14:textId="77777777" w:rsidR="00A71942" w:rsidRPr="00831FC2" w:rsidRDefault="00A71942" w:rsidP="00E276C8">
      <w:pPr>
        <w:spacing w:line="240" w:lineRule="auto"/>
        <w:rPr>
          <w:noProof/>
        </w:rPr>
      </w:pPr>
      <w:r w:rsidRPr="00831FC2">
        <w:rPr>
          <w:noProof/>
        </w:rPr>
        <w:t>PO2 envisages a net cap approach where removal credits must be purchased by market participants to offset their emissions, whereas the philosophy behind PO3 is a gross cap approach for participants, with an instrument (to be designed at a later stage by the European Commission) providing the market with the required amount of removals that develop in the 85% scenario.</w:t>
      </w:r>
    </w:p>
    <w:p w14:paraId="6EF9ACFC" w14:textId="77777777" w:rsidR="00A71942" w:rsidRPr="00831FC2" w:rsidRDefault="00A71942" w:rsidP="00E276C8">
      <w:pPr>
        <w:spacing w:line="240" w:lineRule="auto"/>
        <w:rPr>
          <w:noProof/>
        </w:rPr>
      </w:pPr>
      <w:r w:rsidRPr="00831FC2">
        <w:rPr>
          <w:noProof/>
        </w:rPr>
        <w:t>The results of POLES-Enerdata are identical across these two scenarios, since the aviation and maritime transport sectors, BECCS and DACCS removals, and added waste and landfills are considered as additional exogenous demand on the market. Consequently, for POLES-Enerdata, the cap envisaged for optimising the MSR price on stationary installations (electricity + industry) is the same. This is why, in the section presenting the results, the TNAC, MSR and carbon price indicators are identical.</w:t>
      </w:r>
    </w:p>
    <w:p w14:paraId="7B6E40CB" w14:textId="6B95BCCA" w:rsidR="00A71942" w:rsidRPr="00651699" w:rsidRDefault="00A71942" w:rsidP="00E276C8">
      <w:pPr>
        <w:spacing w:line="240" w:lineRule="auto"/>
        <w:rPr>
          <w:noProof/>
        </w:rPr>
      </w:pPr>
      <w:r w:rsidRPr="00831FC2">
        <w:rPr>
          <w:noProof/>
        </w:rPr>
        <w:t>In theory, as removals could be modelled endogenously in the POLES-Enerdata model, a more in-depth analysis of PO2, considering endogenous development of BECCS and DACCS with their own production costs, would have been interesting and would have shown differences with PO3, as the marginal cost of the technology should have an impact on the EU ETS market price equilibrium.</w:t>
      </w:r>
    </w:p>
    <w:p w14:paraId="4FB8B8B0" w14:textId="77777777" w:rsidR="00A71942" w:rsidRDefault="00A71942" w:rsidP="00E276C8">
      <w:pPr>
        <w:spacing w:line="240" w:lineRule="auto"/>
        <w:rPr>
          <w:noProof/>
          <w:sz w:val="22"/>
          <w:szCs w:val="22"/>
        </w:rPr>
        <w:sectPr w:rsidR="00A71942" w:rsidSect="00A71942">
          <w:headerReference w:type="default" r:id="rId46"/>
          <w:footerReference w:type="default" r:id="rId47"/>
          <w:headerReference w:type="first" r:id="rId48"/>
          <w:footerReference w:type="first" r:id="rId49"/>
          <w:pgSz w:w="11906" w:h="16838"/>
          <w:pgMar w:top="1440" w:right="1440" w:bottom="1440" w:left="1440" w:header="601" w:footer="1077" w:gutter="0"/>
          <w:cols w:space="720"/>
          <w:titlePg/>
          <w:docGrid w:linePitch="326"/>
        </w:sectPr>
      </w:pPr>
    </w:p>
    <w:p w14:paraId="7C920509" w14:textId="77777777" w:rsidR="00A71942" w:rsidRDefault="00A71942" w:rsidP="00E276C8">
      <w:pPr>
        <w:pStyle w:val="AnnexTitle"/>
        <w:spacing w:before="120" w:after="120" w:line="240" w:lineRule="auto"/>
        <w:rPr>
          <w:rFonts w:eastAsia="Arial"/>
          <w:noProof/>
        </w:rPr>
      </w:pPr>
      <w:bookmarkStart w:id="473" w:name="_Toc224905824"/>
      <w:bookmarkStart w:id="474" w:name="_Toc232611507"/>
      <w:bookmarkStart w:id="475" w:name="_Toc232758188"/>
      <w:r w:rsidRPr="1FC5E705">
        <w:rPr>
          <w:rFonts w:eastAsia="Arial"/>
          <w:noProof/>
        </w:rPr>
        <w:t xml:space="preserve">Annex 5: </w:t>
      </w:r>
      <w:r>
        <w:rPr>
          <w:noProof/>
        </w:rPr>
        <w:t>Competitiveness</w:t>
      </w:r>
      <w:r w:rsidRPr="1FC5E705">
        <w:rPr>
          <w:rFonts w:eastAsia="Arial"/>
          <w:noProof/>
        </w:rPr>
        <w:t xml:space="preserve"> check</w:t>
      </w:r>
      <w:bookmarkEnd w:id="473"/>
      <w:bookmarkEnd w:id="474"/>
      <w:bookmarkEnd w:id="475"/>
    </w:p>
    <w:p w14:paraId="08D826F4" w14:textId="77777777" w:rsidR="00A71942" w:rsidRDefault="00A71942" w:rsidP="00E276C8">
      <w:pPr>
        <w:pStyle w:val="Heading1COM"/>
        <w:numPr>
          <w:ilvl w:val="0"/>
          <w:numId w:val="87"/>
        </w:numPr>
        <w:spacing w:before="120" w:after="120" w:line="240" w:lineRule="auto"/>
        <w:outlineLvl w:val="1"/>
        <w:rPr>
          <w:noProof/>
        </w:rPr>
      </w:pPr>
      <w:bookmarkStart w:id="476" w:name="_Toc232611509"/>
      <w:bookmarkStart w:id="477" w:name="_Toc232758189"/>
      <w:r>
        <w:rPr>
          <w:noProof/>
        </w:rPr>
        <w:t>Overview of impacts on competitiveness</w:t>
      </w:r>
      <w:bookmarkEnd w:id="476"/>
      <w:bookmarkEnd w:id="477"/>
    </w:p>
    <w:p w14:paraId="675B1BB5" w14:textId="77777777" w:rsidR="00A71942" w:rsidRPr="00BF5124" w:rsidRDefault="00A71942" w:rsidP="00E276C8">
      <w:pPr>
        <w:spacing w:line="240" w:lineRule="auto"/>
        <w:rPr>
          <w:i/>
          <w:iCs/>
          <w:noProof/>
        </w:rPr>
      </w:pPr>
      <w:bookmarkStart w:id="478" w:name="_Toc232611550"/>
      <w:r w:rsidRPr="1FC5E705">
        <w:rPr>
          <w:i/>
          <w:iCs/>
          <w:noProof/>
        </w:rPr>
        <w:t>Competitiveness Check summary</w:t>
      </w:r>
      <w:bookmarkEnd w:id="478"/>
    </w:p>
    <w:tbl>
      <w:tblPr>
        <w:tblStyle w:val="TableGrid"/>
        <w:tblW w:w="5110" w:type="pct"/>
        <w:tblLook w:val="04A0" w:firstRow="1" w:lastRow="0" w:firstColumn="1" w:lastColumn="0" w:noHBand="0" w:noVBand="1"/>
      </w:tblPr>
      <w:tblGrid>
        <w:gridCol w:w="1696"/>
        <w:gridCol w:w="1119"/>
        <w:gridCol w:w="6389"/>
      </w:tblGrid>
      <w:tr w:rsidR="00360CF3" w:rsidRPr="006F04F1" w14:paraId="1923DA6D" w14:textId="77777777" w:rsidTr="00E276C8">
        <w:trPr>
          <w:trHeight w:val="835"/>
        </w:trPr>
        <w:tc>
          <w:tcPr>
            <w:tcW w:w="921" w:type="pct"/>
            <w:tcBorders>
              <w:top w:val="single" w:sz="8" w:space="0" w:color="auto"/>
              <w:left w:val="single" w:sz="8" w:space="0" w:color="auto"/>
              <w:bottom w:val="single" w:sz="8" w:space="0" w:color="auto"/>
              <w:right w:val="single" w:sz="8" w:space="0" w:color="auto"/>
            </w:tcBorders>
            <w:tcMar>
              <w:left w:w="108" w:type="dxa"/>
              <w:right w:w="108" w:type="dxa"/>
            </w:tcMar>
          </w:tcPr>
          <w:p w14:paraId="2D42CA05" w14:textId="77777777" w:rsidR="00A71942" w:rsidRPr="00D03753" w:rsidRDefault="00A71942" w:rsidP="00E276C8">
            <w:pPr>
              <w:spacing w:after="120"/>
              <w:rPr>
                <w:noProof/>
                <w:sz w:val="22"/>
                <w:szCs w:val="22"/>
              </w:rPr>
            </w:pPr>
            <w:r w:rsidRPr="1FC5E705">
              <w:rPr>
                <w:rFonts w:eastAsia="Arial"/>
                <w:b/>
                <w:bCs/>
                <w:noProof/>
                <w:sz w:val="22"/>
                <w:szCs w:val="22"/>
              </w:rPr>
              <w:t>Dimension of competitiveness</w:t>
            </w:r>
          </w:p>
        </w:tc>
        <w:tc>
          <w:tcPr>
            <w:tcW w:w="608" w:type="pct"/>
            <w:tcBorders>
              <w:top w:val="single" w:sz="8" w:space="0" w:color="auto"/>
              <w:left w:val="single" w:sz="8" w:space="0" w:color="auto"/>
              <w:bottom w:val="single" w:sz="8" w:space="0" w:color="auto"/>
              <w:right w:val="single" w:sz="8" w:space="0" w:color="auto"/>
            </w:tcBorders>
            <w:tcMar>
              <w:left w:w="108" w:type="dxa"/>
              <w:right w:w="108" w:type="dxa"/>
            </w:tcMar>
          </w:tcPr>
          <w:p w14:paraId="764CDE6E" w14:textId="77777777" w:rsidR="00A71942" w:rsidRPr="00D03753" w:rsidRDefault="00A71942" w:rsidP="00E276C8">
            <w:pPr>
              <w:spacing w:after="120"/>
              <w:rPr>
                <w:noProof/>
                <w:sz w:val="22"/>
                <w:szCs w:val="22"/>
              </w:rPr>
            </w:pPr>
            <w:r w:rsidRPr="1FC5E705">
              <w:rPr>
                <w:rFonts w:eastAsia="Arial"/>
                <w:b/>
                <w:bCs/>
                <w:noProof/>
                <w:sz w:val="22"/>
                <w:szCs w:val="22"/>
              </w:rPr>
              <w:t>Impact of the initiative (++ / + / 0 / – / –– / n.a.)</w:t>
            </w:r>
          </w:p>
        </w:tc>
        <w:tc>
          <w:tcPr>
            <w:tcW w:w="3471" w:type="pct"/>
            <w:tcBorders>
              <w:top w:val="single" w:sz="8" w:space="0" w:color="auto"/>
              <w:left w:val="single" w:sz="8" w:space="0" w:color="auto"/>
              <w:bottom w:val="single" w:sz="4" w:space="0" w:color="auto"/>
              <w:right w:val="single" w:sz="8" w:space="0" w:color="auto"/>
            </w:tcBorders>
            <w:tcMar>
              <w:left w:w="108" w:type="dxa"/>
              <w:right w:w="108" w:type="dxa"/>
            </w:tcMar>
          </w:tcPr>
          <w:p w14:paraId="7DFE2023" w14:textId="77777777" w:rsidR="00A71942" w:rsidRPr="00D03753" w:rsidRDefault="00A71942" w:rsidP="00E276C8">
            <w:pPr>
              <w:spacing w:after="120"/>
              <w:rPr>
                <w:noProof/>
                <w:sz w:val="22"/>
                <w:szCs w:val="22"/>
              </w:rPr>
            </w:pPr>
            <w:r w:rsidRPr="1FC5E705">
              <w:rPr>
                <w:rFonts w:eastAsia="Arial"/>
                <w:b/>
                <w:bCs/>
                <w:noProof/>
                <w:sz w:val="22"/>
                <w:szCs w:val="22"/>
              </w:rPr>
              <w:t>References to sub-sections of the main report or annexes</w:t>
            </w:r>
          </w:p>
        </w:tc>
      </w:tr>
      <w:tr w:rsidR="00360CF3" w:rsidRPr="006F04F1" w14:paraId="054DBA56" w14:textId="77777777" w:rsidTr="00E276C8">
        <w:trPr>
          <w:trHeight w:val="300"/>
        </w:trPr>
        <w:tc>
          <w:tcPr>
            <w:tcW w:w="921" w:type="pct"/>
            <w:tcBorders>
              <w:top w:val="single" w:sz="8" w:space="0" w:color="auto"/>
              <w:left w:val="single" w:sz="8" w:space="0" w:color="auto"/>
              <w:bottom w:val="single" w:sz="8" w:space="0" w:color="auto"/>
              <w:right w:val="single" w:sz="8" w:space="0" w:color="auto"/>
            </w:tcBorders>
            <w:tcMar>
              <w:left w:w="108" w:type="dxa"/>
              <w:right w:w="108" w:type="dxa"/>
            </w:tcMar>
          </w:tcPr>
          <w:p w14:paraId="0F7F36E1" w14:textId="77777777" w:rsidR="00A71942" w:rsidRPr="00D03753" w:rsidRDefault="00A71942" w:rsidP="00E276C8">
            <w:pPr>
              <w:spacing w:after="120"/>
              <w:rPr>
                <w:noProof/>
                <w:sz w:val="22"/>
                <w:szCs w:val="22"/>
              </w:rPr>
            </w:pPr>
            <w:r w:rsidRPr="1FC5E705">
              <w:rPr>
                <w:rFonts w:eastAsia="Arial"/>
                <w:b/>
                <w:bCs/>
                <w:noProof/>
                <w:sz w:val="22"/>
                <w:szCs w:val="22"/>
              </w:rPr>
              <w:t>Cost and price competitiveness</w:t>
            </w:r>
          </w:p>
        </w:tc>
        <w:tc>
          <w:tcPr>
            <w:tcW w:w="608"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1E6920D2" w14:textId="77777777" w:rsidR="00A71942" w:rsidRPr="00D03753" w:rsidRDefault="00A71942" w:rsidP="00E276C8">
            <w:pPr>
              <w:spacing w:after="120"/>
              <w:jc w:val="center"/>
              <w:rPr>
                <w:noProof/>
                <w:sz w:val="22"/>
                <w:szCs w:val="22"/>
              </w:rPr>
            </w:pPr>
            <w:r w:rsidRPr="1FC5E705">
              <w:rPr>
                <w:rFonts w:eastAsia="Arial"/>
                <w:b/>
                <w:bCs/>
                <w:noProof/>
                <w:sz w:val="22"/>
                <w:szCs w:val="22"/>
              </w:rPr>
              <w:t>+</w:t>
            </w:r>
          </w:p>
        </w:tc>
        <w:tc>
          <w:tcPr>
            <w:tcW w:w="3471" w:type="pct"/>
            <w:tcBorders>
              <w:top w:val="single" w:sz="4" w:space="0" w:color="auto"/>
              <w:left w:val="single" w:sz="4" w:space="0" w:color="auto"/>
              <w:bottom w:val="single" w:sz="4" w:space="0" w:color="auto"/>
              <w:right w:val="single" w:sz="4" w:space="0" w:color="auto"/>
            </w:tcBorders>
            <w:tcMar>
              <w:left w:w="108" w:type="dxa"/>
              <w:right w:w="108" w:type="dxa"/>
            </w:tcMar>
          </w:tcPr>
          <w:p w14:paraId="421CCBEA"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 xml:space="preserve">Compared to baseline a combination of more gradual cap reduction, continued free allocation, carbon removal integration and reform of Market Stability Reserve promotes overall competitiveness and reduces the unit cost of production [6.2.3.1, 6.2.3.2, 6.2.3.6] </w:t>
            </w:r>
          </w:p>
          <w:p w14:paraId="65C7AF9D"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Industrial Decarbonisation Bank supports investments in industrial decarbonisation and helps to limit the increase in the carbon price with positive impacts on costs and price competitiveness [6.2.3.3]</w:t>
            </w:r>
          </w:p>
          <w:p w14:paraId="38A9118C"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Modernisation Fund supports lower income Member States improve their competitiveness through investments in modernising their energy systems and energy efficiency or electrification. [6.2.3.3]</w:t>
            </w:r>
          </w:p>
          <w:p w14:paraId="4912F6D5" w14:textId="3C47A043"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 xml:space="preserve">Moderate impact in aviation overall. Costs are passed </w:t>
            </w:r>
            <w:r w:rsidR="45401618" w:rsidRPr="1FC5E705">
              <w:rPr>
                <w:rFonts w:eastAsia="Arial"/>
                <w:noProof/>
                <w:sz w:val="22"/>
                <w:szCs w:val="22"/>
              </w:rPr>
              <w:t>through and</w:t>
            </w:r>
            <w:r w:rsidRPr="1FC5E705">
              <w:rPr>
                <w:rFonts w:eastAsia="Arial"/>
                <w:noProof/>
                <w:sz w:val="22"/>
                <w:szCs w:val="22"/>
              </w:rPr>
              <w:t xml:space="preserve"> incurred on the basis of equal treatment on routes. Avoidance of double-pricing of emissions through the deduction of CORSIA offsetting costs. Increased compliance costs for small operators of business jets. Enhanced market for sustainable aviation fuel due to extended support [6.1.1.5]</w:t>
            </w:r>
          </w:p>
          <w:p w14:paraId="77943473" w14:textId="26C66FFD" w:rsidR="00A71942" w:rsidRPr="00D03753" w:rsidRDefault="00A71942" w:rsidP="00E276C8">
            <w:pPr>
              <w:spacing w:after="120"/>
              <w:rPr>
                <w:rFonts w:eastAsia="Arial"/>
                <w:noProof/>
                <w:color w:val="242828"/>
                <w:sz w:val="22"/>
                <w:szCs w:val="22"/>
              </w:rPr>
            </w:pPr>
            <w:r w:rsidRPr="1FC5E705">
              <w:rPr>
                <w:rFonts w:eastAsia="Arial"/>
                <w:noProof/>
                <w:sz w:val="22"/>
                <w:szCs w:val="22"/>
              </w:rPr>
              <w:t xml:space="preserve">Mixed impact in the maritime sector. Positive impact across the maritime </w:t>
            </w:r>
            <w:r w:rsidR="31E64F23" w:rsidRPr="1FC5E705">
              <w:rPr>
                <w:rFonts w:eastAsia="Arial"/>
                <w:noProof/>
                <w:sz w:val="22"/>
                <w:szCs w:val="22"/>
              </w:rPr>
              <w:t>sector,</w:t>
            </w:r>
            <w:r w:rsidRPr="1FC5E705">
              <w:rPr>
                <w:rFonts w:eastAsia="Arial"/>
                <w:noProof/>
                <w:sz w:val="22"/>
                <w:szCs w:val="22"/>
              </w:rPr>
              <w:t xml:space="preserve"> by supporting sustainable fuels and clean propulsion technologies, including for smaller vessels. Combined positive economic impact from action to address further the risk of evasion by containerships and offshore vessels as well as avoiding double payment in case emissions are priced under a future IMO mid-term </w:t>
            </w:r>
            <w:r w:rsidR="3AF6BEAF" w:rsidRPr="1FC5E705">
              <w:rPr>
                <w:rFonts w:eastAsia="Arial"/>
                <w:noProof/>
                <w:sz w:val="22"/>
                <w:szCs w:val="22"/>
              </w:rPr>
              <w:t>measure.</w:t>
            </w:r>
            <w:r w:rsidRPr="1FC5E705">
              <w:rPr>
                <w:rFonts w:eastAsia="Arial"/>
                <w:noProof/>
                <w:sz w:val="22"/>
                <w:szCs w:val="22"/>
              </w:rPr>
              <w:t xml:space="preserve"> Increased compliance costs for smaller vessels [6.2.3.5]</w:t>
            </w:r>
          </w:p>
          <w:p w14:paraId="0BAD0F46"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Inclusion of waste sector, combined with accounting change for carbon, capture and utilisation (CCU), can increase waste management costs in the short-term while promoting new opportunities for circular carbon products and biogenic carbon removals. [6.2.1.7, 6.2.1.8, 6.2.3.7]</w:t>
            </w:r>
          </w:p>
          <w:p w14:paraId="092FAEB3" w14:textId="77777777" w:rsidR="00A71942" w:rsidRPr="00BF5124" w:rsidRDefault="00A71942" w:rsidP="00E276C8">
            <w:pPr>
              <w:spacing w:after="120"/>
              <w:rPr>
                <w:rFonts w:eastAsia="Arial"/>
                <w:noProof/>
                <w:color w:val="242828"/>
                <w:sz w:val="22"/>
                <w:szCs w:val="22"/>
                <w:lang w:val="it-IT"/>
              </w:rPr>
            </w:pPr>
            <w:r w:rsidRPr="1FC5E705">
              <w:rPr>
                <w:rFonts w:eastAsia="Arial"/>
                <w:noProof/>
                <w:sz w:val="22"/>
                <w:szCs w:val="22"/>
              </w:rPr>
              <w:t>Modelling indicates higher sectoral employment compared to baseline for some industries.  [6.3.1.6]</w:t>
            </w:r>
          </w:p>
        </w:tc>
      </w:tr>
      <w:tr w:rsidR="00360CF3" w:rsidRPr="006F04F1" w14:paraId="09DAA026" w14:textId="77777777" w:rsidTr="00E276C8">
        <w:trPr>
          <w:trHeight w:val="300"/>
        </w:trPr>
        <w:tc>
          <w:tcPr>
            <w:tcW w:w="921" w:type="pct"/>
            <w:tcBorders>
              <w:top w:val="single" w:sz="8" w:space="0" w:color="auto"/>
              <w:left w:val="single" w:sz="8" w:space="0" w:color="auto"/>
              <w:bottom w:val="single" w:sz="8" w:space="0" w:color="auto"/>
              <w:right w:val="single" w:sz="8" w:space="0" w:color="auto"/>
            </w:tcBorders>
            <w:tcMar>
              <w:left w:w="108" w:type="dxa"/>
              <w:right w:w="108" w:type="dxa"/>
            </w:tcMar>
          </w:tcPr>
          <w:p w14:paraId="11F2164A" w14:textId="77777777" w:rsidR="00A71942" w:rsidRPr="00D03753" w:rsidRDefault="00A71942" w:rsidP="00E276C8">
            <w:pPr>
              <w:spacing w:after="120"/>
              <w:rPr>
                <w:noProof/>
                <w:sz w:val="22"/>
                <w:szCs w:val="22"/>
              </w:rPr>
            </w:pPr>
            <w:r w:rsidRPr="1FC5E705">
              <w:rPr>
                <w:rFonts w:eastAsia="Arial"/>
                <w:b/>
                <w:bCs/>
                <w:noProof/>
                <w:sz w:val="22"/>
                <w:szCs w:val="22"/>
              </w:rPr>
              <w:t>International competitiveness</w:t>
            </w:r>
          </w:p>
        </w:tc>
        <w:tc>
          <w:tcPr>
            <w:tcW w:w="608"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F4DCC55" w14:textId="77777777" w:rsidR="00A71942" w:rsidRPr="00D03753" w:rsidRDefault="00A71942" w:rsidP="00E276C8">
            <w:pPr>
              <w:spacing w:after="120"/>
              <w:jc w:val="center"/>
              <w:rPr>
                <w:noProof/>
                <w:sz w:val="22"/>
                <w:szCs w:val="22"/>
              </w:rPr>
            </w:pPr>
            <w:r w:rsidRPr="1FC5E705">
              <w:rPr>
                <w:rFonts w:eastAsia="Arial"/>
                <w:b/>
                <w:bCs/>
                <w:noProof/>
                <w:sz w:val="22"/>
                <w:szCs w:val="22"/>
              </w:rPr>
              <w:t>+</w:t>
            </w:r>
          </w:p>
        </w:tc>
        <w:tc>
          <w:tcPr>
            <w:tcW w:w="3471" w:type="pct"/>
            <w:tcBorders>
              <w:top w:val="single" w:sz="4" w:space="0" w:color="auto"/>
              <w:left w:val="single" w:sz="4" w:space="0" w:color="auto"/>
              <w:bottom w:val="single" w:sz="4" w:space="0" w:color="auto"/>
              <w:right w:val="single" w:sz="4" w:space="0" w:color="auto"/>
            </w:tcBorders>
            <w:tcMar>
              <w:left w:w="108" w:type="dxa"/>
              <w:right w:w="108" w:type="dxa"/>
            </w:tcMar>
          </w:tcPr>
          <w:p w14:paraId="36A49C3E" w14:textId="77777777" w:rsidR="00A71942" w:rsidRPr="00D03753" w:rsidRDefault="00A71942" w:rsidP="00E276C8">
            <w:pPr>
              <w:spacing w:after="120"/>
              <w:rPr>
                <w:noProof/>
                <w:sz w:val="22"/>
                <w:szCs w:val="22"/>
              </w:rPr>
            </w:pPr>
            <w:r w:rsidRPr="1FC5E705">
              <w:rPr>
                <w:noProof/>
                <w:sz w:val="22"/>
                <w:szCs w:val="22"/>
              </w:rPr>
              <w:t>Benefits to cost &amp; price competitiveness above can be expected to improve international competitiveness.</w:t>
            </w:r>
          </w:p>
          <w:p w14:paraId="640AB550" w14:textId="77777777" w:rsidR="00A71942" w:rsidRPr="00D03753" w:rsidRDefault="00A71942" w:rsidP="00E276C8">
            <w:pPr>
              <w:spacing w:after="120"/>
              <w:rPr>
                <w:noProof/>
                <w:sz w:val="22"/>
                <w:szCs w:val="22"/>
              </w:rPr>
            </w:pPr>
            <w:r w:rsidRPr="1FC5E705">
              <w:rPr>
                <w:noProof/>
                <w:sz w:val="22"/>
                <w:szCs w:val="22"/>
              </w:rPr>
              <w:t>Economic modelling indicates higher exports and reduced imports in the preferred option compared to the baseline [Annex 12, Section 1.4.2.4].</w:t>
            </w:r>
          </w:p>
        </w:tc>
      </w:tr>
      <w:tr w:rsidR="00360CF3" w:rsidRPr="006F04F1" w14:paraId="1064CDE1" w14:textId="77777777" w:rsidTr="00E276C8">
        <w:trPr>
          <w:trHeight w:val="300"/>
        </w:trPr>
        <w:tc>
          <w:tcPr>
            <w:tcW w:w="921" w:type="pct"/>
            <w:tcBorders>
              <w:top w:val="single" w:sz="8" w:space="0" w:color="auto"/>
              <w:left w:val="single" w:sz="8" w:space="0" w:color="auto"/>
              <w:bottom w:val="single" w:sz="8" w:space="0" w:color="auto"/>
              <w:right w:val="single" w:sz="8" w:space="0" w:color="auto"/>
            </w:tcBorders>
            <w:tcMar>
              <w:left w:w="108" w:type="dxa"/>
              <w:right w:w="108" w:type="dxa"/>
            </w:tcMar>
          </w:tcPr>
          <w:p w14:paraId="233E7C5E" w14:textId="77777777" w:rsidR="00A71942" w:rsidRPr="00D03753" w:rsidRDefault="00A71942" w:rsidP="00E276C8">
            <w:pPr>
              <w:spacing w:after="120"/>
              <w:rPr>
                <w:noProof/>
                <w:sz w:val="22"/>
                <w:szCs w:val="22"/>
              </w:rPr>
            </w:pPr>
            <w:r w:rsidRPr="1FC5E705">
              <w:rPr>
                <w:rFonts w:eastAsia="Arial"/>
                <w:b/>
                <w:bCs/>
                <w:noProof/>
                <w:sz w:val="22"/>
                <w:szCs w:val="22"/>
              </w:rPr>
              <w:t>Capacity to innovate</w:t>
            </w:r>
          </w:p>
        </w:tc>
        <w:tc>
          <w:tcPr>
            <w:tcW w:w="60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5DC38" w14:textId="77777777" w:rsidR="00A71942" w:rsidRPr="00D03753" w:rsidRDefault="00A71942" w:rsidP="00E276C8">
            <w:pPr>
              <w:spacing w:after="120"/>
              <w:jc w:val="center"/>
              <w:rPr>
                <w:noProof/>
                <w:sz w:val="22"/>
                <w:szCs w:val="22"/>
              </w:rPr>
            </w:pPr>
            <w:r w:rsidRPr="1FC5E705">
              <w:rPr>
                <w:rFonts w:eastAsia="Arial"/>
                <w:b/>
                <w:bCs/>
                <w:noProof/>
                <w:sz w:val="22"/>
                <w:szCs w:val="22"/>
              </w:rPr>
              <w:t>+</w:t>
            </w:r>
          </w:p>
        </w:tc>
        <w:tc>
          <w:tcPr>
            <w:tcW w:w="3471" w:type="pct"/>
            <w:tcBorders>
              <w:top w:val="single" w:sz="4" w:space="0" w:color="auto"/>
              <w:left w:val="single" w:sz="8" w:space="0" w:color="auto"/>
              <w:bottom w:val="single" w:sz="8" w:space="0" w:color="auto"/>
              <w:right w:val="single" w:sz="8" w:space="0" w:color="auto"/>
            </w:tcBorders>
            <w:tcMar>
              <w:left w:w="108" w:type="dxa"/>
              <w:right w:w="108" w:type="dxa"/>
            </w:tcMar>
          </w:tcPr>
          <w:p w14:paraId="404E216B" w14:textId="77777777" w:rsidR="00A71942" w:rsidRPr="00D03753" w:rsidRDefault="00A71942" w:rsidP="00E276C8">
            <w:pPr>
              <w:spacing w:after="120"/>
              <w:rPr>
                <w:noProof/>
                <w:sz w:val="22"/>
                <w:szCs w:val="22"/>
              </w:rPr>
            </w:pPr>
            <w:r w:rsidRPr="1FC5E705">
              <w:rPr>
                <w:rFonts w:eastAsia="Arial"/>
                <w:noProof/>
                <w:sz w:val="22"/>
                <w:szCs w:val="22"/>
              </w:rPr>
              <w:t>Positive impact expected due to a combination of financial support measures to specific innovations (e.g. Industrial Decarbonisation Bank calls, Sustainable Aviation and Marine Fuels and technologies) as well as market-based incentives promoting other innovations (e.g. CCU, carbon removal, waste) as well as enhanced energy-efficient solutions  [6.2.3]</w:t>
            </w:r>
          </w:p>
        </w:tc>
      </w:tr>
      <w:tr w:rsidR="00360CF3" w:rsidRPr="006F04F1" w14:paraId="0FB41C43" w14:textId="77777777" w:rsidTr="00E276C8">
        <w:trPr>
          <w:trHeight w:val="300"/>
        </w:trPr>
        <w:tc>
          <w:tcPr>
            <w:tcW w:w="921" w:type="pct"/>
            <w:tcBorders>
              <w:top w:val="single" w:sz="8" w:space="0" w:color="auto"/>
              <w:left w:val="single" w:sz="8" w:space="0" w:color="auto"/>
              <w:bottom w:val="single" w:sz="8" w:space="0" w:color="auto"/>
              <w:right w:val="single" w:sz="8" w:space="0" w:color="auto"/>
            </w:tcBorders>
            <w:tcMar>
              <w:left w:w="108" w:type="dxa"/>
              <w:right w:w="108" w:type="dxa"/>
            </w:tcMar>
          </w:tcPr>
          <w:p w14:paraId="063AF993" w14:textId="77777777" w:rsidR="00A71942" w:rsidRPr="00D03753" w:rsidRDefault="00A71942" w:rsidP="00E276C8">
            <w:pPr>
              <w:spacing w:after="120"/>
              <w:rPr>
                <w:noProof/>
                <w:sz w:val="22"/>
                <w:szCs w:val="22"/>
              </w:rPr>
            </w:pPr>
            <w:r w:rsidRPr="1FC5E705">
              <w:rPr>
                <w:rFonts w:eastAsia="Arial"/>
                <w:b/>
                <w:bCs/>
                <w:noProof/>
                <w:sz w:val="22"/>
                <w:szCs w:val="22"/>
              </w:rPr>
              <w:t>SME competitiveness</w:t>
            </w:r>
          </w:p>
        </w:tc>
        <w:tc>
          <w:tcPr>
            <w:tcW w:w="60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51ECC" w14:textId="77777777" w:rsidR="00A71942" w:rsidRPr="00D03753" w:rsidRDefault="00A71942" w:rsidP="00E276C8">
            <w:pPr>
              <w:spacing w:after="120"/>
              <w:jc w:val="center"/>
              <w:rPr>
                <w:noProof/>
                <w:sz w:val="22"/>
                <w:szCs w:val="22"/>
              </w:rPr>
            </w:pPr>
            <w:r w:rsidRPr="1FC5E705">
              <w:rPr>
                <w:rFonts w:eastAsia="Arial"/>
                <w:noProof/>
                <w:sz w:val="22"/>
                <w:szCs w:val="22"/>
              </w:rPr>
              <w:t>+</w:t>
            </w:r>
          </w:p>
        </w:tc>
        <w:tc>
          <w:tcPr>
            <w:tcW w:w="3471" w:type="pct"/>
            <w:tcBorders>
              <w:top w:val="single" w:sz="8" w:space="0" w:color="auto"/>
              <w:left w:val="single" w:sz="8" w:space="0" w:color="auto"/>
              <w:bottom w:val="single" w:sz="8" w:space="0" w:color="auto"/>
              <w:right w:val="single" w:sz="8" w:space="0" w:color="auto"/>
            </w:tcBorders>
            <w:tcMar>
              <w:left w:w="108" w:type="dxa"/>
              <w:right w:w="108" w:type="dxa"/>
            </w:tcMar>
          </w:tcPr>
          <w:p w14:paraId="50FB39E5"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Entities affected by the preferred option are mainly larger enterprises.</w:t>
            </w:r>
          </w:p>
          <w:p w14:paraId="50E8F276" w14:textId="77777777" w:rsidR="00A71942" w:rsidRPr="00D03753" w:rsidRDefault="00A71942" w:rsidP="00E276C8">
            <w:pPr>
              <w:spacing w:after="120"/>
              <w:rPr>
                <w:rFonts w:eastAsia="Arial"/>
                <w:noProof/>
                <w:color w:val="242828"/>
                <w:sz w:val="22"/>
                <w:szCs w:val="22"/>
                <w:lang w:val="en-IE"/>
              </w:rPr>
            </w:pPr>
            <w:r w:rsidRPr="1FC5E705">
              <w:rPr>
                <w:rFonts w:eastAsia="Arial"/>
                <w:noProof/>
                <w:sz w:val="22"/>
                <w:szCs w:val="22"/>
              </w:rPr>
              <w:t>Fixed costs related to administrative effort affect SMEs disproportionately. Therefore, they will be particularly affected positively by simplification measures in aviation, maritime and waste [6.2.2.3, 6.2.2.4 &amp; 6.2.4.4] and by the streamlining of free allocation [6.2.2.5]. On the other hand, they will be negatively affected by the expanded conditionality in free allocation [6.2.1.6], and extension of ETS maritime to smaller vessels [6.2.4.2].</w:t>
            </w:r>
          </w:p>
          <w:p w14:paraId="13AA84C4" w14:textId="77777777" w:rsidR="00A71942" w:rsidRPr="00D03753" w:rsidRDefault="00A71942" w:rsidP="00E276C8">
            <w:pPr>
              <w:spacing w:after="120"/>
              <w:rPr>
                <w:noProof/>
                <w:sz w:val="22"/>
                <w:szCs w:val="22"/>
              </w:rPr>
            </w:pPr>
            <w:r w:rsidRPr="1FC5E705">
              <w:rPr>
                <w:rFonts w:eastAsia="Arial"/>
                <w:noProof/>
                <w:sz w:val="22"/>
                <w:szCs w:val="22"/>
              </w:rPr>
              <w:t>Analysis in this impact assessment mostly assumes that operators with low emissions (e.g. small stationary installations, or small maritime vessels) are more likely to be SMEs than operators of larger installations, vessels or fleets. Annex 6 contains analysis using the standard definition of SME (related to corporate size).</w:t>
            </w:r>
          </w:p>
        </w:tc>
      </w:tr>
    </w:tbl>
    <w:p w14:paraId="0BACEDA4" w14:textId="77777777" w:rsidR="00A71942" w:rsidRPr="006F04F1" w:rsidRDefault="00A71942" w:rsidP="00E276C8">
      <w:pPr>
        <w:pStyle w:val="Heading1COM"/>
        <w:spacing w:before="120" w:after="120" w:line="240" w:lineRule="auto"/>
        <w:outlineLvl w:val="1"/>
        <w:rPr>
          <w:noProof/>
        </w:rPr>
      </w:pPr>
      <w:bookmarkStart w:id="479" w:name="_Toc232611510"/>
      <w:bookmarkStart w:id="480" w:name="_Toc232758190"/>
      <w:r>
        <w:rPr>
          <w:noProof/>
        </w:rPr>
        <w:t>Synthetic</w:t>
      </w:r>
      <w:r w:rsidRPr="1FC5E705">
        <w:rPr>
          <w:rFonts w:eastAsia="Arial"/>
          <w:noProof/>
        </w:rPr>
        <w:t xml:space="preserve"> assessment</w:t>
      </w:r>
      <w:bookmarkEnd w:id="479"/>
      <w:bookmarkEnd w:id="480"/>
    </w:p>
    <w:p w14:paraId="04256202" w14:textId="77777777" w:rsidR="00A71942" w:rsidRPr="006F04F1" w:rsidRDefault="00A71942" w:rsidP="00E276C8">
      <w:pPr>
        <w:spacing w:line="240" w:lineRule="auto"/>
        <w:rPr>
          <w:noProof/>
        </w:rPr>
      </w:pPr>
      <w:r w:rsidRPr="1FC5E705">
        <w:rPr>
          <w:rFonts w:eastAsia="Arial"/>
          <w:noProof/>
        </w:rPr>
        <w:t>The preferred policy option is assessed as positive across all competitiveness dimensions. It strengthens the carbon-pricing framework while maintaining transitional safeguards for industry and providing clear incentives for investment in climate-neutral technologies.</w:t>
      </w:r>
    </w:p>
    <w:p w14:paraId="292D8766" w14:textId="77777777" w:rsidR="00A71942" w:rsidRPr="006F04F1" w:rsidRDefault="00A71942" w:rsidP="00E276C8">
      <w:pPr>
        <w:pStyle w:val="Heading2COM"/>
        <w:spacing w:before="120" w:after="120" w:line="240" w:lineRule="auto"/>
        <w:outlineLvl w:val="2"/>
        <w15:collapsed w:val="0"/>
        <w:rPr>
          <w:noProof/>
        </w:rPr>
      </w:pPr>
      <w:r w:rsidRPr="1FC5E705">
        <w:rPr>
          <w:rFonts w:eastAsia="Arial"/>
          <w:noProof/>
        </w:rPr>
        <w:t xml:space="preserve"> </w:t>
      </w:r>
      <w:bookmarkStart w:id="481" w:name="_Toc232611511"/>
      <w:bookmarkStart w:id="482" w:name="_Toc232758191"/>
      <w:r>
        <w:rPr>
          <w:noProof/>
        </w:rPr>
        <w:t>Cost</w:t>
      </w:r>
      <w:r w:rsidRPr="1FC5E705">
        <w:rPr>
          <w:rFonts w:eastAsia="Arial"/>
          <w:noProof/>
        </w:rPr>
        <w:t xml:space="preserve"> and price competitiveness</w:t>
      </w:r>
      <w:bookmarkEnd w:id="481"/>
      <w:bookmarkEnd w:id="482"/>
    </w:p>
    <w:p w14:paraId="52B00F06" w14:textId="77777777" w:rsidR="00A71942" w:rsidRDefault="00A71942" w:rsidP="00E276C8">
      <w:pPr>
        <w:spacing w:line="240" w:lineRule="auto"/>
        <w:rPr>
          <w:rFonts w:eastAsia="Arial"/>
          <w:noProof/>
          <w:color w:val="242828"/>
        </w:rPr>
      </w:pPr>
      <w:r w:rsidRPr="1FC5E705">
        <w:rPr>
          <w:rFonts w:eastAsia="Arial"/>
          <w:noProof/>
        </w:rPr>
        <w:t>Macro-economic modelling (in Annex 12, Section 1.4.3.1) indicates that, compared to the baseline, the preferred option is expected to have a positive impact on GDP, industrial production and exports, as well as lowering unit costs of production.</w:t>
      </w:r>
    </w:p>
    <w:p w14:paraId="473D3125" w14:textId="77777777" w:rsidR="00A71942" w:rsidRPr="006F04F1" w:rsidRDefault="00A71942" w:rsidP="00E276C8">
      <w:pPr>
        <w:spacing w:line="240" w:lineRule="auto"/>
        <w:rPr>
          <w:noProof/>
        </w:rPr>
      </w:pPr>
      <w:r w:rsidRPr="1FC5E705">
        <w:rPr>
          <w:rFonts w:eastAsia="Arial"/>
          <w:noProof/>
        </w:rPr>
        <w:t>The preferred option maintains cost stability for industrial operators by setting an emissions reduction trajectory that is more gradual compared to the the baseline, while still representing a fair contribution to the EU’s economy-wide climate target for 2040. The resulting cap on emissions provides more emission space for industry, as well as it results in a higher free allocation budget available compared to the baseline. Through a reformed system of free allocation, firms in sectors exposed to international trade continue to receive transitional protection from carbon leakage, but part of the free allocation is made conditional on investments in decarbonistion. This approach keeps average compliance costs manageable, while improving the efficiency of support and supporting further investments in European industry. In addition, Industrial Decarbonisation Bank (IDB) will support the front-runner projects implementing industrial decarbonisation projects.</w:t>
      </w:r>
    </w:p>
    <w:p w14:paraId="11933BB9" w14:textId="77777777" w:rsidR="00A71942" w:rsidRDefault="00A71942" w:rsidP="00E276C8">
      <w:pPr>
        <w:spacing w:line="240" w:lineRule="auto"/>
        <w:rPr>
          <w:rFonts w:eastAsia="Arial"/>
          <w:noProof/>
          <w:color w:val="242828"/>
        </w:rPr>
      </w:pPr>
      <w:r w:rsidRPr="1FC5E705">
        <w:rPr>
          <w:rFonts w:eastAsia="Arial"/>
          <w:noProof/>
        </w:rPr>
        <w:t>Modelling results indicates that unit production costs decrease relative to the baseline thanks to energy-efficiency gains and innovation uptake. Carbon-price predictability under the reformed MSR further limits volatility and allows operators to plan investments effectively.</w:t>
      </w:r>
    </w:p>
    <w:p w14:paraId="5866F588" w14:textId="77777777" w:rsidR="00A71942" w:rsidRDefault="00A71942" w:rsidP="00E276C8">
      <w:pPr>
        <w:spacing w:line="240" w:lineRule="auto"/>
        <w:rPr>
          <w:noProof/>
          <w:lang w:val="en-IE"/>
        </w:rPr>
      </w:pPr>
      <w:r>
        <w:rPr>
          <w:noProof/>
        </w:rPr>
        <w:t xml:space="preserve">In aviation, modelling results indicate a modest increase in demand and employment, and a decrease in prices compared to the baseline. There is no double-pricing of emissions, because airlines can deduct costs for CORSIA offsetting. </w:t>
      </w:r>
    </w:p>
    <w:p w14:paraId="00E64DA2" w14:textId="5DE85D3D" w:rsidR="00A71942" w:rsidRPr="00096A19" w:rsidRDefault="00A71942" w:rsidP="00E276C8">
      <w:pPr>
        <w:spacing w:line="240" w:lineRule="auto"/>
        <w:rPr>
          <w:noProof/>
        </w:rPr>
      </w:pPr>
      <w:r>
        <w:rPr>
          <w:noProof/>
        </w:rPr>
        <w:t xml:space="preserve">For maritime transport, positive effects are expected mainly from two measures; the support to shipping companies stemming from the recycling of part of the ETS revenues back to the maritime sector through the Sustainable Maritime </w:t>
      </w:r>
      <w:r w:rsidR="3AD063FD">
        <w:rPr>
          <w:noProof/>
        </w:rPr>
        <w:t xml:space="preserve">Alternative </w:t>
      </w:r>
      <w:r>
        <w:rPr>
          <w:noProof/>
        </w:rPr>
        <w:t xml:space="preserve">Propulsion mechanism and from possible future cost savings for companies linked to the IMO deduction approach .  Furthermore, lowering of the container transhipment incidence threshold is expected to further mitigate the risk of carbon leakage to non-EU ports and mitigate possible negative effects on e.g. employment and economic activity. Similar benefits apply when ensuring a level playing field for operators of offshore vessels active in EU waters, mitigating against evasive behaviour in this specialised sector. Limited economic impacts of expanding ETS scope to smaller vessels when considering the whole sector, though slightly more significant in some Member States. </w:t>
      </w:r>
    </w:p>
    <w:p w14:paraId="1E3CF08F" w14:textId="77777777" w:rsidR="00A71942" w:rsidRPr="006F04F1" w:rsidRDefault="00A71942" w:rsidP="00E276C8">
      <w:pPr>
        <w:pStyle w:val="Heading2COM"/>
        <w:spacing w:before="120" w:after="120" w:line="240" w:lineRule="auto"/>
        <w:outlineLvl w:val="2"/>
        <w15:collapsed w:val="0"/>
        <w:rPr>
          <w:noProof/>
        </w:rPr>
      </w:pPr>
      <w:r w:rsidRPr="1FC5E705">
        <w:rPr>
          <w:rFonts w:eastAsia="Arial"/>
          <w:noProof/>
        </w:rPr>
        <w:t xml:space="preserve"> </w:t>
      </w:r>
      <w:bookmarkStart w:id="483" w:name="_Toc232611512"/>
      <w:bookmarkStart w:id="484" w:name="_Toc232758192"/>
      <w:r>
        <w:rPr>
          <w:noProof/>
        </w:rPr>
        <w:t>International</w:t>
      </w:r>
      <w:r w:rsidRPr="1FC5E705">
        <w:rPr>
          <w:rFonts w:eastAsia="Arial"/>
          <w:noProof/>
        </w:rPr>
        <w:t xml:space="preserve"> competitiveness</w:t>
      </w:r>
      <w:bookmarkEnd w:id="483"/>
      <w:bookmarkEnd w:id="484"/>
    </w:p>
    <w:p w14:paraId="22E553FA" w14:textId="77777777" w:rsidR="00A71942" w:rsidRDefault="00A71942" w:rsidP="00E276C8">
      <w:pPr>
        <w:spacing w:line="240" w:lineRule="auto"/>
        <w:rPr>
          <w:rFonts w:eastAsia="Arial"/>
          <w:noProof/>
          <w:color w:val="242828"/>
        </w:rPr>
      </w:pPr>
      <w:r w:rsidRPr="1FC5E705">
        <w:rPr>
          <w:rFonts w:eastAsia="Arial"/>
          <w:noProof/>
        </w:rPr>
        <w:t>Model results show an increase in export volumes compared with the baseline, driven by productivity improvements and stronger technological positioning in low-carbon products. IDB support would help EU-based installations to apply decarbonisation technologies early on and secure technological leadership and position on the global markets. Continued free allocation for non-CBAM sectors preserves their global competitiveness during the transition and prevents any carbon leakage, while alignment with CBAM ensures coherence and fairness across sectors.</w:t>
      </w:r>
    </w:p>
    <w:p w14:paraId="52D35B60" w14:textId="77777777" w:rsidR="00A71942" w:rsidRDefault="00A71942" w:rsidP="00E276C8">
      <w:pPr>
        <w:spacing w:line="240" w:lineRule="auto"/>
        <w:rPr>
          <w:rFonts w:eastAsia="Arial"/>
          <w:noProof/>
          <w:color w:val="242828"/>
        </w:rPr>
      </w:pPr>
      <w:r w:rsidRPr="1FC5E705">
        <w:rPr>
          <w:rFonts w:eastAsia="Arial"/>
          <w:noProof/>
        </w:rPr>
        <w:t xml:space="preserve">In aviation, the preferred option is expected to reduce passenger shift to non-EEA-based hubs, compared to the baseline. In addition, carbon leakage risks for tourism are expected to be low. </w:t>
      </w:r>
    </w:p>
    <w:p w14:paraId="116540E4" w14:textId="77777777" w:rsidR="00A71942" w:rsidRPr="00EC1344" w:rsidRDefault="00A71942" w:rsidP="00E276C8">
      <w:pPr>
        <w:spacing w:line="240" w:lineRule="auto"/>
        <w:rPr>
          <w:noProof/>
          <w:lang w:val="en-IE"/>
        </w:rPr>
      </w:pPr>
      <w:r w:rsidRPr="1FC5E705">
        <w:rPr>
          <w:rFonts w:eastAsia="Arial"/>
          <w:noProof/>
        </w:rPr>
        <w:t xml:space="preserve">In maritime transport, the option to </w:t>
      </w:r>
      <w:r>
        <w:rPr>
          <w:noProof/>
        </w:rPr>
        <w:t xml:space="preserve">lower the container transhipment incidence threshold is expected to help further address the risk of evasion and the loss of container transhipment activity from EU ports to non-EU ports, where such loss might impact the surrounding EU economy. Addressing risk of evasion in the offshore maritime sector will not only ensure a level playing field between EU and non-EU offshore vessel operators  but will also strengthen a sector that provides crucial support for the EU’s energy and digital development. Similarly, the deduction of emissions priced under a possible future IMO mid-term measure from EU ETS will contribute towards level playing field for shipping companies operating to and from EU ports and non-EU ports. </w:t>
      </w:r>
    </w:p>
    <w:p w14:paraId="74771FE0" w14:textId="77777777" w:rsidR="00A71942" w:rsidRPr="006F04F1" w:rsidRDefault="00A71942" w:rsidP="00E276C8">
      <w:pPr>
        <w:pStyle w:val="Heading2COM"/>
        <w:spacing w:before="120" w:after="120" w:line="240" w:lineRule="auto"/>
        <w:outlineLvl w:val="2"/>
        <w15:collapsed w:val="0"/>
        <w:rPr>
          <w:noProof/>
        </w:rPr>
      </w:pPr>
      <w:r w:rsidRPr="1FC5E705">
        <w:rPr>
          <w:rFonts w:eastAsia="Arial"/>
          <w:noProof/>
        </w:rPr>
        <w:t xml:space="preserve"> </w:t>
      </w:r>
      <w:bookmarkStart w:id="485" w:name="_Toc232611513"/>
      <w:bookmarkStart w:id="486" w:name="_Toc232758193"/>
      <w:r>
        <w:rPr>
          <w:noProof/>
        </w:rPr>
        <w:t>Capacity</w:t>
      </w:r>
      <w:r w:rsidRPr="1FC5E705">
        <w:rPr>
          <w:rFonts w:eastAsia="Arial"/>
          <w:noProof/>
        </w:rPr>
        <w:t xml:space="preserve"> to innovate</w:t>
      </w:r>
      <w:bookmarkEnd w:id="485"/>
      <w:bookmarkEnd w:id="486"/>
    </w:p>
    <w:p w14:paraId="190EC54B" w14:textId="77777777" w:rsidR="00A71942" w:rsidRDefault="00A71942" w:rsidP="00E276C8">
      <w:pPr>
        <w:spacing w:line="240" w:lineRule="auto"/>
        <w:rPr>
          <w:rFonts w:eastAsia="Arial"/>
          <w:noProof/>
          <w:color w:val="242828"/>
        </w:rPr>
      </w:pPr>
      <w:r w:rsidRPr="1FC5E705">
        <w:rPr>
          <w:rFonts w:eastAsia="Arial"/>
          <w:noProof/>
        </w:rPr>
        <w:t xml:space="preserve">The preferred option maintains the capacity to innovate by supporting the business case for low-carbon innovation. This involves striking an appropriate balance between a strong price incentive (and therefore revenues to fund support measures), and a more gradual emissions reduction trajectory and measures to addresses the risk of carbon leakage. </w:t>
      </w:r>
    </w:p>
    <w:p w14:paraId="66B39DE5" w14:textId="77777777" w:rsidR="00A71942" w:rsidRDefault="00A71942" w:rsidP="00E276C8">
      <w:pPr>
        <w:spacing w:line="240" w:lineRule="auto"/>
        <w:rPr>
          <w:rFonts w:eastAsia="Arial"/>
          <w:noProof/>
          <w:color w:val="242828"/>
        </w:rPr>
      </w:pPr>
      <w:r w:rsidRPr="1FC5E705">
        <w:rPr>
          <w:rFonts w:eastAsia="Arial"/>
          <w:noProof/>
        </w:rPr>
        <w:t>For industry, linking free allocation to climate-neutral investment plans ensures that free allocation acts more effectively as an active driver of industrial transformation. This conditionality channels resources toward process innovation, electrification, and carbon-capture technologies, improving the EU’s long-term productivity and technological leadership. Stable carbon-price expectations and expanded EU-level financing (IDB but also continuation of the Innovation Fund) reinforce these effects.</w:t>
      </w:r>
    </w:p>
    <w:p w14:paraId="13BD3741" w14:textId="77777777" w:rsidR="00A71942" w:rsidRDefault="00A71942" w:rsidP="00E276C8">
      <w:pPr>
        <w:spacing w:line="240" w:lineRule="auto"/>
        <w:rPr>
          <w:rFonts w:eastAsia="Arial"/>
          <w:noProof/>
          <w:color w:val="242828"/>
        </w:rPr>
      </w:pPr>
      <w:r w:rsidRPr="1FC5E705">
        <w:rPr>
          <w:rFonts w:eastAsia="Arial"/>
          <w:noProof/>
        </w:rPr>
        <w:t xml:space="preserve">The preferred option also contains more specific measures that encourage innovation, including extended financial support for uptake of sustainable aviation fuel (SAF), and a dedicated decarbonisation support mechanism for maritime transport. </w:t>
      </w:r>
    </w:p>
    <w:p w14:paraId="5CFD8304" w14:textId="77777777" w:rsidR="00A71942" w:rsidRDefault="00A71942" w:rsidP="00E276C8">
      <w:pPr>
        <w:spacing w:line="240" w:lineRule="auto"/>
        <w:rPr>
          <w:rFonts w:eastAsia="Arial"/>
          <w:noProof/>
          <w:color w:val="242828"/>
        </w:rPr>
      </w:pPr>
      <w:r w:rsidRPr="1FC5E705">
        <w:rPr>
          <w:rFonts w:eastAsia="Arial"/>
          <w:noProof/>
        </w:rPr>
        <w:t>Furthermore, innovation capacity is also enhanced by the preferred option’s proposed expansion of the EU ETS scope to include non-permanent CCU, waste incineration and carbon removal.</w:t>
      </w:r>
    </w:p>
    <w:p w14:paraId="04981875" w14:textId="77777777" w:rsidR="00A71942" w:rsidRPr="00471FFF" w:rsidRDefault="00A71942" w:rsidP="00E276C8">
      <w:pPr>
        <w:pStyle w:val="Heading2COM"/>
        <w:spacing w:before="120" w:after="120" w:line="240" w:lineRule="auto"/>
        <w:outlineLvl w:val="2"/>
        <w15:collapsed w:val="0"/>
        <w:rPr>
          <w:rFonts w:eastAsia="Arial"/>
          <w:noProof/>
        </w:rPr>
      </w:pPr>
      <w:r w:rsidRPr="1FC5E705">
        <w:rPr>
          <w:rFonts w:eastAsia="Arial"/>
          <w:noProof/>
        </w:rPr>
        <w:t xml:space="preserve"> </w:t>
      </w:r>
      <w:bookmarkStart w:id="487" w:name="_Toc232611514"/>
      <w:bookmarkStart w:id="488" w:name="_Toc232758194"/>
      <w:r>
        <w:rPr>
          <w:noProof/>
        </w:rPr>
        <w:t>SME</w:t>
      </w:r>
      <w:r w:rsidRPr="1FC5E705">
        <w:rPr>
          <w:rFonts w:eastAsia="Arial"/>
          <w:noProof/>
        </w:rPr>
        <w:t xml:space="preserve"> competitiveness</w:t>
      </w:r>
      <w:bookmarkEnd w:id="487"/>
      <w:bookmarkEnd w:id="488"/>
    </w:p>
    <w:p w14:paraId="59EEF879" w14:textId="77777777" w:rsidR="00A71942" w:rsidRDefault="00A71942" w:rsidP="00E276C8">
      <w:pPr>
        <w:spacing w:line="240" w:lineRule="auto"/>
        <w:rPr>
          <w:rFonts w:eastAsia="Arial"/>
          <w:noProof/>
          <w:color w:val="242828"/>
        </w:rPr>
      </w:pPr>
      <w:r w:rsidRPr="1FC5E705">
        <w:rPr>
          <w:rFonts w:eastAsia="Arial"/>
          <w:noProof/>
        </w:rPr>
        <w:t>SMEs within scope face additional administrative requirements, notably on the preparation and period verification of proportionate investment plans to access free allocation, MRV reporting obligations, and possible supply chain implications of compliance. These burdens are administrative rather than cost-price in nature, and are mitigated by proportionality measures (maintained thresholds, simplified MRV), but do not amount to a net competitiveness loss or gain.</w:t>
      </w:r>
    </w:p>
    <w:p w14:paraId="3FBF2E19" w14:textId="77777777" w:rsidR="00A71942" w:rsidRPr="00EC1344" w:rsidRDefault="00A71942" w:rsidP="00E276C8">
      <w:pPr>
        <w:spacing w:line="240" w:lineRule="auto"/>
        <w:rPr>
          <w:rFonts w:eastAsia="Arial"/>
          <w:noProof/>
          <w:color w:val="242828"/>
        </w:rPr>
      </w:pPr>
      <w:r w:rsidRPr="1FC5E705">
        <w:rPr>
          <w:rFonts w:eastAsia="Arial"/>
          <w:noProof/>
        </w:rPr>
        <w:t xml:space="preserve">Annex 6 contains more detail summarising how this Impact Assessment has considered SMEs. </w:t>
      </w:r>
    </w:p>
    <w:p w14:paraId="24583D64" w14:textId="77777777" w:rsidR="00A71942" w:rsidRDefault="00A71942" w:rsidP="00E276C8">
      <w:pPr>
        <w:pStyle w:val="Heading1COM"/>
        <w:spacing w:before="120" w:after="120" w:line="240" w:lineRule="auto"/>
        <w:outlineLvl w:val="1"/>
        <w:rPr>
          <w:noProof/>
        </w:rPr>
      </w:pPr>
      <w:bookmarkStart w:id="489" w:name="_Toc232611515"/>
      <w:bookmarkStart w:id="490" w:name="_Toc232758195"/>
      <w:r>
        <w:rPr>
          <w:noProof/>
        </w:rPr>
        <w:t>Competitive position of the most affected sectors</w:t>
      </w:r>
      <w:bookmarkEnd w:id="489"/>
      <w:bookmarkEnd w:id="490"/>
    </w:p>
    <w:p w14:paraId="6837E3AB" w14:textId="77777777" w:rsidR="00A71942" w:rsidRPr="006F2CA1" w:rsidRDefault="00A71942" w:rsidP="00E276C8">
      <w:pPr>
        <w:pStyle w:val="Heading2COM"/>
        <w:spacing w:before="120" w:after="120" w:line="240" w:lineRule="auto"/>
        <w:outlineLvl w:val="2"/>
        <w15:collapsed w:val="0"/>
        <w:rPr>
          <w:noProof/>
        </w:rPr>
      </w:pPr>
      <w:bookmarkStart w:id="491" w:name="_Toc232611516"/>
      <w:bookmarkStart w:id="492" w:name="_Toc232758196"/>
      <w:r>
        <w:rPr>
          <w:noProof/>
        </w:rPr>
        <w:t>Industry (stationary installations)</w:t>
      </w:r>
      <w:bookmarkEnd w:id="491"/>
      <w:bookmarkEnd w:id="492"/>
    </w:p>
    <w:p w14:paraId="4325F5C1" w14:textId="77777777" w:rsidR="00A71942" w:rsidRDefault="00A71942" w:rsidP="00E276C8">
      <w:pPr>
        <w:spacing w:line="240" w:lineRule="auto"/>
        <w:rPr>
          <w:noProof/>
        </w:rPr>
      </w:pPr>
      <w:r>
        <w:rPr>
          <w:noProof/>
        </w:rPr>
        <w:t xml:space="preserve">Overall, the industrial sector represented by large stationary installations represent the sectors most affected by the revision of the EU ETS. </w:t>
      </w:r>
    </w:p>
    <w:p w14:paraId="2251D6C4" w14:textId="77777777" w:rsidR="00A71942" w:rsidRDefault="00A71942" w:rsidP="00E276C8">
      <w:pPr>
        <w:spacing w:line="240" w:lineRule="auto"/>
        <w:rPr>
          <w:noProof/>
        </w:rPr>
      </w:pPr>
      <w:r w:rsidRPr="1FC5E705">
        <w:rPr>
          <w:rFonts w:eastAsia="Arial"/>
          <w:noProof/>
        </w:rPr>
        <w:t>Stakeholder</w:t>
      </w:r>
      <w:r>
        <w:rPr>
          <w:noProof/>
        </w:rPr>
        <w:t xml:space="preserve"> consultations with industry highlighted the importance of continued free allocation and investment support to maintain their competitive position and support their decarbonisation efforts. </w:t>
      </w:r>
    </w:p>
    <w:p w14:paraId="38A8D507" w14:textId="6606C265" w:rsidR="00A71942" w:rsidRPr="000653A9" w:rsidRDefault="00A71942" w:rsidP="00E276C8">
      <w:pPr>
        <w:spacing w:line="240" w:lineRule="auto"/>
        <w:rPr>
          <w:rFonts w:eastAsia="Arial" w:cs="Arial"/>
          <w:noProof/>
          <w:lang w:eastAsia="en-GB"/>
        </w:rPr>
      </w:pPr>
      <w:r>
        <w:rPr>
          <w:noProof/>
        </w:rPr>
        <w:t xml:space="preserve">Quantitative analysis provided in Annex 12, section 1.4.2.4 provides insights into how alternative ETS design choices translate into heterogenous sectoral and macroeconomic impacts, relative to the baseline scenario by taking into consideration key drivers within scenario assumptions such as the different free allocation distributions across industry, as well as the different ETS coverage and cap stringency and alternative revenue recycling. </w:t>
      </w:r>
      <w:r w:rsidRPr="1FC5E705">
        <w:rPr>
          <w:rFonts w:eastAsia="Arial" w:cs="Arial"/>
          <w:noProof/>
        </w:rPr>
        <w:t xml:space="preserve">Changes in the unit cost of </w:t>
      </w:r>
      <w:r>
        <w:rPr>
          <w:noProof/>
        </w:rPr>
        <w:t>production for selected sectors are presented in Table</w:t>
      </w:r>
      <w:r w:rsidR="40285580">
        <w:rPr>
          <w:noProof/>
        </w:rPr>
        <w:t xml:space="preserve">s </w:t>
      </w:r>
      <w:r w:rsidR="5E938D03">
        <w:rPr>
          <w:noProof/>
        </w:rPr>
        <w:t xml:space="preserve">14 </w:t>
      </w:r>
      <w:r w:rsidR="40285580">
        <w:rPr>
          <w:noProof/>
        </w:rPr>
        <w:t>and</w:t>
      </w:r>
      <w:r>
        <w:rPr>
          <w:noProof/>
        </w:rPr>
        <w:t xml:space="preserve"> </w:t>
      </w:r>
      <w:r w:rsidR="6549B0EC">
        <w:rPr>
          <w:noProof/>
        </w:rPr>
        <w:t xml:space="preserve">15 </w:t>
      </w:r>
      <w:r>
        <w:rPr>
          <w:noProof/>
        </w:rPr>
        <w:t xml:space="preserve">of Annex </w:t>
      </w:r>
      <w:r w:rsidR="77333B26">
        <w:rPr>
          <w:noProof/>
        </w:rPr>
        <w:t>12</w:t>
      </w:r>
      <w:r>
        <w:rPr>
          <w:noProof/>
        </w:rPr>
        <w:t>a. For example, c</w:t>
      </w:r>
      <w:r w:rsidRPr="1FC5E705">
        <w:rPr>
          <w:rFonts w:eastAsia="Arial" w:cs="Arial"/>
          <w:noProof/>
        </w:rPr>
        <w:t>hemical products, which receive the largest share of additional free allocations (compared to the baseline), exhibit the steepest decline in unit production costs under the policy measures. It is noteworthy that when free allocation is extended to both CBAM and non-CBAM sectors, ferrous metals sector becomes more competitive compared to cases when only non-CBAM sectors received free allocation. Production and exports respond heterogeneously across policy options relative to the baseline scenario, reflecting differences in free allocation, sectoral coverage, and revenue recycling (see Tables 16</w:t>
      </w:r>
      <w:r w:rsidR="211A1720" w:rsidRPr="1FC5E705">
        <w:rPr>
          <w:rFonts w:eastAsia="Arial" w:cs="Arial"/>
          <w:noProof/>
        </w:rPr>
        <w:t xml:space="preserve"> -</w:t>
      </w:r>
      <w:r w:rsidR="2D5BCC8E" w:rsidRPr="1FC5E705">
        <w:rPr>
          <w:rFonts w:eastAsia="Arial" w:cs="Arial"/>
          <w:noProof/>
        </w:rPr>
        <w:t xml:space="preserve">19 </w:t>
      </w:r>
      <w:r w:rsidRPr="1FC5E705">
        <w:rPr>
          <w:rFonts w:eastAsia="Arial" w:cs="Arial"/>
          <w:noProof/>
        </w:rPr>
        <w:t xml:space="preserve">in Annex 12). Chemical products and non-metallic minerals, which experience reductions in unit production costs relative to the baseline, face higher domestic and external demand and therefore record higher levels of both production and exports across the policy options. Non-ferrous metals, chemical products, and non-metallic minerals display higher production and export levels due to improved competitiveness under PO2 scenarios. On the contrary, ferrous metals become competitive leading to higher production and exports only when free allocation is extended to both CBAM and non-CBAM sectors. Overall, the impact on production and export across policy measures and sectors relative to the baseline ranges from -0.56% to 1.61% for production and -1.09% to 4.63% for exports. </w:t>
      </w:r>
    </w:p>
    <w:p w14:paraId="40012D62" w14:textId="77777777" w:rsidR="00A71942" w:rsidRPr="000653A9" w:rsidRDefault="00A71942" w:rsidP="00E276C8">
      <w:pPr>
        <w:spacing w:line="240" w:lineRule="auto"/>
        <w:rPr>
          <w:noProof/>
        </w:rPr>
      </w:pPr>
      <w:r>
        <w:rPr>
          <w:noProof/>
        </w:rPr>
        <w:t>In all scenarios except those with alternative recycling schemes, an improvement in EU27 competitiveness is observed, reflected in higher exports. This outcome is driven by a higher allocation of free allowances to EU ETS sectors (e.g. PO1), reductions in labour and capital costs (e.g. PO2_50), and/or lower carbon prices required to meet the cap because of including waste emissions in the EU ETS (e.g. PO3). In the recycling scenarios, private consumption is the main driver of GDP growth, reflecting the lump-sum transfer of EU ETS revenues to households. In these cases, exports decline due to higher labour and capital costs, which arise from increased household demand and upward pressure on factor prices. In PO2 scenarios, private consumption drops marginally as increasing electricity prices stemming from higher waste incineration, put pressure to the remaining disposable income.</w:t>
      </w:r>
    </w:p>
    <w:p w14:paraId="0836D927" w14:textId="77777777" w:rsidR="00A71942" w:rsidRDefault="00A71942" w:rsidP="00E276C8">
      <w:pPr>
        <w:spacing w:line="240" w:lineRule="auto"/>
        <w:rPr>
          <w:noProof/>
        </w:rPr>
      </w:pPr>
      <w:r>
        <w:rPr>
          <w:noProof/>
        </w:rPr>
        <w:t xml:space="preserve">The competitive position of electro-intensive industries remains supported by the continuation of the framework for compensation of indirect carbon costs (ICC). European Commission analysis has indicated that carbon costs accounted for up to 11% of industrial energy prices in the EU on average in 2025, with fuel costs, network charges and taxes each accounting for a larger share. As shown in Annex 12 (Section 1.4.2.1.2) the impact of indirect cost could diminish over time if the energy and industry sectors decarbonise and broader energy market reforms reduce the influence of carbon cost on electricity prices. On the other hand, ICC compensation may be needed at least in the short-term, and while direct emitting processes can benefit from free allocation. In order to ensure that ICC aid contributes to decarbonisation or other measures to reduce indirect carbon costs, the preferred option would amend the ETS Directive to add conditionality and reporting provisions. </w:t>
      </w:r>
    </w:p>
    <w:p w14:paraId="3B356AC2" w14:textId="77777777" w:rsidR="00A71942" w:rsidRPr="006F2CA1" w:rsidRDefault="00A71942" w:rsidP="00E276C8">
      <w:pPr>
        <w:pStyle w:val="Heading2COM"/>
        <w:spacing w:before="120" w:after="120" w:line="240" w:lineRule="auto"/>
        <w:outlineLvl w:val="2"/>
        <w15:collapsed w:val="0"/>
        <w:rPr>
          <w:noProof/>
        </w:rPr>
      </w:pPr>
      <w:bookmarkStart w:id="493" w:name="_Toc232611517"/>
      <w:bookmarkStart w:id="494" w:name="_Toc232758197"/>
      <w:r>
        <w:rPr>
          <w:noProof/>
        </w:rPr>
        <w:t>Waste</w:t>
      </w:r>
      <w:bookmarkEnd w:id="493"/>
      <w:bookmarkEnd w:id="494"/>
    </w:p>
    <w:p w14:paraId="0B4D7A28" w14:textId="77777777" w:rsidR="00A71942" w:rsidRDefault="00A71942" w:rsidP="00E276C8">
      <w:pPr>
        <w:spacing w:line="240" w:lineRule="auto"/>
        <w:rPr>
          <w:noProof/>
          <w:lang w:eastAsia="en-GB"/>
        </w:rPr>
      </w:pPr>
      <w:r>
        <w:rPr>
          <w:noProof/>
          <w:lang w:eastAsia="en-GB"/>
        </w:rPr>
        <w:t>B</w:t>
      </w:r>
      <w:r w:rsidRPr="00514AD5">
        <w:rPr>
          <w:noProof/>
          <w:lang w:eastAsia="en-GB"/>
        </w:rPr>
        <w:t xml:space="preserve">y internalising the carbon footprint of </w:t>
      </w:r>
      <w:r>
        <w:rPr>
          <w:noProof/>
          <w:lang w:eastAsia="en-GB"/>
        </w:rPr>
        <w:t>waste disposal</w:t>
      </w:r>
      <w:r w:rsidRPr="00673A48">
        <w:rPr>
          <w:noProof/>
          <w:lang w:eastAsia="en-GB"/>
        </w:rPr>
        <w:t xml:space="preserve"> </w:t>
      </w:r>
      <w:r>
        <w:rPr>
          <w:noProof/>
          <w:lang w:eastAsia="en-GB"/>
        </w:rPr>
        <w:t xml:space="preserve">and </w:t>
      </w:r>
      <w:r w:rsidRPr="00A01EAA">
        <w:rPr>
          <w:noProof/>
        </w:rPr>
        <w:t>promoting</w:t>
      </w:r>
      <w:r>
        <w:rPr>
          <w:noProof/>
          <w:lang w:eastAsia="en-GB"/>
        </w:rPr>
        <w:t xml:space="preserve"> </w:t>
      </w:r>
      <w:r w:rsidRPr="00514AD5">
        <w:rPr>
          <w:noProof/>
          <w:lang w:eastAsia="en-GB"/>
        </w:rPr>
        <w:t>separate waste collection</w:t>
      </w:r>
      <w:r>
        <w:rPr>
          <w:noProof/>
          <w:lang w:eastAsia="en-GB"/>
        </w:rPr>
        <w:t>,</w:t>
      </w:r>
      <w:r w:rsidRPr="00514AD5">
        <w:rPr>
          <w:noProof/>
          <w:lang w:eastAsia="en-GB"/>
        </w:rPr>
        <w:t xml:space="preserve"> sorting and </w:t>
      </w:r>
      <w:r>
        <w:rPr>
          <w:noProof/>
          <w:lang w:eastAsia="en-GB"/>
        </w:rPr>
        <w:t>material and carbon recovery and recycling</w:t>
      </w:r>
      <w:r w:rsidRPr="00514AD5">
        <w:rPr>
          <w:noProof/>
          <w:lang w:eastAsia="en-GB"/>
        </w:rPr>
        <w:t>,</w:t>
      </w:r>
      <w:r>
        <w:rPr>
          <w:noProof/>
          <w:lang w:eastAsia="en-GB"/>
        </w:rPr>
        <w:t xml:space="preserve"> inclusion of municipal waste incineration is projected</w:t>
      </w:r>
      <w:r w:rsidRPr="00514AD5">
        <w:rPr>
          <w:noProof/>
          <w:lang w:eastAsia="en-GB"/>
        </w:rPr>
        <w:t xml:space="preserve"> to </w:t>
      </w:r>
      <w:r>
        <w:rPr>
          <w:noProof/>
          <w:lang w:eastAsia="en-GB"/>
        </w:rPr>
        <w:t>foster</w:t>
      </w:r>
      <w:r w:rsidRPr="00514AD5">
        <w:rPr>
          <w:noProof/>
          <w:lang w:eastAsia="en-GB"/>
        </w:rPr>
        <w:t xml:space="preserve"> </w:t>
      </w:r>
      <w:r>
        <w:rPr>
          <w:noProof/>
          <w:lang w:eastAsia="en-GB"/>
        </w:rPr>
        <w:t xml:space="preserve">the economic growth of the EU circular economy and recycling sector, with </w:t>
      </w:r>
      <w:r w:rsidRPr="007838A1">
        <w:rPr>
          <w:rFonts w:eastAsia="Arial"/>
          <w:noProof/>
        </w:rPr>
        <w:t>c</w:t>
      </w:r>
      <w:r w:rsidRPr="00E57CAF">
        <w:rPr>
          <w:rFonts w:eastAsia="Arial"/>
          <w:noProof/>
        </w:rPr>
        <w:t xml:space="preserve">ircular economy activities already representing around 1-2% of EU GDP </w:t>
      </w:r>
      <w:r w:rsidRPr="1FC5E705">
        <w:rPr>
          <w:rFonts w:eastAsia="Arial"/>
          <w:noProof/>
          <w:vertAlign w:val="superscript"/>
        </w:rPr>
        <w:footnoteReference w:id="46"/>
      </w:r>
      <w:r w:rsidRPr="00E57CAF">
        <w:rPr>
          <w:rFonts w:eastAsia="Arial"/>
          <w:noProof/>
        </w:rPr>
        <w:t xml:space="preserve"> and generating </w:t>
      </w:r>
      <w:r w:rsidRPr="007838A1">
        <w:rPr>
          <w:rFonts w:eastAsia="Arial"/>
          <w:noProof/>
        </w:rPr>
        <w:t>almost 300</w:t>
      </w:r>
      <w:r w:rsidRPr="00673A48">
        <w:rPr>
          <w:noProof/>
          <w:lang w:eastAsia="en-GB"/>
        </w:rPr>
        <w:t xml:space="preserve"> billion EUR in gross value added alongside 121.6 billion EUR in private </w:t>
      </w:r>
      <w:r w:rsidRPr="007838A1">
        <w:rPr>
          <w:rFonts w:eastAsia="Arial"/>
          <w:noProof/>
        </w:rPr>
        <w:t xml:space="preserve">investment in </w:t>
      </w:r>
      <w:r w:rsidRPr="00673A48">
        <w:rPr>
          <w:noProof/>
          <w:lang w:eastAsia="en-GB"/>
        </w:rPr>
        <w:t>2021</w:t>
      </w:r>
      <w:r w:rsidRPr="1FC5E705">
        <w:rPr>
          <w:rStyle w:val="FootnoteReference"/>
          <w:rFonts w:eastAsia="Arial"/>
          <w:noProof/>
        </w:rPr>
        <w:footnoteReference w:id="47"/>
      </w:r>
      <w:r>
        <w:rPr>
          <w:noProof/>
          <w:lang w:eastAsia="en-GB"/>
        </w:rPr>
        <w:t xml:space="preserve"> </w:t>
      </w:r>
      <w:r w:rsidRPr="00673A48">
        <w:rPr>
          <w:noProof/>
          <w:lang w:eastAsia="en-GB"/>
        </w:rPr>
        <w:t xml:space="preserve">(2021). </w:t>
      </w:r>
    </w:p>
    <w:p w14:paraId="365416AA" w14:textId="77777777" w:rsidR="00A71942" w:rsidRPr="006F2CA1" w:rsidRDefault="00A71942" w:rsidP="00E276C8">
      <w:pPr>
        <w:spacing w:line="240" w:lineRule="auto"/>
        <w:rPr>
          <w:noProof/>
        </w:rPr>
      </w:pPr>
      <w:r>
        <w:rPr>
          <w:noProof/>
        </w:rPr>
        <w:t xml:space="preserve">It also offers considerable opportunities for biogenic carbon removal generation and enables the consideration of alternatives for how to account the emissions that are captured and used in non-permanent products, such as e-fuels and synthetic chemicals. Strengthening the recycling sector also delivers increased economic security, added value, employment, and long-term competitiveness potential for the EU economy by reducing reliance on imported virgin materials and price volatility, improving resource productivity, and strengthening innovation. </w:t>
      </w:r>
    </w:p>
    <w:p w14:paraId="52F65232" w14:textId="77777777" w:rsidR="00A71942" w:rsidRPr="00E57CAF" w:rsidRDefault="00A71942" w:rsidP="00E276C8">
      <w:pPr>
        <w:pStyle w:val="Heading2COM"/>
        <w:spacing w:before="120" w:after="120" w:line="240" w:lineRule="auto"/>
        <w:outlineLvl w:val="2"/>
        <w15:collapsed w:val="0"/>
        <w:rPr>
          <w:noProof/>
        </w:rPr>
      </w:pPr>
      <w:bookmarkStart w:id="495" w:name="_Toc232611518"/>
      <w:bookmarkStart w:id="496" w:name="_Toc232758198"/>
      <w:r>
        <w:rPr>
          <w:noProof/>
        </w:rPr>
        <w:t>Aviation</w:t>
      </w:r>
      <w:bookmarkEnd w:id="495"/>
      <w:bookmarkEnd w:id="496"/>
    </w:p>
    <w:p w14:paraId="4EBC2B38" w14:textId="77777777" w:rsidR="00A71942" w:rsidRDefault="00A71942" w:rsidP="00E276C8">
      <w:pPr>
        <w:spacing w:line="240" w:lineRule="auto"/>
        <w:rPr>
          <w:noProof/>
        </w:rPr>
      </w:pPr>
      <w:r>
        <w:rPr>
          <w:noProof/>
        </w:rPr>
        <w:t xml:space="preserve">The proposed changes to EU ETS affect the aviation industry in a number of different ways. </w:t>
      </w:r>
    </w:p>
    <w:p w14:paraId="23D2E221" w14:textId="77777777" w:rsidR="00A71942" w:rsidRPr="005F6AEC" w:rsidRDefault="00A71942" w:rsidP="00E276C8">
      <w:pPr>
        <w:spacing w:line="240" w:lineRule="auto"/>
        <w:rPr>
          <w:noProof/>
        </w:rPr>
      </w:pPr>
      <w:r w:rsidRPr="1FC5E705">
        <w:rPr>
          <w:b/>
          <w:bCs/>
          <w:noProof/>
        </w:rPr>
        <w:t>Demand</w:t>
      </w:r>
      <w:r>
        <w:rPr>
          <w:noProof/>
        </w:rPr>
        <w:t xml:space="preserve"> is expected to increase compared to the baseline in both passenger and freight sectors (see Section 4 of Annex 10).</w:t>
      </w:r>
    </w:p>
    <w:p w14:paraId="6C39DD35" w14:textId="77777777" w:rsidR="00A71942" w:rsidRDefault="00A71942" w:rsidP="00E276C8">
      <w:pPr>
        <w:spacing w:line="240" w:lineRule="auto"/>
        <w:rPr>
          <w:noProof/>
        </w:rPr>
      </w:pPr>
      <w:r>
        <w:rPr>
          <w:noProof/>
        </w:rPr>
        <w:t xml:space="preserve">In terms of </w:t>
      </w:r>
      <w:r w:rsidRPr="1FC5E705">
        <w:rPr>
          <w:b/>
          <w:bCs/>
          <w:noProof/>
        </w:rPr>
        <w:t>operating costs</w:t>
      </w:r>
      <w:r>
        <w:rPr>
          <w:noProof/>
        </w:rPr>
        <w:t xml:space="preserve"> for airlines, the proposal is expected to increase fuel use (including Sustainable Aviation Fuel – SAF in line with the ReFuelEU Aviation mandate) due to increased demand and decrease in prices. Fuel use is expected to be 15% higher compared to the baseline.</w:t>
      </w:r>
    </w:p>
    <w:p w14:paraId="02E83690" w14:textId="77777777" w:rsidR="00A71942" w:rsidRPr="00132FFB" w:rsidRDefault="00A71942" w:rsidP="00E276C8">
      <w:pPr>
        <w:spacing w:line="240" w:lineRule="auto"/>
        <w:rPr>
          <w:noProof/>
        </w:rPr>
      </w:pPr>
      <w:r>
        <w:rPr>
          <w:noProof/>
        </w:rPr>
        <w:t xml:space="preserve">However, </w:t>
      </w:r>
      <w:r w:rsidRPr="1FC5E705">
        <w:rPr>
          <w:b/>
          <w:bCs/>
          <w:noProof/>
        </w:rPr>
        <w:t xml:space="preserve">carbon costs as a percentage of total operating costs </w:t>
      </w:r>
      <w:r>
        <w:rPr>
          <w:noProof/>
        </w:rPr>
        <w:t>are substantially lower than in the baseline, though they are expected to increase over time due to the application of CORSIA combined with EU ETS scope extension to departing flights (rising to 5.4% of operating costs by 2030, compared to 10.8% in the baseline).</w:t>
      </w:r>
    </w:p>
    <w:p w14:paraId="2181F2FA" w14:textId="77777777" w:rsidR="00A71942" w:rsidRDefault="00A71942" w:rsidP="00E276C8">
      <w:pPr>
        <w:spacing w:line="240" w:lineRule="auto"/>
        <w:rPr>
          <w:noProof/>
        </w:rPr>
      </w:pPr>
      <w:r>
        <w:rPr>
          <w:noProof/>
        </w:rPr>
        <w:t xml:space="preserve">Regarding </w:t>
      </w:r>
      <w:r w:rsidRPr="1FC5E705">
        <w:rPr>
          <w:b/>
          <w:bCs/>
          <w:noProof/>
        </w:rPr>
        <w:t xml:space="preserve">competitive distortions, </w:t>
      </w:r>
      <w:r>
        <w:rPr>
          <w:noProof/>
        </w:rPr>
        <w:t>for airlines with a higher proportion of flights on routes covered by the ETS, there is a risk that they are less able to cross-subsidise them from other routes. Several studies nevertheless argue that such cross-subsidisation is minimal. Also, the fact that SAF support is available for routes covered by the ETS channels more revenues back to the relevant airlines. Where the EU ETS applies to departing flights, airlines are also able to deduct any CORSIA offsetting costs.</w:t>
      </w:r>
      <w:bookmarkStart w:id="497" w:name="_Toc222151250"/>
      <w:bookmarkEnd w:id="497"/>
    </w:p>
    <w:p w14:paraId="1153314C" w14:textId="77777777" w:rsidR="00A71942" w:rsidRDefault="00A71942" w:rsidP="00E276C8">
      <w:pPr>
        <w:pStyle w:val="Heading2COM"/>
        <w:spacing w:before="120" w:after="120" w:line="240" w:lineRule="auto"/>
        <w:outlineLvl w:val="2"/>
        <w15:collapsed w:val="0"/>
        <w:rPr>
          <w:noProof/>
        </w:rPr>
      </w:pPr>
      <w:bookmarkStart w:id="498" w:name="_Toc232611519"/>
      <w:bookmarkStart w:id="499" w:name="_Toc232758199"/>
      <w:r>
        <w:rPr>
          <w:noProof/>
        </w:rPr>
        <w:t>Maritime</w:t>
      </w:r>
      <w:bookmarkEnd w:id="498"/>
      <w:bookmarkEnd w:id="499"/>
    </w:p>
    <w:p w14:paraId="3F96FE3C" w14:textId="77777777" w:rsidR="00A71942" w:rsidDel="00BD4F5E" w:rsidRDefault="00A71942" w:rsidP="00E276C8">
      <w:pPr>
        <w:spacing w:line="240" w:lineRule="auto"/>
        <w:rPr>
          <w:noProof/>
        </w:rPr>
      </w:pPr>
      <w:r w:rsidRPr="1FC5E705">
        <w:rPr>
          <w:rStyle w:val="normaltextrun"/>
          <w:noProof/>
        </w:rPr>
        <w:t xml:space="preserve">In relation to competitiveness impacts, the lowering of the container </w:t>
      </w:r>
      <w:r w:rsidRPr="1FC5E705">
        <w:rPr>
          <w:rStyle w:val="normaltextrun"/>
          <w:b/>
          <w:bCs/>
          <w:noProof/>
        </w:rPr>
        <w:t>transshipment</w:t>
      </w:r>
      <w:r w:rsidRPr="1FC5E705">
        <w:rPr>
          <w:rStyle w:val="normaltextrun"/>
          <w:noProof/>
        </w:rPr>
        <w:t xml:space="preserve"> incidence threshold from 65 % to 50% should lead to the identification of additional “neighboring container transshipment ports”, protecting the competitiveness of EU ports and helping avoid the negative impacts of relocation of container transshipment activities. </w:t>
      </w:r>
    </w:p>
    <w:p w14:paraId="1EA42488" w14:textId="77777777" w:rsidR="00A71942" w:rsidRPr="004B2966" w:rsidRDefault="00A71942" w:rsidP="00E276C8">
      <w:pPr>
        <w:spacing w:line="240" w:lineRule="auto"/>
        <w:rPr>
          <w:rStyle w:val="normaltextrun"/>
          <w:noProof/>
        </w:rPr>
      </w:pPr>
      <w:r w:rsidRPr="1FC5E705">
        <w:rPr>
          <w:rStyle w:val="normaltextrun"/>
          <w:noProof/>
        </w:rPr>
        <w:t>Amendments to relevant EU MRV and ETS elements to address the specific nature of offshore activities would ensure that all ships involved in offshore activities within EU Member States’ territorial waters or Exclusive Economic Zones are subject to emissions regulation, regardless of their flag or port of origin. Consequently, it would promote a fairer and more level playing field for EU offshore shipping companies. However, it could slightly increase the administrative burden for both shipowners and regulators, due to the need for more detailed reporting and verification. </w:t>
      </w:r>
    </w:p>
    <w:p w14:paraId="1A1A3BFE" w14:textId="77777777" w:rsidR="00A71942" w:rsidRPr="00A0741C" w:rsidRDefault="00A71942" w:rsidP="00E276C8">
      <w:pPr>
        <w:spacing w:line="240" w:lineRule="auto"/>
        <w:rPr>
          <w:noProof/>
        </w:rPr>
      </w:pPr>
      <w:r w:rsidRPr="1FC5E705">
        <w:rPr>
          <w:rStyle w:val="normaltextrun"/>
          <w:noProof/>
        </w:rPr>
        <w:t xml:space="preserve">Additional compliance costs for smaller vessels are expected to be passed on to shippers and voyagers, which may have indirect impacts on </w:t>
      </w:r>
      <w:r w:rsidRPr="1FC5E705">
        <w:rPr>
          <w:rStyle w:val="normaltextrun"/>
          <w:b/>
          <w:bCs/>
          <w:noProof/>
        </w:rPr>
        <w:t>trade patterns and macroeconomic indicators</w:t>
      </w:r>
      <w:r w:rsidRPr="1FC5E705">
        <w:rPr>
          <w:rStyle w:val="normaltextrun"/>
          <w:noProof/>
        </w:rPr>
        <w:t>. Modelling of impacts of maritime policy options in GEM-E3 found that, for EU27 countries, GDP would drop by 0.001% in 2040 under both PO2 and PO3, which means that macroeconomic impacts are expected to be marginal on average. These effects are expected to be slightly more significant in FI, EL, SE, DK, due to higher dependency on transport provided by smaller vessels. Impacts on third countries are expected to be negligible, on average, with a drop in GDP estimated at 0.0003% in 2040. </w:t>
      </w:r>
      <w:r w:rsidRPr="1FC5E705">
        <w:rPr>
          <w:rStyle w:val="eop"/>
          <w:noProof/>
        </w:rPr>
        <w:t> </w:t>
      </w:r>
    </w:p>
    <w:p w14:paraId="7B7C36CB" w14:textId="77777777" w:rsidR="00A71942" w:rsidRPr="006F04F1" w:rsidRDefault="00A71942" w:rsidP="00E276C8">
      <w:pPr>
        <w:pStyle w:val="Heading1COM"/>
        <w:spacing w:before="120" w:after="120" w:line="240" w:lineRule="auto"/>
        <w:outlineLvl w:val="1"/>
        <w:rPr>
          <w:noProof/>
        </w:rPr>
      </w:pPr>
      <w:bookmarkStart w:id="500" w:name="_Toc232611520"/>
      <w:bookmarkStart w:id="501" w:name="_Toc232758200"/>
      <w:r>
        <w:rPr>
          <w:noProof/>
        </w:rPr>
        <w:t>Overall</w:t>
      </w:r>
      <w:r w:rsidRPr="1FC5E705">
        <w:rPr>
          <w:rFonts w:eastAsia="Arial"/>
          <w:noProof/>
        </w:rPr>
        <w:t xml:space="preserve"> conclusion</w:t>
      </w:r>
      <w:bookmarkEnd w:id="500"/>
      <w:bookmarkEnd w:id="501"/>
    </w:p>
    <w:p w14:paraId="674EFA70" w14:textId="77777777" w:rsidR="00A71942" w:rsidRPr="00D03753" w:rsidRDefault="00A71942" w:rsidP="00E276C8">
      <w:pPr>
        <w:spacing w:line="240" w:lineRule="auto"/>
        <w:rPr>
          <w:rStyle w:val="normaltextrun"/>
          <w:b/>
          <w:smallCaps/>
          <w:noProof/>
          <w:color w:val="auto"/>
          <w:sz w:val="28"/>
          <w:szCs w:val="22"/>
        </w:rPr>
      </w:pPr>
      <w:r w:rsidRPr="1FC5E705">
        <w:rPr>
          <w:rStyle w:val="normaltextrun"/>
          <w:noProof/>
        </w:rPr>
        <w:t>The competitiveness assessment finds that the preferred option delivers a balanced outcome.</w:t>
      </w:r>
    </w:p>
    <w:p w14:paraId="5BEA7BB8" w14:textId="77777777" w:rsidR="00A71942" w:rsidRPr="00D03753" w:rsidRDefault="00A71942" w:rsidP="00E276C8">
      <w:pPr>
        <w:spacing w:line="240" w:lineRule="auto"/>
        <w:rPr>
          <w:rStyle w:val="normaltextrun"/>
          <w:noProof/>
        </w:rPr>
      </w:pPr>
      <w:r w:rsidRPr="1FC5E705">
        <w:rPr>
          <w:rStyle w:val="normaltextrun"/>
          <w:noProof/>
        </w:rPr>
        <w:t>Combined to the baseline, it delivers a generally positive economic outcome due to its more gradual pace of reduction (in line with the economy-wide 2040 target) and continuation of carbon leakage protection measures.</w:t>
      </w:r>
    </w:p>
    <w:p w14:paraId="4D99244D" w14:textId="77777777" w:rsidR="00A71942" w:rsidRPr="00D03753" w:rsidRDefault="00A71942" w:rsidP="00E276C8">
      <w:pPr>
        <w:spacing w:line="240" w:lineRule="auto"/>
        <w:rPr>
          <w:rStyle w:val="normaltextrun"/>
          <w:noProof/>
        </w:rPr>
      </w:pPr>
      <w:r w:rsidRPr="1FC5E705">
        <w:rPr>
          <w:rStyle w:val="normaltextrun"/>
          <w:noProof/>
        </w:rPr>
        <w:t>At the same time, it contains dedicated measures to enhance industrial competitiveness, encourage cost-effective decarbonisation, strengthen innovation capacity, and ensure that small operators are protected from disproportionate burdens.</w:t>
      </w:r>
    </w:p>
    <w:p w14:paraId="07126B61" w14:textId="77777777" w:rsidR="00A71942" w:rsidRDefault="00A71942" w:rsidP="00E276C8">
      <w:pPr>
        <w:spacing w:line="240" w:lineRule="auto"/>
        <w:rPr>
          <w:noProof/>
          <w:sz w:val="22"/>
          <w:szCs w:val="22"/>
        </w:rPr>
        <w:sectPr w:rsidR="00A71942" w:rsidSect="00A71942">
          <w:headerReference w:type="default" r:id="rId50"/>
          <w:footerReference w:type="default" r:id="rId51"/>
          <w:headerReference w:type="first" r:id="rId52"/>
          <w:footerReference w:type="first" r:id="rId53"/>
          <w:pgSz w:w="11906" w:h="16838"/>
          <w:pgMar w:top="1440" w:right="1440" w:bottom="1440" w:left="1440" w:header="601" w:footer="1077" w:gutter="0"/>
          <w:cols w:space="720"/>
          <w:titlePg/>
          <w:docGrid w:linePitch="326"/>
        </w:sectPr>
      </w:pPr>
    </w:p>
    <w:p w14:paraId="68AE0DB3" w14:textId="7C5EDE26" w:rsidR="00A71942" w:rsidRPr="003737CF" w:rsidRDefault="00A71942" w:rsidP="00E276C8">
      <w:pPr>
        <w:pStyle w:val="AnnexTitle"/>
        <w:spacing w:before="120" w:after="120" w:line="240" w:lineRule="auto"/>
        <w:rPr>
          <w:rFonts w:eastAsia="Arial"/>
          <w:noProof/>
        </w:rPr>
      </w:pPr>
      <w:bookmarkStart w:id="502" w:name="_Toc232758201"/>
      <w:r w:rsidRPr="1FC5E705">
        <w:rPr>
          <w:rFonts w:eastAsia="Arial"/>
          <w:noProof/>
        </w:rPr>
        <w:t xml:space="preserve">Annex 6: </w:t>
      </w:r>
      <w:r w:rsidR="3BB2CB0B" w:rsidRPr="1FC5E705">
        <w:rPr>
          <w:rFonts w:eastAsia="Arial"/>
          <w:noProof/>
        </w:rPr>
        <w:t>T</w:t>
      </w:r>
      <w:r w:rsidRPr="1FC5E705">
        <w:rPr>
          <w:rFonts w:eastAsia="Arial"/>
          <w:noProof/>
        </w:rPr>
        <w:t xml:space="preserve">he SME </w:t>
      </w:r>
      <w:r w:rsidR="3BB2CB0B" w:rsidRPr="1FC5E705">
        <w:rPr>
          <w:rFonts w:eastAsia="Arial"/>
          <w:noProof/>
        </w:rPr>
        <w:t>T</w:t>
      </w:r>
      <w:r w:rsidRPr="1FC5E705">
        <w:rPr>
          <w:rFonts w:eastAsia="Arial"/>
          <w:noProof/>
        </w:rPr>
        <w:t>est</w:t>
      </w:r>
      <w:bookmarkEnd w:id="502"/>
    </w:p>
    <w:p w14:paraId="78508555" w14:textId="77777777" w:rsidR="00A71942" w:rsidRPr="003737CF" w:rsidRDefault="00A71942" w:rsidP="00E276C8">
      <w:pPr>
        <w:pStyle w:val="Heading1COM"/>
        <w:numPr>
          <w:ilvl w:val="0"/>
          <w:numId w:val="90"/>
        </w:numPr>
        <w:spacing w:before="120" w:after="120" w:line="240" w:lineRule="auto"/>
        <w:outlineLvl w:val="1"/>
        <w:rPr>
          <w:noProof/>
        </w:rPr>
      </w:pPr>
      <w:bookmarkStart w:id="503" w:name="_Toc232758202"/>
      <w:r>
        <w:rPr>
          <w:noProof/>
        </w:rPr>
        <w:t>Overview</w:t>
      </w:r>
      <w:r w:rsidRPr="00975687">
        <w:rPr>
          <w:rFonts w:eastAsia="Verdana"/>
          <w:noProof/>
        </w:rPr>
        <w:t xml:space="preserve"> of impacts on SMEs</w:t>
      </w:r>
      <w:bookmarkEnd w:id="503"/>
    </w:p>
    <w:tbl>
      <w:tblPr>
        <w:tblStyle w:val="TableGrid"/>
        <w:tblW w:w="5194" w:type="pct"/>
        <w:tblInd w:w="-152" w:type="dxa"/>
        <w:tblLook w:val="04A0" w:firstRow="1" w:lastRow="0" w:firstColumn="1" w:lastColumn="0" w:noHBand="0" w:noVBand="1"/>
      </w:tblPr>
      <w:tblGrid>
        <w:gridCol w:w="9355"/>
      </w:tblGrid>
      <w:tr w:rsidR="00A71942" w:rsidRPr="00EB6008" w14:paraId="6A512868"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4181101" w14:textId="77777777" w:rsidR="00A71942" w:rsidRPr="00EB6008" w:rsidRDefault="00A71942" w:rsidP="00E276C8">
            <w:pPr>
              <w:spacing w:after="120"/>
              <w:rPr>
                <w:noProof/>
                <w:sz w:val="22"/>
                <w:szCs w:val="22"/>
              </w:rPr>
            </w:pPr>
            <w:r w:rsidRPr="1FC5E705">
              <w:rPr>
                <w:rFonts w:eastAsia="Verdana"/>
                <w:b/>
                <w:bCs/>
                <w:noProof/>
                <w:sz w:val="22"/>
                <w:szCs w:val="22"/>
              </w:rPr>
              <w:t xml:space="preserve">Relevance for SMEs </w:t>
            </w:r>
          </w:p>
        </w:tc>
      </w:tr>
      <w:tr w:rsidR="00A71942" w:rsidRPr="00EB6008" w14:paraId="3B7C4422"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687FDD7" w14:textId="1E9E14C7" w:rsidR="00A71942" w:rsidRPr="00EB6008" w:rsidRDefault="00A71942" w:rsidP="00E276C8">
            <w:pPr>
              <w:spacing w:after="120"/>
              <w:rPr>
                <w:noProof/>
                <w:sz w:val="22"/>
                <w:szCs w:val="22"/>
              </w:rPr>
            </w:pPr>
            <w:r w:rsidRPr="00EB6008">
              <w:rPr>
                <w:rFonts w:eastAsia="Verdana"/>
                <w:noProof/>
                <w:sz w:val="22"/>
                <w:szCs w:val="22"/>
              </w:rPr>
              <w:t xml:space="preserve">This initiative is relevant for SMEs, despite </w:t>
            </w:r>
            <w:r w:rsidRPr="00EB6008">
              <w:rPr>
                <w:rFonts w:eastAsia="Verdana"/>
                <w:b/>
                <w:bCs/>
                <w:noProof/>
                <w:sz w:val="22"/>
                <w:szCs w:val="22"/>
              </w:rPr>
              <w:t>m</w:t>
            </w:r>
            <w:r w:rsidRPr="00EB6008">
              <w:rPr>
                <w:b/>
                <w:bCs/>
                <w:noProof/>
                <w:sz w:val="22"/>
                <w:szCs w:val="22"/>
              </w:rPr>
              <w:t xml:space="preserve">ost EU ETS installations belonging to large enterprises </w:t>
            </w:r>
            <w:r w:rsidRPr="00EB6008">
              <w:rPr>
                <w:noProof/>
                <w:sz w:val="22"/>
                <w:szCs w:val="22"/>
              </w:rPr>
              <w:t xml:space="preserve">(more than 250 employees and turnover larger than </w:t>
            </w:r>
            <w:r w:rsidR="00AF4C40">
              <w:rPr>
                <w:noProof/>
                <w:sz w:val="22"/>
                <w:szCs w:val="22"/>
              </w:rPr>
              <w:t xml:space="preserve">EUR </w:t>
            </w:r>
            <w:r w:rsidRPr="00EB6008">
              <w:rPr>
                <w:noProof/>
                <w:sz w:val="22"/>
                <w:szCs w:val="22"/>
              </w:rPr>
              <w:t xml:space="preserve">50 million, and/or balance sheet exceeding </w:t>
            </w:r>
            <w:r w:rsidR="00AF4C40">
              <w:rPr>
                <w:noProof/>
                <w:sz w:val="22"/>
                <w:szCs w:val="22"/>
              </w:rPr>
              <w:t xml:space="preserve">EUR </w:t>
            </w:r>
            <w:r w:rsidRPr="00EB6008">
              <w:rPr>
                <w:noProof/>
                <w:sz w:val="22"/>
                <w:szCs w:val="22"/>
              </w:rPr>
              <w:t>43 million)</w:t>
            </w:r>
            <w:r w:rsidRPr="1FC5E705">
              <w:rPr>
                <w:rStyle w:val="FootnoteReference"/>
                <w:noProof/>
                <w:sz w:val="22"/>
                <w:szCs w:val="22"/>
              </w:rPr>
              <w:footnoteReference w:id="48"/>
            </w:r>
            <w:r w:rsidRPr="00EB6008">
              <w:rPr>
                <w:noProof/>
                <w:sz w:val="22"/>
                <w:szCs w:val="22"/>
              </w:rPr>
              <w:t xml:space="preserve">. </w:t>
            </w:r>
          </w:p>
          <w:p w14:paraId="6A21F5B2" w14:textId="77777777" w:rsidR="00A71942" w:rsidRPr="00EB6008" w:rsidRDefault="00A71942" w:rsidP="00E276C8">
            <w:pPr>
              <w:spacing w:after="120"/>
              <w:rPr>
                <w:noProof/>
                <w:sz w:val="22"/>
                <w:szCs w:val="22"/>
              </w:rPr>
            </w:pPr>
            <w:r w:rsidRPr="1FC5E705">
              <w:rPr>
                <w:noProof/>
                <w:sz w:val="22"/>
                <w:szCs w:val="22"/>
              </w:rPr>
              <w:t xml:space="preserve">Based on corporate size (the standard definition of an SME) 88% of aviation operators covered by EU ETS belong to a large enterprise, and 74% of stationary installations. Since these are the largest firms, they represent an even larger share of employment and emissions. </w:t>
            </w:r>
          </w:p>
          <w:p w14:paraId="33DBB0A4" w14:textId="77777777" w:rsidR="00A71942" w:rsidRPr="00EB6008" w:rsidRDefault="00A71942" w:rsidP="00E276C8">
            <w:pPr>
              <w:spacing w:after="120"/>
              <w:rPr>
                <w:noProof/>
                <w:sz w:val="22"/>
                <w:szCs w:val="22"/>
              </w:rPr>
            </w:pPr>
            <w:r w:rsidRPr="1FC5E705">
              <w:rPr>
                <w:noProof/>
                <w:sz w:val="22"/>
                <w:szCs w:val="22"/>
              </w:rPr>
              <w:t>Apart from the corporate size measure, the EU ETS Directive, and measures considered in this Impact Assessment, also consider a more flexible treatment of small stationary installations and waste installations (typically as measured by thermal capacity), smaller ships (by gross tonnage), and aircraft operators (lower emissions).</w:t>
            </w:r>
          </w:p>
          <w:p w14:paraId="0E144A8A" w14:textId="77777777" w:rsidR="00A71942" w:rsidRPr="00EB6008" w:rsidRDefault="00A71942" w:rsidP="00E276C8">
            <w:pPr>
              <w:spacing w:after="120"/>
              <w:rPr>
                <w:noProof/>
                <w:sz w:val="22"/>
                <w:szCs w:val="22"/>
              </w:rPr>
            </w:pPr>
            <w:r w:rsidRPr="1FC5E705">
              <w:rPr>
                <w:noProof/>
                <w:sz w:val="22"/>
                <w:szCs w:val="22"/>
              </w:rPr>
              <w:t>The maritime sector covered by EU ETS has a higher prevalence of SMEs with the previous impact assessment for the extension of the EU ETS to maritime transport finding that SMEs represents 95% of bulk carrier companies, 76% of oil tanker companies and 56% of containerships companies (European Commission, 2021), a share likely to be even higher for companies operating smaller vessels (between 400 and 5,000 GT). Using the number of vessels per company as a proxy of the company size, the recent report on the possible extension of the MRV Regulation to smaller vessels (European Commission, 2025) found that companies currently reporting under MRV are responsible for 2.6 vessels on average, compared to an average of 1.6 for companies managing smaller vessels.</w:t>
            </w:r>
          </w:p>
        </w:tc>
      </w:tr>
    </w:tbl>
    <w:p w14:paraId="294EA871" w14:textId="77777777" w:rsidR="00A71942" w:rsidRPr="00EB6008" w:rsidRDefault="00A71942" w:rsidP="00E276C8">
      <w:pPr>
        <w:spacing w:line="240" w:lineRule="auto"/>
        <w:rPr>
          <w:noProof/>
          <w:sz w:val="22"/>
          <w:szCs w:val="22"/>
        </w:rPr>
      </w:pPr>
      <w:r w:rsidRPr="1FC5E705">
        <w:rPr>
          <w:rFonts w:eastAsia="Verdana"/>
          <w:b/>
          <w:bCs/>
          <w:noProof/>
          <w:sz w:val="22"/>
          <w:szCs w:val="22"/>
        </w:rPr>
        <w:t xml:space="preserve"> </w:t>
      </w:r>
    </w:p>
    <w:tbl>
      <w:tblPr>
        <w:tblStyle w:val="TableGrid"/>
        <w:tblW w:w="5194" w:type="pct"/>
        <w:tblInd w:w="-152" w:type="dxa"/>
        <w:tblLook w:val="04A0" w:firstRow="1" w:lastRow="0" w:firstColumn="1" w:lastColumn="0" w:noHBand="0" w:noVBand="1"/>
      </w:tblPr>
      <w:tblGrid>
        <w:gridCol w:w="9355"/>
      </w:tblGrid>
      <w:tr w:rsidR="00A71942" w:rsidRPr="00EB6008" w14:paraId="35169F11"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9A0B398" w14:textId="77777777" w:rsidR="00A71942" w:rsidRPr="00EB6008" w:rsidRDefault="00A71942" w:rsidP="00975687">
            <w:pPr>
              <w:pStyle w:val="ListParagraph"/>
              <w:numPr>
                <w:ilvl w:val="0"/>
                <w:numId w:val="77"/>
              </w:numPr>
              <w:spacing w:after="120"/>
              <w:rPr>
                <w:noProof/>
                <w:sz w:val="22"/>
                <w:szCs w:val="22"/>
              </w:rPr>
            </w:pPr>
            <w:r w:rsidRPr="1FC5E705">
              <w:rPr>
                <w:rFonts w:eastAsia="Verdana"/>
                <w:b/>
                <w:bCs/>
                <w:noProof/>
                <w:sz w:val="22"/>
                <w:szCs w:val="22"/>
              </w:rPr>
              <w:t>Identification of affected businesses and assessment of relevance</w:t>
            </w:r>
          </w:p>
        </w:tc>
      </w:tr>
      <w:tr w:rsidR="00A71942" w:rsidRPr="00EB6008" w14:paraId="3BE0F0C6"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3FE128A4" w14:textId="77777777" w:rsidR="00A71942" w:rsidRPr="00EB6008" w:rsidRDefault="00A71942" w:rsidP="00E276C8">
            <w:pPr>
              <w:spacing w:after="120"/>
              <w:rPr>
                <w:noProof/>
                <w:sz w:val="22"/>
                <w:szCs w:val="22"/>
              </w:rPr>
            </w:pPr>
            <w:r w:rsidRPr="1FC5E705">
              <w:rPr>
                <w:rFonts w:eastAsia="Verdana"/>
                <w:b/>
                <w:bCs/>
                <w:noProof/>
                <w:sz w:val="22"/>
                <w:szCs w:val="22"/>
              </w:rPr>
              <w:t>Are SMEs directly affected?</w:t>
            </w:r>
            <w:r w:rsidRPr="1FC5E705">
              <w:rPr>
                <w:rFonts w:eastAsia="Verdana"/>
                <w:noProof/>
                <w:sz w:val="22"/>
                <w:szCs w:val="22"/>
              </w:rPr>
              <w:t xml:space="preserve"> </w:t>
            </w:r>
            <w:r w:rsidRPr="1FC5E705">
              <w:rPr>
                <w:rFonts w:eastAsia="Verdana"/>
                <w:i/>
                <w:iCs/>
                <w:noProof/>
                <w:sz w:val="22"/>
                <w:szCs w:val="22"/>
              </w:rPr>
              <w:t>(Yes/No)</w:t>
            </w:r>
            <w:r w:rsidRPr="1FC5E705">
              <w:rPr>
                <w:rFonts w:eastAsia="Verdana"/>
                <w:noProof/>
                <w:sz w:val="22"/>
                <w:szCs w:val="22"/>
              </w:rPr>
              <w:t xml:space="preserve"> </w:t>
            </w:r>
            <w:r w:rsidRPr="1FC5E705">
              <w:rPr>
                <w:rFonts w:eastAsia="Verdana"/>
                <w:b/>
                <w:bCs/>
                <w:noProof/>
                <w:sz w:val="22"/>
                <w:szCs w:val="22"/>
              </w:rPr>
              <w:t>In which sectors?</w:t>
            </w:r>
          </w:p>
        </w:tc>
      </w:tr>
      <w:tr w:rsidR="00A71942" w:rsidRPr="00EB6008" w14:paraId="71D5489A"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3F81A390" w14:textId="77777777" w:rsidR="00A71942" w:rsidRPr="00EB6008" w:rsidRDefault="00A71942" w:rsidP="00E276C8">
            <w:pPr>
              <w:spacing w:after="120"/>
              <w:rPr>
                <w:noProof/>
                <w:sz w:val="22"/>
                <w:szCs w:val="22"/>
              </w:rPr>
            </w:pPr>
            <w:r w:rsidRPr="1FC5E705">
              <w:rPr>
                <w:noProof/>
                <w:sz w:val="22"/>
                <w:szCs w:val="22"/>
              </w:rPr>
              <w:t xml:space="preserve">As per Annex 3, Section 2.2.1, provisions are conceived to offer proportional treatment to smaller installations and operators. </w:t>
            </w:r>
          </w:p>
          <w:p w14:paraId="6B6C97A9" w14:textId="77777777" w:rsidR="00A71942" w:rsidRPr="00EB6008" w:rsidRDefault="00A71942" w:rsidP="00E276C8">
            <w:pPr>
              <w:spacing w:after="120"/>
              <w:rPr>
                <w:noProof/>
                <w:sz w:val="22"/>
                <w:szCs w:val="22"/>
              </w:rPr>
            </w:pPr>
            <w:r w:rsidRPr="1FC5E705">
              <w:rPr>
                <w:noProof/>
                <w:sz w:val="22"/>
                <w:szCs w:val="22"/>
              </w:rPr>
              <w:t xml:space="preserve">Above these thresholds, SMEs will be subject to the same policy provisions as other firms. In other words, employee numbers and turnover are not typically used as differentiating elements in EU ETS. However, the ETS framework provides simplified monitoring, reporting and verification rules for small emitters. </w:t>
            </w:r>
          </w:p>
          <w:p w14:paraId="4003321E" w14:textId="77777777" w:rsidR="00A71942" w:rsidRPr="00EB6008" w:rsidRDefault="00A71942" w:rsidP="00E276C8">
            <w:pPr>
              <w:spacing w:after="120"/>
              <w:rPr>
                <w:noProof/>
                <w:sz w:val="22"/>
                <w:szCs w:val="22"/>
              </w:rPr>
            </w:pPr>
            <w:r w:rsidRPr="1FC5E705">
              <w:rPr>
                <w:noProof/>
                <w:sz w:val="22"/>
                <w:szCs w:val="22"/>
              </w:rPr>
              <w:t>Nevertheless, the potential impact on thousands of small installations is avoided through the proposal not to lower the 20 MW exemption threshold for stationary installations (see Annex 12, Section 2). Other ETS activities listed in Annex I of the Directive also include activity thresholds, preventing the inclusion in the ETS of the smallest installations. Furthermore, Member States have the possibility to request the opt-out of small emitters from the ETS under the provisions of Article 27 and 27a of the ETS Directive.</w:t>
            </w:r>
          </w:p>
          <w:p w14:paraId="55A68F53" w14:textId="77777777" w:rsidR="00A71942" w:rsidRPr="00EB6008" w:rsidRDefault="00A71942" w:rsidP="00E276C8">
            <w:pPr>
              <w:spacing w:after="120"/>
              <w:rPr>
                <w:noProof/>
                <w:sz w:val="22"/>
                <w:szCs w:val="22"/>
              </w:rPr>
            </w:pPr>
            <w:r w:rsidRPr="1FC5E705">
              <w:rPr>
                <w:noProof/>
                <w:sz w:val="22"/>
                <w:szCs w:val="22"/>
              </w:rPr>
              <w:t>Considering the high share of SMEs in the maritime transport sector, the implementation of the EU ETS in the sector has a direct impact on SMEs. However, very small maritime operators are expected to remain largely outside the ETS scope, as all policy options do not foresee the inclusion of any type of vessel below 400 gross tonnage.</w:t>
            </w:r>
          </w:p>
        </w:tc>
      </w:tr>
      <w:tr w:rsidR="00A71942" w:rsidRPr="00EB6008" w14:paraId="606D136E"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E4F39E7" w14:textId="77777777" w:rsidR="00A71942" w:rsidRPr="00EB6008" w:rsidRDefault="00A71942" w:rsidP="00E276C8">
            <w:pPr>
              <w:spacing w:after="120"/>
              <w:rPr>
                <w:noProof/>
                <w:sz w:val="22"/>
                <w:szCs w:val="22"/>
              </w:rPr>
            </w:pPr>
            <w:r w:rsidRPr="1FC5E705">
              <w:rPr>
                <w:rFonts w:eastAsia="Verdana"/>
                <w:b/>
                <w:bCs/>
                <w:noProof/>
                <w:sz w:val="22"/>
                <w:szCs w:val="22"/>
              </w:rPr>
              <w:t>Estimated number of directly affected SMEs</w:t>
            </w:r>
          </w:p>
        </w:tc>
      </w:tr>
      <w:tr w:rsidR="00A71942" w:rsidRPr="00EB6008" w14:paraId="6DA266B6"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538F4BDC" w14:textId="77777777" w:rsidR="00A71942" w:rsidRPr="00EB6008" w:rsidRDefault="00A71942" w:rsidP="00E276C8">
            <w:pPr>
              <w:spacing w:after="120"/>
              <w:rPr>
                <w:rFonts w:eastAsia="Verdana"/>
                <w:noProof/>
                <w:sz w:val="22"/>
                <w:szCs w:val="22"/>
              </w:rPr>
            </w:pPr>
            <w:r w:rsidRPr="00EB6008">
              <w:rPr>
                <w:rFonts w:eastAsia="Verdana"/>
                <w:noProof/>
                <w:sz w:val="22"/>
                <w:szCs w:val="22"/>
              </w:rPr>
              <w:t>The share of SMEs among firms covered by EU ETS was estimated using the Orbis database (a commercial database of corporate information). This was possible thanks to a dedicated mapping tool developed and maintained by the European Commission</w:t>
            </w:r>
            <w:r w:rsidRPr="1FC5E705">
              <w:rPr>
                <w:rStyle w:val="FootnoteReference"/>
                <w:rFonts w:eastAsia="Verdana"/>
                <w:noProof/>
                <w:sz w:val="22"/>
                <w:szCs w:val="22"/>
              </w:rPr>
              <w:footnoteReference w:id="49"/>
            </w:r>
            <w:r w:rsidRPr="00EB6008">
              <w:rPr>
                <w:rFonts w:eastAsia="Verdana"/>
                <w:noProof/>
                <w:sz w:val="22"/>
                <w:szCs w:val="22"/>
              </w:rPr>
              <w:t>. For this purpose, SMEs were defined as firms with fewer than 250 employees, and a turnover not exceeding EUR 50 million or a balance sheet not exceeding EUR 43 million.</w:t>
            </w:r>
          </w:p>
          <w:p w14:paraId="3B5E1C27" w14:textId="77777777" w:rsidR="00A71942" w:rsidRPr="00EB6008" w:rsidRDefault="00A71942" w:rsidP="00E276C8">
            <w:pPr>
              <w:spacing w:after="120"/>
              <w:rPr>
                <w:rFonts w:eastAsia="Verdana"/>
                <w:noProof/>
                <w:sz w:val="22"/>
                <w:szCs w:val="22"/>
              </w:rPr>
            </w:pPr>
            <w:r w:rsidRPr="1FC5E705">
              <w:rPr>
                <w:rFonts w:eastAsia="Verdana"/>
                <w:noProof/>
                <w:sz w:val="22"/>
                <w:szCs w:val="22"/>
              </w:rPr>
              <w:t>Due to data limitations, this analysis was only possible for stationary installations and aircraft operators. Even in these sectors, the results should be interpreted with caution due to known caveats concerning the Orbis database. In particular, the database, which itself relies on national statistics, tends to underrepresent small firms. Also, the level of coverage varies across countries.</w:t>
            </w:r>
          </w:p>
          <w:p w14:paraId="2F5B8C5D" w14:textId="1F02F618" w:rsidR="00A71942" w:rsidRPr="00EB6008" w:rsidRDefault="00A71942" w:rsidP="00E276C8">
            <w:pPr>
              <w:spacing w:after="120"/>
              <w:rPr>
                <w:rFonts w:eastAsia="Verdana"/>
                <w:noProof/>
                <w:sz w:val="22"/>
                <w:szCs w:val="22"/>
              </w:rPr>
            </w:pPr>
            <w:r w:rsidRPr="00EB6008">
              <w:rPr>
                <w:rFonts w:eastAsia="Verdana"/>
                <w:noProof/>
                <w:sz w:val="22"/>
                <w:szCs w:val="22"/>
              </w:rPr>
              <w:t xml:space="preserve">The shares of medium, small and micro enterprises in ETS are shown in </w:t>
            </w:r>
            <w:r w:rsidRPr="00EB6008">
              <w:rPr>
                <w:rFonts w:eastAsia="Verdana"/>
                <w:noProof/>
                <w:sz w:val="22"/>
                <w:szCs w:val="22"/>
              </w:rPr>
              <w:fldChar w:fldCharType="begin"/>
            </w:r>
            <w:r w:rsidRPr="00EB6008">
              <w:rPr>
                <w:rFonts w:eastAsia="Verdana"/>
                <w:noProof/>
                <w:sz w:val="22"/>
                <w:szCs w:val="22"/>
              </w:rPr>
              <w:instrText xml:space="preserve"> REF _Ref214618119 \h  \* MERGEFORMAT </w:instrText>
            </w:r>
            <w:r w:rsidRPr="00EB6008">
              <w:rPr>
                <w:rFonts w:eastAsia="Verdana"/>
                <w:noProof/>
                <w:sz w:val="22"/>
                <w:szCs w:val="22"/>
              </w:rPr>
            </w:r>
            <w:r w:rsidRPr="00EB6008">
              <w:rPr>
                <w:rFonts w:eastAsia="Verdana"/>
                <w:noProof/>
                <w:sz w:val="22"/>
                <w:szCs w:val="22"/>
              </w:rPr>
              <w:fldChar w:fldCharType="separate"/>
            </w:r>
            <w:r w:rsidRPr="00EB6008">
              <w:rPr>
                <w:rFonts w:eastAsia="Verdana"/>
                <w:noProof/>
                <w:sz w:val="22"/>
                <w:szCs w:val="22"/>
              </w:rPr>
              <w:t>Figure 1</w:t>
            </w:r>
            <w:r w:rsidRPr="00EB6008">
              <w:rPr>
                <w:rFonts w:eastAsia="Verdana"/>
                <w:noProof/>
                <w:sz w:val="22"/>
                <w:szCs w:val="22"/>
              </w:rPr>
              <w:fldChar w:fldCharType="end"/>
            </w:r>
            <w:r w:rsidRPr="00EB6008">
              <w:rPr>
                <w:rFonts w:eastAsia="Verdana"/>
                <w:noProof/>
                <w:sz w:val="22"/>
                <w:szCs w:val="22"/>
              </w:rPr>
              <w:t xml:space="preserve"> below. It is not possible to give an absolute figure since only a subset of firms were identifiable in the database. For comparison, in 2024 the EU ETS covered 8,704 stationary installations (noting that an installation is not equivalent to a firm), 393 aircraft operators and 3,313 shipping companies.</w:t>
            </w:r>
          </w:p>
          <w:p w14:paraId="6624863A" w14:textId="77777777" w:rsidR="00A71942" w:rsidRPr="00EB6008" w:rsidRDefault="00A71942" w:rsidP="00E276C8">
            <w:pPr>
              <w:pStyle w:val="Figuretitle"/>
              <w:numPr>
                <w:ilvl w:val="0"/>
                <w:numId w:val="91"/>
              </w:numPr>
              <w:spacing w:after="120"/>
              <w:rPr>
                <w:noProof/>
              </w:rPr>
            </w:pPr>
            <w:r>
              <w:rPr>
                <w:noProof/>
              </w:rPr>
              <w:t xml:space="preserve"> </w:t>
            </w:r>
            <w:bookmarkStart w:id="504" w:name="_Toc232672652"/>
            <w:bookmarkStart w:id="505" w:name="_Toc232758492"/>
            <w:bookmarkStart w:id="506" w:name="_Toc234931468"/>
            <w:r>
              <w:rPr>
                <w:noProof/>
              </w:rPr>
              <w:t>Share of SMEs in firms covered by EU ETS that are identified in the Orbis database</w:t>
            </w:r>
            <w:bookmarkEnd w:id="504"/>
            <w:bookmarkEnd w:id="505"/>
            <w:bookmarkEnd w:id="506"/>
          </w:p>
          <w:p w14:paraId="223E52FD" w14:textId="77777777" w:rsidR="00A71942" w:rsidRPr="00EB6008" w:rsidRDefault="00A71942" w:rsidP="00E276C8">
            <w:pPr>
              <w:spacing w:after="120"/>
              <w:rPr>
                <w:rFonts w:eastAsia="Verdana"/>
                <w:noProof/>
                <w:sz w:val="22"/>
                <w:szCs w:val="22"/>
              </w:rPr>
            </w:pPr>
            <w:r>
              <w:rPr>
                <w:noProof/>
                <w:lang w:eastAsia="en-GB"/>
              </w:rPr>
              <w:drawing>
                <wp:inline distT="0" distB="0" distL="0" distR="0" wp14:anchorId="58000251" wp14:editId="07EC9F1C">
                  <wp:extent cx="5742000" cy="1713600"/>
                  <wp:effectExtent l="0" t="0" r="0" b="1270"/>
                  <wp:docPr id="43877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42000" cy="1713600"/>
                          </a:xfrm>
                          <a:prstGeom prst="rect">
                            <a:avLst/>
                          </a:prstGeom>
                          <a:noFill/>
                        </pic:spPr>
                      </pic:pic>
                    </a:graphicData>
                  </a:graphic>
                </wp:inline>
              </w:drawing>
            </w:r>
          </w:p>
          <w:p w14:paraId="4C026750" w14:textId="77777777" w:rsidR="00A71942" w:rsidRPr="00EB6008" w:rsidRDefault="00A71942" w:rsidP="00E276C8">
            <w:pPr>
              <w:spacing w:after="120"/>
              <w:rPr>
                <w:rFonts w:eastAsia="Verdana"/>
                <w:noProof/>
                <w:sz w:val="22"/>
                <w:szCs w:val="22"/>
              </w:rPr>
            </w:pPr>
            <w:r w:rsidRPr="1FC5E705">
              <w:rPr>
                <w:rFonts w:eastAsia="Verdana"/>
                <w:noProof/>
                <w:sz w:val="22"/>
                <w:szCs w:val="22"/>
              </w:rPr>
              <w:t>It was not possible to include maritime and waste sector emissions in the Orbis analysis due to data limitations. However, for maritime, it is assumed that most of the entities responsible for the implementation of the ETS are SMEs. According to the previous impact assessment on the extension of the EU ETS to maritime transport, 76% of freight companies and 86% of passenger transport companies having fewer than 10 employees.</w:t>
            </w:r>
          </w:p>
          <w:p w14:paraId="134232C5" w14:textId="77777777" w:rsidR="00A71942" w:rsidRPr="00EB6008" w:rsidRDefault="00A71942" w:rsidP="00E276C8">
            <w:pPr>
              <w:spacing w:after="120"/>
              <w:rPr>
                <w:rFonts w:eastAsia="Verdana"/>
                <w:noProof/>
                <w:sz w:val="22"/>
                <w:szCs w:val="22"/>
              </w:rPr>
            </w:pPr>
            <w:r w:rsidRPr="1FC5E705">
              <w:rPr>
                <w:rFonts w:eastAsia="Verdana"/>
                <w:noProof/>
                <w:sz w:val="22"/>
                <w:szCs w:val="22"/>
              </w:rPr>
              <w:t xml:space="preserve">Each thematic annex considers how small emitters should be treated but uses metrics other than the employment and turnover dimensions related to the official definition of SMEs. (Annex 10 for aviation, Annex 11 for maritime, Annex 12 for stationary installations, Annex 13 for waste). </w:t>
            </w:r>
          </w:p>
        </w:tc>
      </w:tr>
      <w:tr w:rsidR="00A71942" w:rsidRPr="00EB6008" w14:paraId="0522B43B"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0A4B4856" w14:textId="77777777" w:rsidR="00A71942" w:rsidRPr="00EB6008" w:rsidRDefault="00A71942" w:rsidP="00E276C8">
            <w:pPr>
              <w:spacing w:after="120"/>
              <w:rPr>
                <w:noProof/>
                <w:sz w:val="22"/>
                <w:szCs w:val="22"/>
              </w:rPr>
            </w:pPr>
            <w:r w:rsidRPr="1FC5E705">
              <w:rPr>
                <w:rFonts w:eastAsia="Verdana"/>
                <w:b/>
                <w:bCs/>
                <w:noProof/>
                <w:sz w:val="22"/>
                <w:szCs w:val="22"/>
              </w:rPr>
              <w:t>Estimated number of employees in directly affected SMEs</w:t>
            </w:r>
          </w:p>
        </w:tc>
      </w:tr>
      <w:tr w:rsidR="00A71942" w:rsidRPr="00EB6008" w14:paraId="19B03AA7"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F68FCA0" w14:textId="77777777" w:rsidR="00A71942" w:rsidRPr="00EB6008" w:rsidRDefault="00A71942" w:rsidP="00E276C8">
            <w:pPr>
              <w:spacing w:after="120"/>
              <w:rPr>
                <w:noProof/>
                <w:sz w:val="22"/>
                <w:szCs w:val="22"/>
              </w:rPr>
            </w:pPr>
            <w:r w:rsidRPr="1FC5E705">
              <w:rPr>
                <w:rFonts w:eastAsia="Verdana"/>
                <w:noProof/>
                <w:sz w:val="22"/>
                <w:szCs w:val="22"/>
              </w:rPr>
              <w:t>Macroeconomic modelling was used to assess employment impacts of the policy options considered. See Section 6.3.1. This concluded that all policy options should increase employment relative to the baseline when it comes to carbon leakage and aviation. In the maritime transport sector, the modelling did not indicate a large effect. Small operators may be negatively affected by lowering of the tonnage threshold bringing them into the scope of EU ETS. On the other hand, the economy of EU ports should be positively affected by measures to address transshipment relocation risks. However, this analysis is not specific to SMEs. According to the Orbis analysis for stationary installations, out of the identified 7,685 operators of stationary ETS installations and found that 26% of these were SMEs. Most of these were medium-sized enterprises (19%) rather than small (6%) or micro (2%). It also found that the ceramics sector had the highest proportion of SMEs, in particular micro and small enterprises. Across all sectors, SMEs accounted for 2% of emissions, 1% of employment and less than 1% of turnover of the identified ETS installations.</w:t>
            </w:r>
          </w:p>
        </w:tc>
      </w:tr>
      <w:tr w:rsidR="00A71942" w:rsidRPr="00EB6008" w14:paraId="1F784342"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8C6D8CF" w14:textId="77777777" w:rsidR="00A71942" w:rsidRPr="00EB6008" w:rsidRDefault="00A71942" w:rsidP="00E276C8">
            <w:pPr>
              <w:spacing w:after="120"/>
              <w:rPr>
                <w:noProof/>
                <w:sz w:val="22"/>
                <w:szCs w:val="22"/>
              </w:rPr>
            </w:pPr>
            <w:r w:rsidRPr="1FC5E705">
              <w:rPr>
                <w:rFonts w:eastAsia="Verdana"/>
                <w:b/>
                <w:bCs/>
                <w:noProof/>
                <w:sz w:val="22"/>
                <w:szCs w:val="22"/>
              </w:rPr>
              <w:t xml:space="preserve">Are SMEs indirectly affected? </w:t>
            </w:r>
            <w:r w:rsidRPr="1FC5E705">
              <w:rPr>
                <w:rFonts w:eastAsia="Verdana"/>
                <w:i/>
                <w:iCs/>
                <w:noProof/>
                <w:sz w:val="22"/>
                <w:szCs w:val="22"/>
              </w:rPr>
              <w:t>(Yes/No)</w:t>
            </w:r>
            <w:r w:rsidRPr="1FC5E705">
              <w:rPr>
                <w:rFonts w:eastAsia="Verdana"/>
                <w:b/>
                <w:bCs/>
                <w:noProof/>
                <w:sz w:val="22"/>
                <w:szCs w:val="22"/>
              </w:rPr>
              <w:t xml:space="preserve"> In which sectors? What is the estimated number of indirectly affected SMEs and employees?</w:t>
            </w:r>
          </w:p>
        </w:tc>
      </w:tr>
      <w:tr w:rsidR="00A71942" w:rsidRPr="00EB6008" w14:paraId="4D6C1297"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3B90E72" w14:textId="77777777" w:rsidR="00A71942" w:rsidRPr="00EB6008" w:rsidRDefault="00A71942" w:rsidP="00E276C8">
            <w:pPr>
              <w:spacing w:after="120"/>
              <w:rPr>
                <w:noProof/>
                <w:sz w:val="22"/>
                <w:szCs w:val="22"/>
              </w:rPr>
            </w:pPr>
            <w:r w:rsidRPr="1FC5E705">
              <w:rPr>
                <w:noProof/>
                <w:sz w:val="22"/>
                <w:szCs w:val="22"/>
              </w:rPr>
              <w:t>Indirect effects from EU ETS predominantly consist of the passthrough of the carbon price to consumers. This is expected to be highest for consumers that are closest in the value chain to the priced carbon. The clearest examples of this are the indirect carbon cost faced by electro-intensive industries (specific compensation for this is addressed in Annex 12) and the impact of carbon pricing in the aviation and shipping sectors.</w:t>
            </w:r>
          </w:p>
        </w:tc>
      </w:tr>
    </w:tbl>
    <w:p w14:paraId="46120944" w14:textId="77777777" w:rsidR="00A71942" w:rsidRPr="00EB6008" w:rsidRDefault="00A71942" w:rsidP="00E276C8">
      <w:pPr>
        <w:spacing w:line="240" w:lineRule="auto"/>
        <w:rPr>
          <w:noProof/>
          <w:sz w:val="22"/>
          <w:szCs w:val="22"/>
        </w:rPr>
      </w:pPr>
    </w:p>
    <w:tbl>
      <w:tblPr>
        <w:tblStyle w:val="TableGrid"/>
        <w:tblW w:w="5194" w:type="pct"/>
        <w:tblInd w:w="-152" w:type="dxa"/>
        <w:tblLook w:val="04A0" w:firstRow="1" w:lastRow="0" w:firstColumn="1" w:lastColumn="0" w:noHBand="0" w:noVBand="1"/>
      </w:tblPr>
      <w:tblGrid>
        <w:gridCol w:w="9355"/>
      </w:tblGrid>
      <w:tr w:rsidR="00A71942" w:rsidRPr="00EB6008" w14:paraId="6906E1F6"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3CFA4A73" w14:textId="77777777" w:rsidR="00A71942" w:rsidRPr="00EB6008" w:rsidRDefault="00A71942" w:rsidP="00E276C8">
            <w:pPr>
              <w:pStyle w:val="ListParagraph"/>
              <w:spacing w:after="120"/>
              <w:rPr>
                <w:rFonts w:eastAsia="Verdana"/>
                <w:b/>
                <w:bCs/>
                <w:noProof/>
                <w:sz w:val="22"/>
                <w:szCs w:val="22"/>
              </w:rPr>
            </w:pPr>
            <w:r w:rsidRPr="1FC5E705">
              <w:rPr>
                <w:rFonts w:eastAsia="Verdana"/>
                <w:b/>
                <w:bCs/>
                <w:noProof/>
                <w:sz w:val="22"/>
                <w:szCs w:val="22"/>
              </w:rPr>
              <w:t>(2) Consultation of SME stakeholders</w:t>
            </w:r>
          </w:p>
        </w:tc>
      </w:tr>
      <w:tr w:rsidR="00A71942" w:rsidRPr="00EB6008" w14:paraId="48811387"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8177F72" w14:textId="77777777" w:rsidR="00A71942" w:rsidRPr="00EB6008" w:rsidRDefault="00A71942" w:rsidP="00E276C8">
            <w:pPr>
              <w:spacing w:after="120"/>
              <w:rPr>
                <w:noProof/>
                <w:sz w:val="22"/>
                <w:szCs w:val="22"/>
              </w:rPr>
            </w:pPr>
            <w:r w:rsidRPr="1FC5E705">
              <w:rPr>
                <w:rFonts w:eastAsia="Verdana"/>
                <w:b/>
                <w:bCs/>
                <w:noProof/>
                <w:sz w:val="22"/>
                <w:szCs w:val="22"/>
              </w:rPr>
              <w:t>How has the input from the SME community been taken into consideration?</w:t>
            </w:r>
          </w:p>
        </w:tc>
      </w:tr>
      <w:tr w:rsidR="00A71942" w:rsidRPr="00EB6008" w14:paraId="43D1E70D"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AD6F717" w14:textId="77777777" w:rsidR="00A71942" w:rsidRPr="00EB6008" w:rsidRDefault="00A71942" w:rsidP="00E276C8">
            <w:pPr>
              <w:spacing w:after="120"/>
              <w:rPr>
                <w:noProof/>
                <w:sz w:val="22"/>
                <w:szCs w:val="22"/>
              </w:rPr>
            </w:pPr>
            <w:r w:rsidRPr="1FC5E705">
              <w:rPr>
                <w:noProof/>
                <w:sz w:val="22"/>
                <w:szCs w:val="22"/>
              </w:rPr>
              <w:t>As per 6.2.4.4 of the Impact Assessment, SME stakeholders were represented by their sector associations in the stakeholder interviews and had the opportunity to submit their views within the OPC (where 36% of respondents in the company/business category were SMEs).</w:t>
            </w:r>
          </w:p>
        </w:tc>
      </w:tr>
      <w:tr w:rsidR="00A71942" w:rsidRPr="00EB6008" w14:paraId="315AAA0A"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699B251" w14:textId="77777777" w:rsidR="00A71942" w:rsidRPr="00EB6008" w:rsidRDefault="00A71942" w:rsidP="00E276C8">
            <w:pPr>
              <w:spacing w:after="120"/>
              <w:rPr>
                <w:noProof/>
                <w:sz w:val="22"/>
                <w:szCs w:val="22"/>
              </w:rPr>
            </w:pPr>
            <w:r w:rsidRPr="1FC5E705">
              <w:rPr>
                <w:rFonts w:eastAsia="Verdana"/>
                <w:b/>
                <w:bCs/>
                <w:noProof/>
                <w:sz w:val="22"/>
                <w:szCs w:val="22"/>
              </w:rPr>
              <w:t xml:space="preserve">Are SMEs’ views different from those of large businesses? </w:t>
            </w:r>
            <w:r w:rsidRPr="1FC5E705">
              <w:rPr>
                <w:rFonts w:eastAsia="Verdana"/>
                <w:i/>
                <w:iCs/>
                <w:noProof/>
                <w:sz w:val="22"/>
                <w:szCs w:val="22"/>
              </w:rPr>
              <w:t>(Yes/No)</w:t>
            </w:r>
          </w:p>
        </w:tc>
      </w:tr>
      <w:tr w:rsidR="00A71942" w:rsidRPr="00EB6008" w14:paraId="13686339"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7E3A0896" w14:textId="77777777" w:rsidR="00A71942" w:rsidRPr="00EB6008" w:rsidRDefault="00A71942" w:rsidP="00E276C8">
            <w:pPr>
              <w:spacing w:after="120"/>
              <w:rPr>
                <w:noProof/>
                <w:sz w:val="22"/>
                <w:szCs w:val="22"/>
              </w:rPr>
            </w:pPr>
            <w:r w:rsidRPr="1FC5E705">
              <w:rPr>
                <w:noProof/>
                <w:sz w:val="22"/>
                <w:szCs w:val="22"/>
              </w:rPr>
              <w:t>SMEs have stronger views on administrative burden and regulatory costs of the ETS Directive (see Annex 2, point 2.2.4) than large businesses, and thus request reduced procedural burdens and reduction and standardization of administrative fees and verification costs across Member States. SMEs are also advocates for simplification and harmonisation of MRV rules, with several SMEs from the waste sector suggesting updating MRV rules with regards to MWI installations.</w:t>
            </w:r>
          </w:p>
        </w:tc>
      </w:tr>
    </w:tbl>
    <w:p w14:paraId="26B33795" w14:textId="77777777" w:rsidR="00A71942" w:rsidRPr="00EB6008" w:rsidRDefault="00A71942" w:rsidP="00E276C8">
      <w:pPr>
        <w:spacing w:line="240" w:lineRule="auto"/>
        <w:rPr>
          <w:noProof/>
          <w:sz w:val="22"/>
          <w:szCs w:val="22"/>
        </w:rPr>
      </w:pPr>
      <w:r w:rsidRPr="1FC5E705">
        <w:rPr>
          <w:rFonts w:eastAsia="Verdana"/>
          <w:b/>
          <w:bCs/>
          <w:noProof/>
          <w:sz w:val="22"/>
          <w:szCs w:val="22"/>
        </w:rPr>
        <w:t xml:space="preserve"> </w:t>
      </w:r>
    </w:p>
    <w:tbl>
      <w:tblPr>
        <w:tblStyle w:val="TableGridLight"/>
        <w:tblW w:w="5194" w:type="pct"/>
        <w:tblInd w:w="-152" w:type="dxa"/>
        <w:tblLook w:val="04A0" w:firstRow="1" w:lastRow="0" w:firstColumn="1" w:lastColumn="0" w:noHBand="0" w:noVBand="1"/>
      </w:tblPr>
      <w:tblGrid>
        <w:gridCol w:w="9355"/>
      </w:tblGrid>
      <w:tr w:rsidR="00A71942" w:rsidRPr="00EB6008" w14:paraId="68AB3E46"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468199C" w14:textId="77777777" w:rsidR="00A71942" w:rsidRPr="00EB6008" w:rsidRDefault="00A71942" w:rsidP="00975687">
            <w:pPr>
              <w:pStyle w:val="ListParagraph"/>
              <w:numPr>
                <w:ilvl w:val="0"/>
                <w:numId w:val="74"/>
              </w:numPr>
              <w:spacing w:after="120"/>
              <w:ind w:left="1053"/>
              <w:contextualSpacing/>
              <w:rPr>
                <w:rFonts w:eastAsia="Verdana"/>
                <w:b/>
                <w:bCs/>
                <w:noProof/>
                <w:sz w:val="22"/>
                <w:szCs w:val="22"/>
                <w:vertAlign w:val="superscript"/>
              </w:rPr>
            </w:pPr>
            <w:r w:rsidRPr="1FC5E705">
              <w:rPr>
                <w:rFonts w:eastAsia="Verdana"/>
                <w:b/>
                <w:bCs/>
                <w:noProof/>
                <w:sz w:val="22"/>
                <w:szCs w:val="22"/>
              </w:rPr>
              <w:t>Assessment of impacts on SMEs</w:t>
            </w:r>
          </w:p>
        </w:tc>
      </w:tr>
      <w:tr w:rsidR="00A71942" w:rsidRPr="00EB6008" w14:paraId="4C838EE0"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0C810403" w14:textId="77777777" w:rsidR="00A71942" w:rsidRPr="00EB6008" w:rsidRDefault="00A71942" w:rsidP="00E276C8">
            <w:pPr>
              <w:spacing w:after="120"/>
              <w:rPr>
                <w:noProof/>
                <w:sz w:val="22"/>
                <w:szCs w:val="22"/>
              </w:rPr>
            </w:pPr>
            <w:r w:rsidRPr="1FC5E705">
              <w:rPr>
                <w:rFonts w:eastAsia="Verdana"/>
                <w:b/>
                <w:bCs/>
                <w:noProof/>
                <w:sz w:val="22"/>
                <w:szCs w:val="22"/>
              </w:rPr>
              <w:t>What are the estimated direct costs for SMEs of the preferred policy option</w:t>
            </w:r>
            <w:r w:rsidRPr="1FC5E705">
              <w:rPr>
                <w:rFonts w:eastAsia="Verdana"/>
                <w:b/>
                <w:bCs/>
                <w:i/>
                <w:iCs/>
                <w:noProof/>
                <w:sz w:val="22"/>
                <w:szCs w:val="22"/>
              </w:rPr>
              <w:t>?</w:t>
            </w:r>
            <w:r w:rsidRPr="1FC5E705">
              <w:rPr>
                <w:rFonts w:eastAsia="Verdana"/>
                <w:noProof/>
                <w:sz w:val="22"/>
                <w:szCs w:val="22"/>
              </w:rPr>
              <w:t xml:space="preserve"> </w:t>
            </w:r>
            <w:r w:rsidRPr="1FC5E705">
              <w:rPr>
                <w:rFonts w:eastAsia="Verdana"/>
                <w:noProof/>
                <w:sz w:val="22"/>
                <w:szCs w:val="22"/>
                <w:u w:val="single"/>
              </w:rPr>
              <w:t>(Fill in only if step 1</w:t>
            </w:r>
            <w:r w:rsidRPr="1FC5E705">
              <w:rPr>
                <w:rFonts w:eastAsia="Verdana"/>
                <w:noProof/>
                <w:sz w:val="22"/>
                <w:szCs w:val="22"/>
              </w:rPr>
              <w:t xml:space="preserve"> </w:t>
            </w:r>
            <w:r w:rsidRPr="1FC5E705">
              <w:rPr>
                <w:rFonts w:eastAsia="Verdana"/>
                <w:i/>
                <w:iCs/>
                <w:noProof/>
                <w:sz w:val="22"/>
                <w:szCs w:val="22"/>
              </w:rPr>
              <w:t>flags direct impacts)</w:t>
            </w:r>
          </w:p>
        </w:tc>
      </w:tr>
      <w:tr w:rsidR="00A71942" w:rsidRPr="00EB6008" w14:paraId="068C6EC8"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E0D1285" w14:textId="77777777" w:rsidR="00A71942" w:rsidRPr="00EB6008" w:rsidRDefault="00A71942" w:rsidP="00E276C8">
            <w:pPr>
              <w:spacing w:after="120"/>
              <w:rPr>
                <w:noProof/>
                <w:sz w:val="22"/>
                <w:szCs w:val="22"/>
              </w:rPr>
            </w:pPr>
            <w:r w:rsidRPr="1FC5E705">
              <w:rPr>
                <w:rFonts w:eastAsia="Verdana"/>
                <w:b/>
                <w:bCs/>
                <w:i/>
                <w:iCs/>
                <w:noProof/>
                <w:sz w:val="22"/>
                <w:szCs w:val="22"/>
              </w:rPr>
              <w:t>Qualitative assessment</w:t>
            </w:r>
          </w:p>
        </w:tc>
      </w:tr>
      <w:tr w:rsidR="00A71942" w:rsidRPr="00EB6008" w14:paraId="2948EB57"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5482A8E0" w14:textId="77777777" w:rsidR="00A71942" w:rsidRPr="00EB6008" w:rsidRDefault="00A71942" w:rsidP="00E276C8">
            <w:pPr>
              <w:spacing w:after="120"/>
              <w:rPr>
                <w:noProof/>
                <w:sz w:val="22"/>
                <w:szCs w:val="22"/>
              </w:rPr>
            </w:pPr>
            <w:r w:rsidRPr="1FC5E705">
              <w:rPr>
                <w:noProof/>
                <w:sz w:val="22"/>
                <w:szCs w:val="22"/>
              </w:rPr>
              <w:t>A net increase administrative costs is expected due to:</w:t>
            </w:r>
          </w:p>
          <w:p w14:paraId="33957863" w14:textId="77777777" w:rsidR="00A71942" w:rsidRPr="00EB6008" w:rsidRDefault="00A71942" w:rsidP="00975687">
            <w:pPr>
              <w:pStyle w:val="ListParagraph"/>
              <w:numPr>
                <w:ilvl w:val="0"/>
                <w:numId w:val="73"/>
              </w:numPr>
              <w:spacing w:after="120"/>
              <w:ind w:left="1080"/>
              <w:contextualSpacing/>
              <w:rPr>
                <w:rFonts w:eastAsia="Verdana"/>
                <w:noProof/>
                <w:sz w:val="22"/>
                <w:szCs w:val="22"/>
              </w:rPr>
            </w:pPr>
            <w:r w:rsidRPr="1FC5E705">
              <w:rPr>
                <w:rFonts w:eastAsia="Verdana"/>
                <w:noProof/>
                <w:sz w:val="22"/>
                <w:szCs w:val="22"/>
              </w:rPr>
              <w:t>Preparation and verification of climate-neutral investment plans to access conditional free allocation (among operators already participating in existing administration related to free allocation)</w:t>
            </w:r>
          </w:p>
          <w:p w14:paraId="08382DBC" w14:textId="77777777" w:rsidR="00A71942" w:rsidRPr="00EB6008" w:rsidRDefault="00A71942" w:rsidP="00975687">
            <w:pPr>
              <w:pStyle w:val="ListParagraph"/>
              <w:numPr>
                <w:ilvl w:val="0"/>
                <w:numId w:val="73"/>
              </w:numPr>
              <w:spacing w:after="120"/>
              <w:ind w:left="1080"/>
              <w:contextualSpacing/>
              <w:rPr>
                <w:rFonts w:eastAsia="Verdana"/>
                <w:noProof/>
                <w:sz w:val="22"/>
                <w:szCs w:val="22"/>
              </w:rPr>
            </w:pPr>
            <w:r w:rsidRPr="1FC5E705">
              <w:rPr>
                <w:rFonts w:eastAsia="Verdana"/>
                <w:noProof/>
                <w:sz w:val="22"/>
                <w:szCs w:val="22"/>
              </w:rPr>
              <w:t>MRV related to expansion of ETS scope: waste, maritime, CCU, carbon removal.</w:t>
            </w:r>
          </w:p>
          <w:p w14:paraId="6E3F2883" w14:textId="77777777" w:rsidR="00A71942" w:rsidRPr="00EB6008" w:rsidRDefault="00A71942" w:rsidP="00E276C8">
            <w:pPr>
              <w:spacing w:after="120"/>
              <w:rPr>
                <w:rFonts w:eastAsia="Verdana"/>
                <w:noProof/>
                <w:sz w:val="22"/>
                <w:szCs w:val="22"/>
              </w:rPr>
            </w:pPr>
            <w:r w:rsidRPr="1FC5E705">
              <w:rPr>
                <w:rFonts w:eastAsia="Verdana"/>
                <w:noProof/>
                <w:sz w:val="22"/>
                <w:szCs w:val="22"/>
              </w:rPr>
              <w:t>However, a number of mitigating factors exist including the proposal not to lower the</w:t>
            </w:r>
            <w:r w:rsidRPr="1FC5E705">
              <w:rPr>
                <w:rFonts w:eastAsia="Verdana"/>
                <w:i/>
                <w:iCs/>
                <w:noProof/>
                <w:sz w:val="22"/>
                <w:szCs w:val="22"/>
              </w:rPr>
              <w:t xml:space="preserve"> </w:t>
            </w:r>
            <w:r w:rsidRPr="1FC5E705">
              <w:rPr>
                <w:rFonts w:eastAsia="Verdana"/>
                <w:noProof/>
                <w:sz w:val="22"/>
                <w:szCs w:val="22"/>
              </w:rPr>
              <w:t>thresholds for ETS inclusion, i.e. the 20 MW threshold. The possibility for opting out small emitters under Articles 27 and 27a of the ETS Directive will be streamlined.</w:t>
            </w:r>
          </w:p>
          <w:p w14:paraId="080211AB" w14:textId="7AC7978B" w:rsidR="00A71942" w:rsidRPr="00EB6008" w:rsidRDefault="00A71942" w:rsidP="00E276C8">
            <w:pPr>
              <w:spacing w:after="120"/>
              <w:rPr>
                <w:rFonts w:eastAsia="Verdana"/>
                <w:noProof/>
                <w:sz w:val="22"/>
                <w:szCs w:val="22"/>
              </w:rPr>
            </w:pPr>
            <w:r w:rsidRPr="1FC5E705">
              <w:rPr>
                <w:rFonts w:eastAsia="Verdana"/>
                <w:noProof/>
                <w:sz w:val="22"/>
                <w:szCs w:val="22"/>
              </w:rPr>
              <w:t xml:space="preserve">In addition, the MRVA evaluation (see Annex </w:t>
            </w:r>
            <w:r>
              <w:rPr>
                <w:rFonts w:eastAsia="Verdana"/>
                <w:noProof/>
                <w:sz w:val="22"/>
                <w:szCs w:val="22"/>
              </w:rPr>
              <w:t>15</w:t>
            </w:r>
            <w:r w:rsidRPr="1FC5E705">
              <w:rPr>
                <w:rFonts w:eastAsia="Verdana"/>
                <w:noProof/>
                <w:sz w:val="22"/>
                <w:szCs w:val="22"/>
              </w:rPr>
              <w:t xml:space="preserve">, section </w:t>
            </w:r>
            <w:r>
              <w:rPr>
                <w:rFonts w:eastAsia="Verdana"/>
                <w:noProof/>
                <w:sz w:val="22"/>
                <w:szCs w:val="22"/>
              </w:rPr>
              <w:t>8</w:t>
            </w:r>
            <w:r w:rsidRPr="1FC5E705">
              <w:rPr>
                <w:rFonts w:eastAsia="Verdana"/>
                <w:noProof/>
                <w:sz w:val="22"/>
                <w:szCs w:val="22"/>
              </w:rPr>
              <w:t xml:space="preserve">.4) makes a number of recommendations for simplification, which will be addressed in the revision of the relevant secondary legislation.  </w:t>
            </w:r>
          </w:p>
          <w:p w14:paraId="526C8C23" w14:textId="77777777" w:rsidR="00A71942" w:rsidRPr="00EB6008" w:rsidRDefault="00A71942" w:rsidP="00E276C8">
            <w:pPr>
              <w:spacing w:after="120"/>
              <w:rPr>
                <w:rFonts w:eastAsia="Verdana"/>
                <w:noProof/>
                <w:sz w:val="22"/>
                <w:szCs w:val="22"/>
              </w:rPr>
            </w:pPr>
            <w:r w:rsidRPr="1FC5E705">
              <w:rPr>
                <w:rFonts w:eastAsia="Verdana"/>
                <w:noProof/>
                <w:sz w:val="22"/>
                <w:szCs w:val="22"/>
              </w:rPr>
              <w:t>The possible extension of the ETS to smaller vessels would be expected to primarily affect SMEs. Most of these SMEs managing smaller vessels would be new to the MRV and ETS system and would need to set up and familiarise themselves with MRV and ETS processes. A key disadvantage for SMEs is their more limited capacity to absorb additional administrative costs. While some administrative costs borne by shipping companies are dependent on fleet size, other costs are fixed. As such, administrative burden is likely to be higher for smaller businesses who do not benefit from significant economies of scale. SMEs in the maritime sector are expected to sell or buy allowances via intermediary traders mainly from the financial sector instead of participating directly in the primary or secondary markets. Another key disadvantage for SMEs is their limited ability to access financing for capital investments in low-carbon technologies (e.g., alternative propulsion systems or onboard carbon capture). This constraint may reduce the range of greenhouse gas abatement options available to them, potentially increasing their exposure to ETS-related costs in the short term.  </w:t>
            </w:r>
          </w:p>
        </w:tc>
      </w:tr>
      <w:tr w:rsidR="00A71942" w:rsidRPr="00EB6008" w14:paraId="5CC685D0"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D792D2A" w14:textId="77777777" w:rsidR="00A71942" w:rsidRPr="00EB6008" w:rsidRDefault="00A71942" w:rsidP="00E276C8">
            <w:pPr>
              <w:spacing w:after="120"/>
              <w:rPr>
                <w:noProof/>
                <w:sz w:val="22"/>
                <w:szCs w:val="22"/>
              </w:rPr>
            </w:pPr>
            <w:r w:rsidRPr="1FC5E705">
              <w:rPr>
                <w:rFonts w:eastAsia="Verdana"/>
                <w:b/>
                <w:bCs/>
                <w:noProof/>
                <w:sz w:val="22"/>
                <w:szCs w:val="22"/>
              </w:rPr>
              <w:t>Quantitative assessment</w:t>
            </w:r>
          </w:p>
        </w:tc>
      </w:tr>
      <w:tr w:rsidR="00A71942" w:rsidRPr="00EB6008" w14:paraId="28C75DFC"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7086995" w14:textId="77777777" w:rsidR="00A71942" w:rsidRPr="00EB6008" w:rsidRDefault="00A71942" w:rsidP="00E276C8">
            <w:pPr>
              <w:spacing w:after="120"/>
              <w:rPr>
                <w:noProof/>
                <w:sz w:val="22"/>
                <w:szCs w:val="22"/>
              </w:rPr>
            </w:pPr>
            <w:r w:rsidRPr="1FC5E705">
              <w:rPr>
                <w:rFonts w:eastAsia="Verdana"/>
                <w:noProof/>
                <w:sz w:val="22"/>
                <w:szCs w:val="22"/>
              </w:rPr>
              <w:t>N/A</w:t>
            </w:r>
          </w:p>
        </w:tc>
      </w:tr>
      <w:tr w:rsidR="00A71942" w:rsidRPr="00EB6008" w14:paraId="140C9786"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036D52C2" w14:textId="77777777" w:rsidR="00A71942" w:rsidRPr="00EB6008" w:rsidRDefault="00A71942" w:rsidP="00E276C8">
            <w:pPr>
              <w:spacing w:after="120"/>
              <w:rPr>
                <w:noProof/>
                <w:sz w:val="22"/>
                <w:szCs w:val="22"/>
              </w:rPr>
            </w:pPr>
            <w:r w:rsidRPr="1FC5E705">
              <w:rPr>
                <w:rFonts w:eastAsia="Verdana"/>
                <w:b/>
                <w:bCs/>
                <w:noProof/>
                <w:sz w:val="22"/>
                <w:szCs w:val="22"/>
              </w:rPr>
              <w:t>What are the estimated direct benefits/cost savings for SMEs of the preferred policy option?</w:t>
            </w:r>
          </w:p>
        </w:tc>
      </w:tr>
      <w:tr w:rsidR="00A71942" w:rsidRPr="00EB6008" w14:paraId="06CC7E6A"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421DA840" w14:textId="77777777" w:rsidR="00A71942" w:rsidRPr="00EB6008" w:rsidRDefault="00A71942" w:rsidP="00E276C8">
            <w:pPr>
              <w:spacing w:after="120"/>
              <w:rPr>
                <w:noProof/>
                <w:sz w:val="22"/>
                <w:szCs w:val="22"/>
              </w:rPr>
            </w:pPr>
            <w:r w:rsidRPr="1FC5E705">
              <w:rPr>
                <w:rFonts w:eastAsia="Verdana"/>
                <w:b/>
                <w:bCs/>
                <w:noProof/>
                <w:sz w:val="22"/>
                <w:szCs w:val="22"/>
              </w:rPr>
              <w:t>Qualitative assessment</w:t>
            </w:r>
          </w:p>
        </w:tc>
      </w:tr>
      <w:tr w:rsidR="00A71942" w:rsidRPr="00EB6008" w14:paraId="02E4CF73"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E1A4FD8" w14:textId="77777777" w:rsidR="00A71942" w:rsidRPr="00EB6008" w:rsidRDefault="00A71942" w:rsidP="00E276C8">
            <w:pPr>
              <w:spacing w:after="120"/>
              <w:rPr>
                <w:rFonts w:eastAsia="Verdana"/>
                <w:noProof/>
                <w:sz w:val="22"/>
                <w:szCs w:val="22"/>
              </w:rPr>
            </w:pPr>
            <w:r w:rsidRPr="1FC5E705">
              <w:rPr>
                <w:rFonts w:eastAsia="Verdana"/>
                <w:noProof/>
                <w:sz w:val="22"/>
                <w:szCs w:val="22"/>
              </w:rPr>
              <w:t xml:space="preserve">The main benefit to SMEs is the positive economic impact of the policy options compared to the baseline. However, there are no direct monetary benefits specific to SMEs. </w:t>
            </w:r>
          </w:p>
          <w:p w14:paraId="0275F92C" w14:textId="77777777" w:rsidR="00A71942" w:rsidRPr="00EB6008" w:rsidRDefault="00A71942" w:rsidP="00E276C8">
            <w:pPr>
              <w:spacing w:after="120"/>
              <w:rPr>
                <w:noProof/>
                <w:color w:val="242828" w:themeColor="text1"/>
                <w:sz w:val="22"/>
                <w:szCs w:val="22"/>
              </w:rPr>
            </w:pPr>
            <w:r w:rsidRPr="1FC5E705">
              <w:rPr>
                <w:rFonts w:eastAsia="Verdana"/>
                <w:noProof/>
                <w:sz w:val="22"/>
                <w:szCs w:val="22"/>
              </w:rPr>
              <w:t xml:space="preserve">The main indirect benefit is the continued exclusion of small combustion installations through the 20 MW threshold, which avoids new ETS obligations for thousands of small emitters. For covered SMEs, the design of simplified MRV templates and guidance reduces complexity and moderates administrative burden compared with large operators. For maritime, </w:t>
            </w:r>
            <w:r w:rsidRPr="1FC5E705">
              <w:rPr>
                <w:noProof/>
                <w:color w:val="242828" w:themeColor="text1"/>
                <w:sz w:val="22"/>
                <w:szCs w:val="22"/>
              </w:rPr>
              <w:t xml:space="preserve">SMEs could benefit from the mechanism to support the uptake of sustainable renewable and low-carbon fuels and alternative propulsion technologies. </w:t>
            </w:r>
          </w:p>
        </w:tc>
      </w:tr>
      <w:tr w:rsidR="00A71942" w:rsidRPr="00EB6008" w14:paraId="0A9398A8"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EF726AE" w14:textId="77777777" w:rsidR="00A71942" w:rsidRPr="00EB6008" w:rsidRDefault="00A71942" w:rsidP="00E276C8">
            <w:pPr>
              <w:spacing w:after="120"/>
              <w:rPr>
                <w:noProof/>
                <w:sz w:val="22"/>
                <w:szCs w:val="22"/>
              </w:rPr>
            </w:pPr>
            <w:r w:rsidRPr="1FC5E705">
              <w:rPr>
                <w:rFonts w:eastAsia="Verdana"/>
                <w:b/>
                <w:bCs/>
                <w:noProof/>
                <w:sz w:val="22"/>
                <w:szCs w:val="22"/>
              </w:rPr>
              <w:t>Quantitative assessment</w:t>
            </w:r>
          </w:p>
        </w:tc>
      </w:tr>
      <w:tr w:rsidR="00A71942" w:rsidRPr="00EB6008" w14:paraId="457936AC"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5B5420BF" w14:textId="77777777" w:rsidR="00A71942" w:rsidRPr="00EB6008" w:rsidRDefault="00A71942" w:rsidP="00E276C8">
            <w:pPr>
              <w:spacing w:after="120"/>
              <w:rPr>
                <w:noProof/>
                <w:sz w:val="22"/>
                <w:szCs w:val="22"/>
              </w:rPr>
            </w:pPr>
            <w:r w:rsidRPr="1FC5E705">
              <w:rPr>
                <w:rFonts w:eastAsia="Verdana"/>
                <w:noProof/>
                <w:sz w:val="22"/>
                <w:szCs w:val="22"/>
              </w:rPr>
              <w:t>N/A</w:t>
            </w:r>
          </w:p>
        </w:tc>
      </w:tr>
      <w:tr w:rsidR="00A71942" w:rsidRPr="00EB6008" w14:paraId="07E7BC72"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563344EB" w14:textId="77777777" w:rsidR="00A71942" w:rsidRPr="00EB6008" w:rsidRDefault="00A71942" w:rsidP="00E276C8">
            <w:pPr>
              <w:spacing w:after="120"/>
              <w:rPr>
                <w:noProof/>
                <w:sz w:val="22"/>
                <w:szCs w:val="22"/>
              </w:rPr>
            </w:pPr>
            <w:r w:rsidRPr="1FC5E705">
              <w:rPr>
                <w:rFonts w:eastAsia="Verdana"/>
                <w:b/>
                <w:bCs/>
                <w:noProof/>
                <w:sz w:val="22"/>
                <w:szCs w:val="22"/>
              </w:rPr>
              <w:t xml:space="preserve">What are the indirect impacts of this initiative on SMEs? </w:t>
            </w:r>
            <w:r w:rsidRPr="1FC5E705">
              <w:rPr>
                <w:rFonts w:eastAsia="Verdana"/>
                <w:i/>
                <w:iCs/>
                <w:noProof/>
                <w:sz w:val="22"/>
                <w:szCs w:val="22"/>
              </w:rPr>
              <w:t>(Fill in only if step 1 flags indirect impacts)</w:t>
            </w:r>
          </w:p>
        </w:tc>
      </w:tr>
      <w:tr w:rsidR="00A71942" w:rsidRPr="00EB6008" w14:paraId="7282DD10"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035296B" w14:textId="77777777" w:rsidR="00A71942" w:rsidRPr="00EB6008" w:rsidRDefault="00A71942" w:rsidP="00E276C8">
            <w:pPr>
              <w:spacing w:after="120"/>
              <w:rPr>
                <w:noProof/>
                <w:sz w:val="22"/>
                <w:szCs w:val="22"/>
              </w:rPr>
            </w:pPr>
            <w:r w:rsidRPr="1FC5E705">
              <w:rPr>
                <w:rFonts w:eastAsia="Verdana"/>
                <w:noProof/>
                <w:sz w:val="22"/>
                <w:szCs w:val="22"/>
              </w:rPr>
              <w:t>SMEs not directly covered by the ETS might be affected indirectly through changes in carbon cost passed through from suppliers of energy or emission-intensive products. Annex 12 analyses the macroeconomic impact of post-2030 options phaseout regarding carbon leakage prevention, including for small installations.</w:t>
            </w:r>
          </w:p>
        </w:tc>
      </w:tr>
    </w:tbl>
    <w:p w14:paraId="21679DEF" w14:textId="77777777" w:rsidR="00A71942" w:rsidRPr="00EB6008" w:rsidRDefault="00A71942" w:rsidP="00E276C8">
      <w:pPr>
        <w:spacing w:line="240" w:lineRule="auto"/>
        <w:rPr>
          <w:noProof/>
          <w:sz w:val="22"/>
          <w:szCs w:val="22"/>
        </w:rPr>
      </w:pPr>
      <w:r w:rsidRPr="1FC5E705">
        <w:rPr>
          <w:rFonts w:eastAsia="Verdana"/>
          <w:b/>
          <w:bCs/>
          <w:noProof/>
          <w:sz w:val="22"/>
          <w:szCs w:val="22"/>
        </w:rPr>
        <w:t xml:space="preserve"> </w:t>
      </w:r>
    </w:p>
    <w:tbl>
      <w:tblPr>
        <w:tblStyle w:val="TableGrid"/>
        <w:tblW w:w="5194" w:type="pct"/>
        <w:tblInd w:w="-152" w:type="dxa"/>
        <w:tblLook w:val="04A0" w:firstRow="1" w:lastRow="0" w:firstColumn="1" w:lastColumn="0" w:noHBand="0" w:noVBand="1"/>
      </w:tblPr>
      <w:tblGrid>
        <w:gridCol w:w="9355"/>
      </w:tblGrid>
      <w:tr w:rsidR="00A71942" w:rsidRPr="00EB6008" w14:paraId="0DBB7BD1"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F229BB0" w14:textId="77777777" w:rsidR="00A71942" w:rsidRPr="00EB6008" w:rsidRDefault="00A71942" w:rsidP="00975687">
            <w:pPr>
              <w:pStyle w:val="ListParagraph"/>
              <w:numPr>
                <w:ilvl w:val="0"/>
                <w:numId w:val="75"/>
              </w:numPr>
              <w:spacing w:after="120"/>
              <w:contextualSpacing/>
              <w:rPr>
                <w:rFonts w:eastAsia="Verdana"/>
                <w:b/>
                <w:bCs/>
                <w:noProof/>
                <w:sz w:val="22"/>
                <w:szCs w:val="22"/>
              </w:rPr>
            </w:pPr>
            <w:r w:rsidRPr="1FC5E705">
              <w:rPr>
                <w:rFonts w:eastAsia="Verdana"/>
                <w:b/>
                <w:bCs/>
                <w:noProof/>
                <w:sz w:val="22"/>
                <w:szCs w:val="22"/>
              </w:rPr>
              <w:t>Minimising negative impacts on SMEs</w:t>
            </w:r>
          </w:p>
        </w:tc>
      </w:tr>
      <w:tr w:rsidR="00A71942" w:rsidRPr="00EB6008" w14:paraId="73252C68"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6C89C256" w14:textId="77777777" w:rsidR="00A71942" w:rsidRPr="00EB6008" w:rsidRDefault="00A71942" w:rsidP="00E276C8">
            <w:pPr>
              <w:spacing w:after="120"/>
              <w:rPr>
                <w:noProof/>
                <w:sz w:val="22"/>
                <w:szCs w:val="22"/>
              </w:rPr>
            </w:pPr>
            <w:r w:rsidRPr="1FC5E705">
              <w:rPr>
                <w:rFonts w:eastAsia="Verdana"/>
                <w:b/>
                <w:bCs/>
                <w:noProof/>
                <w:sz w:val="22"/>
                <w:szCs w:val="22"/>
              </w:rPr>
              <w:t xml:space="preserve">Are SMEs disproportionately affected compared to large companies? </w:t>
            </w:r>
            <w:r w:rsidRPr="1FC5E705">
              <w:rPr>
                <w:rFonts w:eastAsia="Verdana"/>
                <w:noProof/>
                <w:sz w:val="22"/>
                <w:szCs w:val="22"/>
              </w:rPr>
              <w:t>(</w:t>
            </w:r>
            <w:r w:rsidRPr="1FC5E705">
              <w:rPr>
                <w:rFonts w:eastAsia="Verdana"/>
                <w:i/>
                <w:iCs/>
                <w:noProof/>
                <w:sz w:val="22"/>
                <w:szCs w:val="22"/>
              </w:rPr>
              <w:t>Yes/No)</w:t>
            </w:r>
          </w:p>
          <w:p w14:paraId="7BF14D08" w14:textId="77777777" w:rsidR="00A71942" w:rsidRPr="00EB6008" w:rsidRDefault="00A71942" w:rsidP="00E276C8">
            <w:pPr>
              <w:spacing w:after="120"/>
              <w:rPr>
                <w:noProof/>
                <w:sz w:val="22"/>
                <w:szCs w:val="22"/>
              </w:rPr>
            </w:pPr>
            <w:r w:rsidRPr="1FC5E705">
              <w:rPr>
                <w:rFonts w:eastAsia="Verdana"/>
                <w:b/>
                <w:bCs/>
                <w:noProof/>
                <w:sz w:val="22"/>
                <w:szCs w:val="22"/>
              </w:rPr>
              <w:t>If yes, are there any specific subgroups</w:t>
            </w:r>
            <w:r w:rsidRPr="1FC5E705">
              <w:rPr>
                <w:rFonts w:eastAsia="Verdana"/>
                <w:noProof/>
                <w:sz w:val="22"/>
                <w:szCs w:val="22"/>
              </w:rPr>
              <w:t xml:space="preserve"> </w:t>
            </w:r>
            <w:r w:rsidRPr="1FC5E705">
              <w:rPr>
                <w:rFonts w:eastAsia="Verdana"/>
                <w:b/>
                <w:bCs/>
                <w:noProof/>
                <w:sz w:val="22"/>
                <w:szCs w:val="22"/>
              </w:rPr>
              <w:t>of SMEs more exposed than others?</w:t>
            </w:r>
          </w:p>
        </w:tc>
      </w:tr>
      <w:tr w:rsidR="00A71942" w:rsidRPr="00EB6008" w14:paraId="46EB82CB"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74257F66" w14:textId="77777777" w:rsidR="00A71942" w:rsidRPr="00EB6008" w:rsidRDefault="00A71942" w:rsidP="00E276C8">
            <w:pPr>
              <w:spacing w:after="120"/>
              <w:rPr>
                <w:rFonts w:eastAsia="Verdana"/>
                <w:noProof/>
                <w:sz w:val="22"/>
                <w:szCs w:val="22"/>
              </w:rPr>
            </w:pPr>
            <w:r w:rsidRPr="1FC5E705">
              <w:rPr>
                <w:rFonts w:eastAsia="Verdana"/>
                <w:noProof/>
                <w:sz w:val="22"/>
                <w:szCs w:val="22"/>
              </w:rPr>
              <w:t xml:space="preserve">SMEs are not disproportionately affected since they are generally less exposed to the scope of the ETS. </w:t>
            </w:r>
          </w:p>
          <w:p w14:paraId="5D95625D" w14:textId="77777777" w:rsidR="00A71942" w:rsidRPr="00EB6008" w:rsidRDefault="00A71942" w:rsidP="00E276C8">
            <w:pPr>
              <w:spacing w:after="120"/>
              <w:rPr>
                <w:noProof/>
                <w:sz w:val="22"/>
                <w:szCs w:val="22"/>
              </w:rPr>
            </w:pPr>
            <w:r w:rsidRPr="1FC5E705">
              <w:rPr>
                <w:rFonts w:eastAsia="Verdana"/>
                <w:noProof/>
                <w:sz w:val="22"/>
                <w:szCs w:val="22"/>
              </w:rPr>
              <w:t>SMEs covered by the EU ETS, operating in energy-intensive industrial sectors, face higher compliance effort relative to output, but these are not exacerbated by the options considered. Furthermore, the EU ETS contains a number of provisions aimed at small emitters which are retained in this initiative, such as the 20 MW exemption threshold, the possibility for Member States to exclude small installations subject to equivalent national measures, and simplified MRV templates and guidance.</w:t>
            </w:r>
          </w:p>
        </w:tc>
      </w:tr>
      <w:tr w:rsidR="00A71942" w:rsidRPr="00EB6008" w14:paraId="73FEF803"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54058CFF" w14:textId="77777777" w:rsidR="00A71942" w:rsidRPr="00EB6008" w:rsidRDefault="00A71942" w:rsidP="00E276C8">
            <w:pPr>
              <w:spacing w:after="120"/>
              <w:rPr>
                <w:noProof/>
                <w:sz w:val="22"/>
                <w:szCs w:val="22"/>
              </w:rPr>
            </w:pPr>
            <w:r w:rsidRPr="1FC5E705">
              <w:rPr>
                <w:rFonts w:eastAsia="Verdana"/>
                <w:b/>
                <w:bCs/>
                <w:noProof/>
                <w:sz w:val="22"/>
                <w:szCs w:val="22"/>
              </w:rPr>
              <w:t xml:space="preserve">Have mitigating measures been included in the preferred option/proposal? </w:t>
            </w:r>
            <w:r w:rsidRPr="1FC5E705">
              <w:rPr>
                <w:rFonts w:eastAsia="Verdana"/>
                <w:noProof/>
                <w:sz w:val="22"/>
                <w:szCs w:val="22"/>
              </w:rPr>
              <w:t xml:space="preserve">(Yes/No) </w:t>
            </w:r>
          </w:p>
        </w:tc>
      </w:tr>
      <w:tr w:rsidR="00A71942" w:rsidRPr="00EB6008" w14:paraId="1E0081B2"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77D8214" w14:textId="77777777" w:rsidR="00A71942" w:rsidRPr="00EB6008" w:rsidRDefault="00A71942" w:rsidP="00E276C8">
            <w:pPr>
              <w:spacing w:after="120"/>
              <w:rPr>
                <w:noProof/>
                <w:sz w:val="22"/>
                <w:szCs w:val="22"/>
              </w:rPr>
            </w:pPr>
            <w:r w:rsidRPr="1FC5E705">
              <w:rPr>
                <w:rFonts w:eastAsia="Verdana"/>
                <w:noProof/>
                <w:sz w:val="22"/>
                <w:szCs w:val="22"/>
              </w:rPr>
              <w:t>Yes. Key measures include:</w:t>
            </w:r>
          </w:p>
          <w:p w14:paraId="44F3FDD3" w14:textId="77777777" w:rsidR="00A71942" w:rsidRPr="00EB6008" w:rsidRDefault="00A71942" w:rsidP="00975687">
            <w:pPr>
              <w:pStyle w:val="ListParagraph"/>
              <w:numPr>
                <w:ilvl w:val="0"/>
                <w:numId w:val="73"/>
              </w:numPr>
              <w:spacing w:after="120"/>
              <w:ind w:left="1080"/>
              <w:contextualSpacing/>
              <w:rPr>
                <w:rFonts w:eastAsia="Verdana"/>
                <w:noProof/>
                <w:sz w:val="22"/>
                <w:szCs w:val="22"/>
              </w:rPr>
            </w:pPr>
            <w:r w:rsidRPr="1FC5E705">
              <w:rPr>
                <w:rFonts w:eastAsia="Verdana"/>
                <w:noProof/>
                <w:sz w:val="22"/>
                <w:szCs w:val="22"/>
              </w:rPr>
              <w:t>Maintaining the 20MW threshold</w:t>
            </w:r>
          </w:p>
          <w:p w14:paraId="5F5D6935" w14:textId="77777777" w:rsidR="00A71942" w:rsidRPr="00EB6008" w:rsidRDefault="00A71942" w:rsidP="00975687">
            <w:pPr>
              <w:pStyle w:val="ListParagraph"/>
              <w:numPr>
                <w:ilvl w:val="0"/>
                <w:numId w:val="73"/>
              </w:numPr>
              <w:spacing w:after="120"/>
              <w:ind w:left="1080"/>
              <w:contextualSpacing/>
              <w:rPr>
                <w:rFonts w:eastAsia="Verdana"/>
                <w:noProof/>
                <w:sz w:val="22"/>
                <w:szCs w:val="22"/>
              </w:rPr>
            </w:pPr>
            <w:r w:rsidRPr="1FC5E705">
              <w:rPr>
                <w:rFonts w:eastAsia="Verdana"/>
                <w:noProof/>
                <w:sz w:val="22"/>
                <w:szCs w:val="22"/>
              </w:rPr>
              <w:t>Streamlined and simplified MRV requirements (benefitting mainly  smaller operators), such as</w:t>
            </w:r>
          </w:p>
          <w:p w14:paraId="1D9A0321" w14:textId="77777777" w:rsidR="00A71942" w:rsidRPr="00EB6008" w:rsidRDefault="00A71942" w:rsidP="00975687">
            <w:pPr>
              <w:pStyle w:val="ListParagraph"/>
              <w:numPr>
                <w:ilvl w:val="1"/>
                <w:numId w:val="73"/>
              </w:numPr>
              <w:spacing w:after="120"/>
              <w:contextualSpacing/>
              <w:rPr>
                <w:rFonts w:eastAsia="Verdana"/>
                <w:noProof/>
                <w:sz w:val="22"/>
                <w:szCs w:val="22"/>
              </w:rPr>
            </w:pPr>
            <w:r w:rsidRPr="1FC5E705">
              <w:rPr>
                <w:rFonts w:eastAsia="Verdana"/>
                <w:noProof/>
                <w:sz w:val="22"/>
                <w:szCs w:val="22"/>
              </w:rPr>
              <w:t>The implementation of digital tools, such as the Commission reporting tool ERT</w:t>
            </w:r>
          </w:p>
          <w:p w14:paraId="3876B98B" w14:textId="77777777" w:rsidR="00A71942" w:rsidRPr="00EB6008" w:rsidRDefault="00A71942" w:rsidP="00975687">
            <w:pPr>
              <w:pStyle w:val="ListParagraph"/>
              <w:numPr>
                <w:ilvl w:val="1"/>
                <w:numId w:val="73"/>
              </w:numPr>
              <w:spacing w:after="120"/>
              <w:contextualSpacing/>
              <w:rPr>
                <w:rFonts w:eastAsia="Verdana"/>
                <w:noProof/>
                <w:sz w:val="22"/>
                <w:szCs w:val="22"/>
              </w:rPr>
            </w:pPr>
            <w:r w:rsidRPr="1FC5E705">
              <w:rPr>
                <w:rFonts w:eastAsia="Verdana"/>
                <w:noProof/>
                <w:sz w:val="22"/>
                <w:szCs w:val="22"/>
              </w:rPr>
              <w:t>Streamline approval processes with national Competent Authorities, such as which type of modifications of the Monitoring Plan require approvals.</w:t>
            </w:r>
          </w:p>
          <w:p w14:paraId="3DB8D7F2" w14:textId="77777777" w:rsidR="00A71942" w:rsidRPr="00EB6008" w:rsidRDefault="00A71942" w:rsidP="00975687">
            <w:pPr>
              <w:pStyle w:val="ListParagraph"/>
              <w:numPr>
                <w:ilvl w:val="1"/>
                <w:numId w:val="73"/>
              </w:numPr>
              <w:spacing w:after="120"/>
              <w:contextualSpacing/>
              <w:rPr>
                <w:rFonts w:eastAsia="Verdana"/>
                <w:noProof/>
                <w:sz w:val="22"/>
                <w:szCs w:val="22"/>
              </w:rPr>
            </w:pPr>
            <w:r w:rsidRPr="1FC5E705">
              <w:rPr>
                <w:rFonts w:eastAsia="Verdana"/>
                <w:noProof/>
                <w:sz w:val="22"/>
                <w:szCs w:val="22"/>
              </w:rPr>
              <w:t>Changes of requirements for site visits</w:t>
            </w:r>
          </w:p>
          <w:p w14:paraId="77413F92" w14:textId="77777777" w:rsidR="00A71942" w:rsidRPr="00EB6008" w:rsidRDefault="00A71942" w:rsidP="00975687">
            <w:pPr>
              <w:pStyle w:val="ListParagraph"/>
              <w:numPr>
                <w:ilvl w:val="1"/>
                <w:numId w:val="73"/>
              </w:numPr>
              <w:spacing w:after="120"/>
              <w:contextualSpacing/>
              <w:rPr>
                <w:rFonts w:eastAsia="Verdana"/>
                <w:noProof/>
                <w:sz w:val="22"/>
                <w:szCs w:val="22"/>
              </w:rPr>
            </w:pPr>
            <w:r w:rsidRPr="1FC5E705">
              <w:rPr>
                <w:rFonts w:eastAsia="Verdana"/>
                <w:noProof/>
                <w:sz w:val="22"/>
                <w:szCs w:val="22"/>
              </w:rPr>
              <w:t>Relaxing monitoring accuracy requirements</w:t>
            </w:r>
          </w:p>
          <w:p w14:paraId="1D30AA05" w14:textId="77777777" w:rsidR="00A71942" w:rsidRPr="00EB6008" w:rsidRDefault="00A71942" w:rsidP="00975687">
            <w:pPr>
              <w:pStyle w:val="ListParagraph"/>
              <w:numPr>
                <w:ilvl w:val="1"/>
                <w:numId w:val="73"/>
              </w:numPr>
              <w:spacing w:after="120"/>
              <w:contextualSpacing/>
              <w:rPr>
                <w:rFonts w:eastAsia="Verdana"/>
                <w:noProof/>
                <w:sz w:val="22"/>
                <w:szCs w:val="22"/>
              </w:rPr>
            </w:pPr>
            <w:r w:rsidRPr="1FC5E705">
              <w:rPr>
                <w:rFonts w:eastAsia="Verdana"/>
                <w:noProof/>
                <w:sz w:val="22"/>
                <w:szCs w:val="22"/>
              </w:rPr>
              <w:t>Further simplifications for small installations (or small source streams), such as increase of standard or default values</w:t>
            </w:r>
          </w:p>
          <w:p w14:paraId="6EF73D88" w14:textId="77777777" w:rsidR="00A71942" w:rsidRPr="00EB6008" w:rsidRDefault="00A71942" w:rsidP="00975687">
            <w:pPr>
              <w:pStyle w:val="ListParagraph"/>
              <w:numPr>
                <w:ilvl w:val="0"/>
                <w:numId w:val="73"/>
              </w:numPr>
              <w:spacing w:after="120"/>
              <w:ind w:left="1080"/>
              <w:contextualSpacing/>
              <w:rPr>
                <w:rFonts w:eastAsia="Verdana"/>
                <w:noProof/>
                <w:sz w:val="22"/>
                <w:szCs w:val="22"/>
              </w:rPr>
            </w:pPr>
            <w:r w:rsidRPr="1FC5E705">
              <w:rPr>
                <w:rFonts w:eastAsia="Verdana"/>
                <w:noProof/>
                <w:sz w:val="22"/>
                <w:szCs w:val="22"/>
              </w:rPr>
              <w:t>The simplification measures proposed in the maritime transport sector should help shipping companies exploit synergies across different regulatory frameworks, minimise undue burden, and ultimately reduce administrative compliance costs.  According to conservative estimates, these measures have the potential to reduce current annual MRV compliance costs by 10% - 20%.</w:t>
            </w:r>
          </w:p>
        </w:tc>
      </w:tr>
    </w:tbl>
    <w:p w14:paraId="147C43BD" w14:textId="77777777" w:rsidR="00A71942" w:rsidRPr="00EB6008" w:rsidRDefault="00A71942" w:rsidP="00E276C8">
      <w:pPr>
        <w:spacing w:line="240" w:lineRule="auto"/>
        <w:rPr>
          <w:noProof/>
          <w:sz w:val="22"/>
          <w:szCs w:val="22"/>
        </w:rPr>
      </w:pPr>
      <w:r w:rsidRPr="1FC5E705">
        <w:rPr>
          <w:rFonts w:eastAsia="Verdana"/>
          <w:b/>
          <w:bCs/>
          <w:noProof/>
          <w:sz w:val="22"/>
          <w:szCs w:val="22"/>
        </w:rPr>
        <w:t xml:space="preserve"> </w:t>
      </w:r>
    </w:p>
    <w:tbl>
      <w:tblPr>
        <w:tblStyle w:val="TableGrid"/>
        <w:tblW w:w="5194" w:type="pct"/>
        <w:tblInd w:w="-152" w:type="dxa"/>
        <w:tblLook w:val="06A0" w:firstRow="1" w:lastRow="0" w:firstColumn="1" w:lastColumn="0" w:noHBand="1" w:noVBand="1"/>
      </w:tblPr>
      <w:tblGrid>
        <w:gridCol w:w="9355"/>
      </w:tblGrid>
      <w:tr w:rsidR="00A71942" w:rsidRPr="00EB6008" w14:paraId="5E948884"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7E3F545E" w14:textId="77777777" w:rsidR="00A71942" w:rsidRPr="00EB6008" w:rsidRDefault="00A71942" w:rsidP="00E276C8">
            <w:pPr>
              <w:spacing w:after="120"/>
              <w:rPr>
                <w:noProof/>
                <w:sz w:val="22"/>
                <w:szCs w:val="22"/>
              </w:rPr>
            </w:pPr>
            <w:r w:rsidRPr="1FC5E705">
              <w:rPr>
                <w:rFonts w:eastAsia="Verdana"/>
                <w:b/>
                <w:bCs/>
                <w:noProof/>
                <w:sz w:val="22"/>
                <w:szCs w:val="22"/>
              </w:rPr>
              <w:t>Contribution to the 35% burden reduction target for SMEs</w:t>
            </w:r>
          </w:p>
        </w:tc>
      </w:tr>
      <w:tr w:rsidR="00A71942" w:rsidRPr="00EB6008" w14:paraId="34289D6F"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03461F3A" w14:textId="77777777" w:rsidR="00A71942" w:rsidRPr="00EB6008" w:rsidRDefault="00A71942" w:rsidP="00E276C8">
            <w:pPr>
              <w:spacing w:after="120"/>
              <w:rPr>
                <w:noProof/>
                <w:sz w:val="22"/>
                <w:szCs w:val="22"/>
              </w:rPr>
            </w:pPr>
            <w:r w:rsidRPr="1FC5E705">
              <w:rPr>
                <w:rFonts w:eastAsia="Verdana"/>
                <w:b/>
                <w:bCs/>
                <w:noProof/>
                <w:sz w:val="22"/>
                <w:szCs w:val="22"/>
              </w:rPr>
              <w:t>Are there any administrative cost savings relevant for the 35% burden reduction target for SMEs?</w:t>
            </w:r>
          </w:p>
        </w:tc>
      </w:tr>
      <w:tr w:rsidR="00A71942" w:rsidRPr="00EB6008" w14:paraId="63C4B58F" w14:textId="77777777" w:rsidTr="1FC5E705">
        <w:trPr>
          <w:trHeight w:val="300"/>
        </w:trPr>
        <w:tc>
          <w:tcPr>
            <w:tcW w:w="5000" w:type="pct"/>
            <w:tcBorders>
              <w:top w:val="single" w:sz="8" w:space="0" w:color="auto"/>
              <w:left w:val="single" w:sz="8" w:space="0" w:color="auto"/>
              <w:bottom w:val="single" w:sz="8" w:space="0" w:color="auto"/>
              <w:right w:val="single" w:sz="8" w:space="0" w:color="auto"/>
            </w:tcBorders>
            <w:tcMar>
              <w:left w:w="108" w:type="dxa"/>
              <w:right w:w="108" w:type="dxa"/>
            </w:tcMar>
          </w:tcPr>
          <w:p w14:paraId="152C68FF" w14:textId="77777777" w:rsidR="00A71942" w:rsidRPr="00EB6008" w:rsidRDefault="00A71942" w:rsidP="00E276C8">
            <w:pPr>
              <w:spacing w:after="120"/>
              <w:rPr>
                <w:noProof/>
                <w:sz w:val="22"/>
                <w:szCs w:val="22"/>
              </w:rPr>
            </w:pPr>
            <w:r w:rsidRPr="1FC5E705">
              <w:rPr>
                <w:rFonts w:eastAsia="Verdana"/>
                <w:noProof/>
                <w:sz w:val="22"/>
                <w:szCs w:val="22"/>
              </w:rPr>
              <w:t>N/A</w:t>
            </w:r>
          </w:p>
        </w:tc>
      </w:tr>
    </w:tbl>
    <w:p w14:paraId="0C760E43" w14:textId="77777777" w:rsidR="00A71942" w:rsidRPr="003737CF" w:rsidRDefault="00A71942" w:rsidP="00E276C8">
      <w:pPr>
        <w:spacing w:line="240" w:lineRule="auto"/>
        <w:rPr>
          <w:noProof/>
        </w:rPr>
      </w:pPr>
      <w:r w:rsidRPr="1FC5E705">
        <w:rPr>
          <w:rFonts w:eastAsia="Verdana"/>
          <w:noProof/>
        </w:rPr>
        <w:t xml:space="preserve"> </w:t>
      </w:r>
    </w:p>
    <w:p w14:paraId="280DD59E" w14:textId="77777777" w:rsidR="00A71942" w:rsidRPr="003737CF" w:rsidRDefault="00A71942" w:rsidP="00E276C8">
      <w:pPr>
        <w:spacing w:line="240" w:lineRule="auto"/>
        <w:rPr>
          <w:noProof/>
        </w:rPr>
      </w:pPr>
    </w:p>
    <w:p w14:paraId="35C8C77F" w14:textId="77777777" w:rsidR="00A71942" w:rsidRPr="001C1144" w:rsidRDefault="00A71942" w:rsidP="00E276C8">
      <w:pPr>
        <w:spacing w:line="240" w:lineRule="auto"/>
        <w:rPr>
          <w:noProof/>
          <w:lang w:val="en-IE"/>
        </w:rPr>
      </w:pPr>
    </w:p>
    <w:p w14:paraId="729A1658" w14:textId="77777777" w:rsidR="00A71942" w:rsidRDefault="00A71942" w:rsidP="00E276C8">
      <w:pPr>
        <w:spacing w:line="240" w:lineRule="auto"/>
        <w:rPr>
          <w:noProof/>
          <w:sz w:val="22"/>
          <w:szCs w:val="22"/>
        </w:rPr>
        <w:sectPr w:rsidR="00A71942" w:rsidSect="00A71942">
          <w:headerReference w:type="default" r:id="rId55"/>
          <w:footerReference w:type="default" r:id="rId56"/>
          <w:headerReference w:type="first" r:id="rId57"/>
          <w:footerReference w:type="first" r:id="rId58"/>
          <w:pgSz w:w="11906" w:h="16838"/>
          <w:pgMar w:top="1440" w:right="1440" w:bottom="1440" w:left="1440" w:header="601" w:footer="1077" w:gutter="0"/>
          <w:cols w:space="720"/>
          <w:titlePg/>
          <w:docGrid w:linePitch="326"/>
        </w:sectPr>
      </w:pPr>
    </w:p>
    <w:p w14:paraId="1C582B8D" w14:textId="77777777" w:rsidR="00A71942" w:rsidRPr="00BA156F" w:rsidRDefault="00A71942" w:rsidP="00E276C8">
      <w:pPr>
        <w:spacing w:line="240" w:lineRule="auto"/>
        <w:jc w:val="left"/>
        <w:rPr>
          <w:noProof/>
          <w:sz w:val="22"/>
          <w:szCs w:val="22"/>
        </w:rPr>
      </w:pPr>
      <w:bookmarkStart w:id="507" w:name="_Toc211963552"/>
      <w:bookmarkStart w:id="508" w:name="_Toc219466674"/>
    </w:p>
    <w:p w14:paraId="7D8B842E" w14:textId="77777777" w:rsidR="00A71942" w:rsidRDefault="00A71942" w:rsidP="00E276C8">
      <w:pPr>
        <w:pStyle w:val="AnnexTitle"/>
        <w:spacing w:before="120" w:after="120" w:line="240" w:lineRule="auto"/>
        <w:rPr>
          <w:noProof/>
        </w:rPr>
      </w:pPr>
      <w:bookmarkStart w:id="509" w:name="_Toc232758203"/>
      <w:r>
        <w:rPr>
          <w:noProof/>
        </w:rPr>
        <w:t xml:space="preserve">Annex 7: </w:t>
      </w:r>
      <w:bookmarkEnd w:id="507"/>
      <w:r>
        <w:rPr>
          <w:noProof/>
        </w:rPr>
        <w:t xml:space="preserve">Problem definition, detailed baseline and policy </w:t>
      </w:r>
      <w:bookmarkEnd w:id="508"/>
      <w:r>
        <w:rPr>
          <w:noProof/>
        </w:rPr>
        <w:t xml:space="preserve"> measures</w:t>
      </w:r>
      <w:bookmarkEnd w:id="509"/>
    </w:p>
    <w:p w14:paraId="6C5ACF3F" w14:textId="77777777" w:rsidR="00A71942" w:rsidRPr="002B0D84" w:rsidRDefault="00A71942" w:rsidP="00E276C8">
      <w:pPr>
        <w:pStyle w:val="Heading1COM"/>
        <w:numPr>
          <w:ilvl w:val="0"/>
          <w:numId w:val="0"/>
        </w:numPr>
        <w:spacing w:before="120" w:after="120" w:line="240" w:lineRule="auto"/>
        <w:ind w:left="360"/>
        <w:outlineLvl w:val="1"/>
        <w:rPr>
          <w:noProof/>
        </w:rPr>
      </w:pPr>
      <w:bookmarkStart w:id="510" w:name="_Toc232758204"/>
      <w:bookmarkStart w:id="511" w:name="_Toc232611521"/>
      <w:r>
        <w:rPr>
          <w:noProof/>
        </w:rPr>
        <w:t>List of Tables</w:t>
      </w:r>
      <w:bookmarkEnd w:id="510"/>
    </w:p>
    <w:p w14:paraId="72CD8B83" w14:textId="3B11B9AA"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r>
        <w:rPr>
          <w:noProof/>
        </w:rPr>
        <w:fldChar w:fldCharType="begin"/>
      </w:r>
      <w:r w:rsidRPr="002B0D84">
        <w:rPr>
          <w:noProof/>
        </w:rPr>
        <w:instrText xml:space="preserve"> TOC \h \z \t "Table title" \c </w:instrText>
      </w:r>
      <w:r>
        <w:rPr>
          <w:noProof/>
        </w:rPr>
        <w:fldChar w:fldCharType="separate"/>
      </w:r>
      <w:hyperlink w:anchor="_Toc232672610" w:history="1">
        <w:r w:rsidRPr="1FC5E705">
          <w:rPr>
            <w:rStyle w:val="Hyperlink"/>
            <w:noProof/>
          </w:rPr>
          <w:t>Table 1:</w:t>
        </w:r>
        <w:r>
          <w:rPr>
            <w:noProof/>
          </w:rPr>
          <w:tab/>
        </w:r>
        <w:r w:rsidRPr="1FC5E705">
          <w:rPr>
            <w:rStyle w:val="Hyperlink"/>
            <w:noProof/>
          </w:rPr>
          <w:t>Baseline cap trajectory.</w:t>
        </w:r>
        <w:r>
          <w:rPr>
            <w:noProof/>
          </w:rPr>
          <w:tab/>
        </w:r>
        <w:r>
          <w:rPr>
            <w:noProof/>
            <w:webHidden/>
          </w:rPr>
          <w:fldChar w:fldCharType="begin"/>
        </w:r>
        <w:r>
          <w:rPr>
            <w:noProof/>
            <w:webHidden/>
          </w:rPr>
          <w:instrText xml:space="preserve"> PAGEREF _Toc232672610 \h </w:instrText>
        </w:r>
        <w:r>
          <w:rPr>
            <w:noProof/>
            <w:webHidden/>
          </w:rPr>
        </w:r>
        <w:r>
          <w:rPr>
            <w:noProof/>
            <w:webHidden/>
          </w:rPr>
          <w:fldChar w:fldCharType="separate"/>
        </w:r>
        <w:r w:rsidR="00D749DC">
          <w:rPr>
            <w:noProof/>
            <w:webHidden/>
          </w:rPr>
          <w:t>105</w:t>
        </w:r>
        <w:r>
          <w:rPr>
            <w:noProof/>
            <w:webHidden/>
          </w:rPr>
          <w:fldChar w:fldCharType="end"/>
        </w:r>
      </w:hyperlink>
    </w:p>
    <w:p w14:paraId="526E0285" w14:textId="05128094"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1" w:history="1">
        <w:r w:rsidRPr="1FC5E705">
          <w:rPr>
            <w:rStyle w:val="Hyperlink"/>
            <w:noProof/>
          </w:rPr>
          <w:t>Table 2:</w:t>
        </w:r>
        <w:r>
          <w:rPr>
            <w:noProof/>
          </w:rPr>
          <w:tab/>
        </w:r>
        <w:r w:rsidRPr="1FC5E705">
          <w:rPr>
            <w:rStyle w:val="Hyperlink"/>
            <w:noProof/>
          </w:rPr>
          <w:t>Policy measures for carbon removals</w:t>
        </w:r>
        <w:r>
          <w:rPr>
            <w:noProof/>
          </w:rPr>
          <w:tab/>
        </w:r>
        <w:r>
          <w:rPr>
            <w:noProof/>
            <w:webHidden/>
          </w:rPr>
          <w:fldChar w:fldCharType="begin"/>
        </w:r>
        <w:r>
          <w:rPr>
            <w:noProof/>
            <w:webHidden/>
          </w:rPr>
          <w:instrText xml:space="preserve"> PAGEREF _Toc232672611 \h </w:instrText>
        </w:r>
        <w:r>
          <w:rPr>
            <w:noProof/>
            <w:webHidden/>
          </w:rPr>
        </w:r>
        <w:r>
          <w:rPr>
            <w:noProof/>
            <w:webHidden/>
          </w:rPr>
          <w:fldChar w:fldCharType="separate"/>
        </w:r>
        <w:r w:rsidR="00D749DC">
          <w:rPr>
            <w:noProof/>
            <w:webHidden/>
          </w:rPr>
          <w:t>111</w:t>
        </w:r>
        <w:r>
          <w:rPr>
            <w:noProof/>
            <w:webHidden/>
          </w:rPr>
          <w:fldChar w:fldCharType="end"/>
        </w:r>
      </w:hyperlink>
    </w:p>
    <w:p w14:paraId="616391BD" w14:textId="3C5B99E3"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2" w:history="1">
        <w:r w:rsidRPr="1FC5E705">
          <w:rPr>
            <w:rStyle w:val="Hyperlink"/>
            <w:noProof/>
          </w:rPr>
          <w:t>Table 3:</w:t>
        </w:r>
        <w:r>
          <w:rPr>
            <w:noProof/>
          </w:rPr>
          <w:tab/>
        </w:r>
        <w:r w:rsidRPr="1FC5E705">
          <w:rPr>
            <w:rStyle w:val="Hyperlink"/>
            <w:noProof/>
          </w:rPr>
          <w:t>Policy measures for MSR</w:t>
        </w:r>
        <w:r>
          <w:rPr>
            <w:noProof/>
          </w:rPr>
          <w:tab/>
        </w:r>
        <w:r>
          <w:rPr>
            <w:noProof/>
            <w:webHidden/>
          </w:rPr>
          <w:fldChar w:fldCharType="begin"/>
        </w:r>
        <w:r>
          <w:rPr>
            <w:noProof/>
            <w:webHidden/>
          </w:rPr>
          <w:instrText xml:space="preserve"> PAGEREF _Toc232672612 \h </w:instrText>
        </w:r>
        <w:r>
          <w:rPr>
            <w:noProof/>
            <w:webHidden/>
          </w:rPr>
        </w:r>
        <w:r>
          <w:rPr>
            <w:noProof/>
            <w:webHidden/>
          </w:rPr>
          <w:fldChar w:fldCharType="separate"/>
        </w:r>
        <w:r w:rsidR="00D749DC">
          <w:rPr>
            <w:noProof/>
            <w:webHidden/>
          </w:rPr>
          <w:t>112</w:t>
        </w:r>
        <w:r>
          <w:rPr>
            <w:noProof/>
            <w:webHidden/>
          </w:rPr>
          <w:fldChar w:fldCharType="end"/>
        </w:r>
      </w:hyperlink>
    </w:p>
    <w:p w14:paraId="43DAEF4E" w14:textId="17B79492"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3" w:history="1">
        <w:r w:rsidRPr="1FC5E705">
          <w:rPr>
            <w:rStyle w:val="Hyperlink"/>
            <w:noProof/>
          </w:rPr>
          <w:t>Table 4:</w:t>
        </w:r>
        <w:r>
          <w:rPr>
            <w:noProof/>
          </w:rPr>
          <w:tab/>
        </w:r>
        <w:r w:rsidRPr="1FC5E705">
          <w:rPr>
            <w:rStyle w:val="Hyperlink"/>
            <w:noProof/>
          </w:rPr>
          <w:t>Policy measures for IDB allocation mechanism</w:t>
        </w:r>
        <w:r>
          <w:rPr>
            <w:noProof/>
          </w:rPr>
          <w:tab/>
        </w:r>
        <w:r>
          <w:rPr>
            <w:noProof/>
            <w:webHidden/>
          </w:rPr>
          <w:fldChar w:fldCharType="begin"/>
        </w:r>
        <w:r>
          <w:rPr>
            <w:noProof/>
            <w:webHidden/>
          </w:rPr>
          <w:instrText xml:space="preserve"> PAGEREF _Toc232672613 \h </w:instrText>
        </w:r>
        <w:r>
          <w:rPr>
            <w:noProof/>
            <w:webHidden/>
          </w:rPr>
        </w:r>
        <w:r>
          <w:rPr>
            <w:noProof/>
            <w:webHidden/>
          </w:rPr>
          <w:fldChar w:fldCharType="separate"/>
        </w:r>
        <w:r w:rsidR="00D749DC">
          <w:rPr>
            <w:noProof/>
            <w:webHidden/>
          </w:rPr>
          <w:t>114</w:t>
        </w:r>
        <w:r>
          <w:rPr>
            <w:noProof/>
            <w:webHidden/>
          </w:rPr>
          <w:fldChar w:fldCharType="end"/>
        </w:r>
      </w:hyperlink>
    </w:p>
    <w:p w14:paraId="411B4F8A" w14:textId="4FED0005"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4" w:history="1">
        <w:r w:rsidRPr="1FC5E705">
          <w:rPr>
            <w:rStyle w:val="Hyperlink"/>
            <w:noProof/>
          </w:rPr>
          <w:t>Table 5:</w:t>
        </w:r>
        <w:r>
          <w:rPr>
            <w:noProof/>
          </w:rPr>
          <w:tab/>
        </w:r>
        <w:r w:rsidRPr="1FC5E705">
          <w:rPr>
            <w:rStyle w:val="Hyperlink"/>
            <w:noProof/>
          </w:rPr>
          <w:t>Policy measures for IDB type of support</w:t>
        </w:r>
        <w:r>
          <w:rPr>
            <w:noProof/>
          </w:rPr>
          <w:tab/>
        </w:r>
        <w:r>
          <w:rPr>
            <w:noProof/>
            <w:webHidden/>
          </w:rPr>
          <w:fldChar w:fldCharType="begin"/>
        </w:r>
        <w:r>
          <w:rPr>
            <w:noProof/>
            <w:webHidden/>
          </w:rPr>
          <w:instrText xml:space="preserve"> PAGEREF _Toc232672614 \h </w:instrText>
        </w:r>
        <w:r>
          <w:rPr>
            <w:noProof/>
            <w:webHidden/>
          </w:rPr>
        </w:r>
        <w:r>
          <w:rPr>
            <w:noProof/>
            <w:webHidden/>
          </w:rPr>
          <w:fldChar w:fldCharType="separate"/>
        </w:r>
        <w:r w:rsidR="00D749DC">
          <w:rPr>
            <w:noProof/>
            <w:webHidden/>
          </w:rPr>
          <w:t>114</w:t>
        </w:r>
        <w:r>
          <w:rPr>
            <w:noProof/>
            <w:webHidden/>
          </w:rPr>
          <w:fldChar w:fldCharType="end"/>
        </w:r>
      </w:hyperlink>
    </w:p>
    <w:p w14:paraId="4FC7308E" w14:textId="4F1EBE5A"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5" w:history="1">
        <w:r w:rsidRPr="1FC5E705">
          <w:rPr>
            <w:rStyle w:val="Hyperlink"/>
            <w:noProof/>
            <w:lang w:eastAsia="en-GB"/>
          </w:rPr>
          <w:t>Table 6:</w:t>
        </w:r>
        <w:r>
          <w:rPr>
            <w:noProof/>
          </w:rPr>
          <w:tab/>
        </w:r>
        <w:r w:rsidRPr="1FC5E705">
          <w:rPr>
            <w:rStyle w:val="Hyperlink"/>
            <w:noProof/>
            <w:lang w:eastAsia="en-GB"/>
          </w:rPr>
          <w:t>Policy measures for IDB geographical distribution</w:t>
        </w:r>
        <w:r>
          <w:rPr>
            <w:noProof/>
          </w:rPr>
          <w:tab/>
        </w:r>
        <w:r>
          <w:rPr>
            <w:noProof/>
            <w:webHidden/>
          </w:rPr>
          <w:fldChar w:fldCharType="begin"/>
        </w:r>
        <w:r>
          <w:rPr>
            <w:noProof/>
            <w:webHidden/>
          </w:rPr>
          <w:instrText xml:space="preserve"> PAGEREF _Toc232672615 \h </w:instrText>
        </w:r>
        <w:r>
          <w:rPr>
            <w:noProof/>
            <w:webHidden/>
          </w:rPr>
        </w:r>
        <w:r>
          <w:rPr>
            <w:noProof/>
            <w:webHidden/>
          </w:rPr>
          <w:fldChar w:fldCharType="separate"/>
        </w:r>
        <w:r w:rsidR="00D749DC">
          <w:rPr>
            <w:noProof/>
            <w:webHidden/>
          </w:rPr>
          <w:t>114</w:t>
        </w:r>
        <w:r>
          <w:rPr>
            <w:noProof/>
            <w:webHidden/>
          </w:rPr>
          <w:fldChar w:fldCharType="end"/>
        </w:r>
      </w:hyperlink>
    </w:p>
    <w:p w14:paraId="279EA61B" w14:textId="1B871599"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6" w:history="1">
        <w:r w:rsidRPr="1FC5E705">
          <w:rPr>
            <w:rStyle w:val="Hyperlink"/>
            <w:noProof/>
            <w:lang w:eastAsia="en-GB"/>
          </w:rPr>
          <w:t>Table 7:</w:t>
        </w:r>
        <w:r>
          <w:rPr>
            <w:noProof/>
          </w:rPr>
          <w:tab/>
        </w:r>
        <w:r w:rsidRPr="1FC5E705">
          <w:rPr>
            <w:rStyle w:val="Hyperlink"/>
            <w:noProof/>
            <w:lang w:eastAsia="en-GB"/>
          </w:rPr>
          <w:t>Policy measures for IDB in the policy options</w:t>
        </w:r>
        <w:r>
          <w:rPr>
            <w:noProof/>
          </w:rPr>
          <w:tab/>
        </w:r>
        <w:r>
          <w:rPr>
            <w:noProof/>
            <w:webHidden/>
          </w:rPr>
          <w:fldChar w:fldCharType="begin"/>
        </w:r>
        <w:r>
          <w:rPr>
            <w:noProof/>
            <w:webHidden/>
          </w:rPr>
          <w:instrText xml:space="preserve"> PAGEREF _Toc232672616 \h </w:instrText>
        </w:r>
        <w:r>
          <w:rPr>
            <w:noProof/>
            <w:webHidden/>
          </w:rPr>
        </w:r>
        <w:r>
          <w:rPr>
            <w:noProof/>
            <w:webHidden/>
          </w:rPr>
          <w:fldChar w:fldCharType="separate"/>
        </w:r>
        <w:r w:rsidR="00D749DC">
          <w:rPr>
            <w:noProof/>
            <w:webHidden/>
          </w:rPr>
          <w:t>115</w:t>
        </w:r>
        <w:r>
          <w:rPr>
            <w:noProof/>
            <w:webHidden/>
          </w:rPr>
          <w:fldChar w:fldCharType="end"/>
        </w:r>
      </w:hyperlink>
    </w:p>
    <w:p w14:paraId="0C573094" w14:textId="618EB1C8"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7" w:history="1">
        <w:r w:rsidRPr="1FC5E705">
          <w:rPr>
            <w:rStyle w:val="Hyperlink"/>
            <w:noProof/>
            <w:lang w:val="en-IE" w:eastAsia="en-IE"/>
          </w:rPr>
          <w:t>Table 8:</w:t>
        </w:r>
        <w:r>
          <w:rPr>
            <w:noProof/>
          </w:rPr>
          <w:tab/>
        </w:r>
        <w:r w:rsidRPr="1FC5E705">
          <w:rPr>
            <w:rStyle w:val="Hyperlink"/>
            <w:rFonts w:eastAsia="Times New Roman"/>
            <w:noProof/>
            <w:lang w:val="en-IE" w:eastAsia="en-IE"/>
          </w:rPr>
          <w:t>Policy measures for Modernisation Fund</w:t>
        </w:r>
        <w:r>
          <w:rPr>
            <w:noProof/>
          </w:rPr>
          <w:tab/>
        </w:r>
        <w:r>
          <w:rPr>
            <w:noProof/>
            <w:webHidden/>
          </w:rPr>
          <w:fldChar w:fldCharType="begin"/>
        </w:r>
        <w:r>
          <w:rPr>
            <w:noProof/>
            <w:webHidden/>
          </w:rPr>
          <w:instrText xml:space="preserve"> PAGEREF _Toc232672617 \h </w:instrText>
        </w:r>
        <w:r>
          <w:rPr>
            <w:noProof/>
            <w:webHidden/>
          </w:rPr>
        </w:r>
        <w:r>
          <w:rPr>
            <w:noProof/>
            <w:webHidden/>
          </w:rPr>
          <w:fldChar w:fldCharType="separate"/>
        </w:r>
        <w:r w:rsidR="00D749DC">
          <w:rPr>
            <w:noProof/>
            <w:webHidden/>
          </w:rPr>
          <w:t>116</w:t>
        </w:r>
        <w:r>
          <w:rPr>
            <w:noProof/>
            <w:webHidden/>
          </w:rPr>
          <w:fldChar w:fldCharType="end"/>
        </w:r>
      </w:hyperlink>
    </w:p>
    <w:p w14:paraId="07EF5E48" w14:textId="7D92C906" w:rsidR="00A71942" w:rsidRDefault="00A71942" w:rsidP="00975687">
      <w:pPr>
        <w:pStyle w:val="TableofFigures"/>
        <w:tabs>
          <w:tab w:val="left" w:pos="1077"/>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8" w:history="1">
        <w:r w:rsidRPr="1FC5E705">
          <w:rPr>
            <w:rStyle w:val="Hyperlink"/>
            <w:noProof/>
            <w:lang w:val="en-IE" w:eastAsia="en-IE"/>
          </w:rPr>
          <w:t>Table 9:</w:t>
        </w:r>
        <w:r>
          <w:rPr>
            <w:noProof/>
          </w:rPr>
          <w:tab/>
        </w:r>
        <w:r w:rsidRPr="1FC5E705">
          <w:rPr>
            <w:rStyle w:val="Hyperlink"/>
            <w:noProof/>
            <w:lang w:eastAsia="en-IE"/>
          </w:rPr>
          <w:t>Policy measures for aviation</w:t>
        </w:r>
        <w:r>
          <w:rPr>
            <w:noProof/>
          </w:rPr>
          <w:tab/>
        </w:r>
        <w:r>
          <w:rPr>
            <w:noProof/>
            <w:webHidden/>
          </w:rPr>
          <w:fldChar w:fldCharType="begin"/>
        </w:r>
        <w:r>
          <w:rPr>
            <w:noProof/>
            <w:webHidden/>
          </w:rPr>
          <w:instrText xml:space="preserve"> PAGEREF _Toc232672618 \h </w:instrText>
        </w:r>
        <w:r>
          <w:rPr>
            <w:noProof/>
            <w:webHidden/>
          </w:rPr>
        </w:r>
        <w:r>
          <w:rPr>
            <w:noProof/>
            <w:webHidden/>
          </w:rPr>
          <w:fldChar w:fldCharType="separate"/>
        </w:r>
        <w:r w:rsidR="00D749DC">
          <w:rPr>
            <w:noProof/>
            <w:webHidden/>
          </w:rPr>
          <w:t>118</w:t>
        </w:r>
        <w:r>
          <w:rPr>
            <w:noProof/>
            <w:webHidden/>
          </w:rPr>
          <w:fldChar w:fldCharType="end"/>
        </w:r>
      </w:hyperlink>
    </w:p>
    <w:p w14:paraId="0500B2B2" w14:textId="5FA0D6C5"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19" w:history="1">
        <w:r w:rsidRPr="1FC5E705">
          <w:rPr>
            <w:rStyle w:val="Hyperlink"/>
            <w:noProof/>
            <w:lang w:eastAsia="en-IE"/>
          </w:rPr>
          <w:t>Table 10:</w:t>
        </w:r>
        <w:r>
          <w:rPr>
            <w:noProof/>
          </w:rPr>
          <w:tab/>
        </w:r>
        <w:r w:rsidRPr="1FC5E705">
          <w:rPr>
            <w:rStyle w:val="Hyperlink"/>
            <w:noProof/>
            <w:lang w:eastAsia="en-IE"/>
          </w:rPr>
          <w:t>Policy measures for maritime</w:t>
        </w:r>
        <w:r>
          <w:rPr>
            <w:noProof/>
          </w:rPr>
          <w:tab/>
        </w:r>
        <w:r>
          <w:rPr>
            <w:noProof/>
            <w:webHidden/>
          </w:rPr>
          <w:fldChar w:fldCharType="begin"/>
        </w:r>
        <w:r>
          <w:rPr>
            <w:noProof/>
            <w:webHidden/>
          </w:rPr>
          <w:instrText xml:space="preserve"> PAGEREF _Toc232672619 \h </w:instrText>
        </w:r>
        <w:r>
          <w:rPr>
            <w:noProof/>
            <w:webHidden/>
          </w:rPr>
        </w:r>
        <w:r>
          <w:rPr>
            <w:noProof/>
            <w:webHidden/>
          </w:rPr>
          <w:fldChar w:fldCharType="separate"/>
        </w:r>
        <w:r w:rsidR="00D749DC">
          <w:rPr>
            <w:noProof/>
            <w:webHidden/>
          </w:rPr>
          <w:t>120</w:t>
        </w:r>
        <w:r>
          <w:rPr>
            <w:noProof/>
            <w:webHidden/>
          </w:rPr>
          <w:fldChar w:fldCharType="end"/>
        </w:r>
      </w:hyperlink>
    </w:p>
    <w:p w14:paraId="06D41588" w14:textId="70F66491"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20" w:history="1">
        <w:r w:rsidRPr="1FC5E705">
          <w:rPr>
            <w:rStyle w:val="Hyperlink"/>
            <w:noProof/>
          </w:rPr>
          <w:t>Table 11:</w:t>
        </w:r>
        <w:r>
          <w:rPr>
            <w:noProof/>
          </w:rPr>
          <w:tab/>
        </w:r>
        <w:r w:rsidRPr="1FC5E705">
          <w:rPr>
            <w:rStyle w:val="Hyperlink"/>
            <w:noProof/>
          </w:rPr>
          <w:t>Policy measures for carbon leakage prevention</w:t>
        </w:r>
        <w:r>
          <w:rPr>
            <w:noProof/>
          </w:rPr>
          <w:tab/>
        </w:r>
        <w:r>
          <w:rPr>
            <w:noProof/>
            <w:webHidden/>
          </w:rPr>
          <w:fldChar w:fldCharType="begin"/>
        </w:r>
        <w:r>
          <w:rPr>
            <w:noProof/>
            <w:webHidden/>
          </w:rPr>
          <w:instrText xml:space="preserve"> PAGEREF _Toc232672620 \h </w:instrText>
        </w:r>
        <w:r>
          <w:rPr>
            <w:noProof/>
            <w:webHidden/>
          </w:rPr>
        </w:r>
        <w:r>
          <w:rPr>
            <w:noProof/>
            <w:webHidden/>
          </w:rPr>
          <w:fldChar w:fldCharType="separate"/>
        </w:r>
        <w:r w:rsidR="00D749DC">
          <w:rPr>
            <w:noProof/>
            <w:webHidden/>
          </w:rPr>
          <w:t>122</w:t>
        </w:r>
        <w:r>
          <w:rPr>
            <w:noProof/>
            <w:webHidden/>
          </w:rPr>
          <w:fldChar w:fldCharType="end"/>
        </w:r>
      </w:hyperlink>
    </w:p>
    <w:p w14:paraId="114AC518" w14:textId="2F21C660"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21" w:history="1">
        <w:r w:rsidRPr="1FC5E705">
          <w:rPr>
            <w:rStyle w:val="Hyperlink"/>
            <w:noProof/>
          </w:rPr>
          <w:t>Table 12:</w:t>
        </w:r>
        <w:r>
          <w:rPr>
            <w:noProof/>
          </w:rPr>
          <w:tab/>
        </w:r>
        <w:r w:rsidRPr="1FC5E705">
          <w:rPr>
            <w:rStyle w:val="Hyperlink"/>
            <w:noProof/>
          </w:rPr>
          <w:t>Policy measures for indirect cost compensation</w:t>
        </w:r>
        <w:r>
          <w:rPr>
            <w:noProof/>
          </w:rPr>
          <w:tab/>
        </w:r>
        <w:r>
          <w:rPr>
            <w:noProof/>
            <w:webHidden/>
          </w:rPr>
          <w:fldChar w:fldCharType="begin"/>
        </w:r>
        <w:r>
          <w:rPr>
            <w:noProof/>
            <w:webHidden/>
          </w:rPr>
          <w:instrText xml:space="preserve"> PAGEREF _Toc232672621 \h </w:instrText>
        </w:r>
        <w:r>
          <w:rPr>
            <w:noProof/>
            <w:webHidden/>
          </w:rPr>
        </w:r>
        <w:r>
          <w:rPr>
            <w:noProof/>
            <w:webHidden/>
          </w:rPr>
          <w:fldChar w:fldCharType="separate"/>
        </w:r>
        <w:r w:rsidR="00D749DC">
          <w:rPr>
            <w:noProof/>
            <w:webHidden/>
          </w:rPr>
          <w:t>123</w:t>
        </w:r>
        <w:r>
          <w:rPr>
            <w:noProof/>
            <w:webHidden/>
          </w:rPr>
          <w:fldChar w:fldCharType="end"/>
        </w:r>
      </w:hyperlink>
    </w:p>
    <w:p w14:paraId="7C77F684" w14:textId="14C109EF"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22" w:history="1">
        <w:r w:rsidRPr="1FC5E705">
          <w:rPr>
            <w:rStyle w:val="Hyperlink"/>
            <w:noProof/>
          </w:rPr>
          <w:t>Table 13:</w:t>
        </w:r>
        <w:r>
          <w:rPr>
            <w:noProof/>
          </w:rPr>
          <w:tab/>
        </w:r>
        <w:r w:rsidRPr="1FC5E705">
          <w:rPr>
            <w:rStyle w:val="Hyperlink"/>
            <w:noProof/>
          </w:rPr>
          <w:t>Policy measures for waste</w:t>
        </w:r>
        <w:r>
          <w:rPr>
            <w:noProof/>
          </w:rPr>
          <w:tab/>
        </w:r>
        <w:r>
          <w:rPr>
            <w:noProof/>
            <w:webHidden/>
          </w:rPr>
          <w:fldChar w:fldCharType="begin"/>
        </w:r>
        <w:r>
          <w:rPr>
            <w:noProof/>
            <w:webHidden/>
          </w:rPr>
          <w:instrText xml:space="preserve"> PAGEREF _Toc232672622 \h </w:instrText>
        </w:r>
        <w:r>
          <w:rPr>
            <w:noProof/>
            <w:webHidden/>
          </w:rPr>
        </w:r>
        <w:r>
          <w:rPr>
            <w:noProof/>
            <w:webHidden/>
          </w:rPr>
          <w:fldChar w:fldCharType="separate"/>
        </w:r>
        <w:r w:rsidR="00D749DC">
          <w:rPr>
            <w:noProof/>
            <w:webHidden/>
          </w:rPr>
          <w:t>125</w:t>
        </w:r>
        <w:r>
          <w:rPr>
            <w:noProof/>
            <w:webHidden/>
          </w:rPr>
          <w:fldChar w:fldCharType="end"/>
        </w:r>
      </w:hyperlink>
    </w:p>
    <w:p w14:paraId="21392D20" w14:textId="4D71C455"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23" w:history="1">
        <w:r w:rsidRPr="1FC5E705">
          <w:rPr>
            <w:rStyle w:val="Hyperlink"/>
            <w:noProof/>
          </w:rPr>
          <w:t>Table 14:</w:t>
        </w:r>
        <w:r>
          <w:rPr>
            <w:noProof/>
          </w:rPr>
          <w:tab/>
        </w:r>
        <w:r w:rsidRPr="1FC5E705">
          <w:rPr>
            <w:rStyle w:val="Hyperlink"/>
            <w:noProof/>
          </w:rPr>
          <w:t>Policy measures for CCU</w:t>
        </w:r>
        <w:r>
          <w:rPr>
            <w:noProof/>
          </w:rPr>
          <w:tab/>
        </w:r>
        <w:r>
          <w:rPr>
            <w:noProof/>
            <w:webHidden/>
          </w:rPr>
          <w:fldChar w:fldCharType="begin"/>
        </w:r>
        <w:r>
          <w:rPr>
            <w:noProof/>
            <w:webHidden/>
          </w:rPr>
          <w:instrText xml:space="preserve"> PAGEREF _Toc232672623 \h </w:instrText>
        </w:r>
        <w:r>
          <w:rPr>
            <w:noProof/>
            <w:webHidden/>
          </w:rPr>
        </w:r>
        <w:r>
          <w:rPr>
            <w:noProof/>
            <w:webHidden/>
          </w:rPr>
          <w:fldChar w:fldCharType="separate"/>
        </w:r>
        <w:r w:rsidR="00D749DC">
          <w:rPr>
            <w:noProof/>
            <w:webHidden/>
          </w:rPr>
          <w:t>126</w:t>
        </w:r>
        <w:r>
          <w:rPr>
            <w:noProof/>
            <w:webHidden/>
          </w:rPr>
          <w:fldChar w:fldCharType="end"/>
        </w:r>
      </w:hyperlink>
    </w:p>
    <w:p w14:paraId="2984F22D" w14:textId="77777777" w:rsidR="00A71942" w:rsidRPr="002B0D84" w:rsidRDefault="00A71942" w:rsidP="00E276C8">
      <w:pPr>
        <w:spacing w:line="240" w:lineRule="auto"/>
        <w:jc w:val="left"/>
        <w:rPr>
          <w:noProof/>
        </w:rPr>
      </w:pPr>
      <w:r>
        <w:rPr>
          <w:noProof/>
        </w:rPr>
        <w:fldChar w:fldCharType="end"/>
      </w:r>
    </w:p>
    <w:p w14:paraId="6C4B821C" w14:textId="77777777" w:rsidR="00A71942" w:rsidRPr="002B0D84" w:rsidRDefault="00A71942" w:rsidP="00E276C8">
      <w:pPr>
        <w:pStyle w:val="Heading1COM"/>
        <w:numPr>
          <w:ilvl w:val="0"/>
          <w:numId w:val="0"/>
        </w:numPr>
        <w:spacing w:before="120" w:after="120" w:line="240" w:lineRule="auto"/>
        <w:ind w:left="360"/>
        <w:outlineLvl w:val="1"/>
        <w:rPr>
          <w:noProof/>
        </w:rPr>
      </w:pPr>
      <w:bookmarkStart w:id="512" w:name="_Toc232758205"/>
      <w:r>
        <w:rPr>
          <w:noProof/>
        </w:rPr>
        <w:t>List of Figures</w:t>
      </w:r>
      <w:bookmarkEnd w:id="512"/>
    </w:p>
    <w:p w14:paraId="27CB5D3E" w14:textId="320C89B9" w:rsidR="00A71942" w:rsidRDefault="00A71942" w:rsidP="00975687">
      <w:pPr>
        <w:pStyle w:val="TableofFigures"/>
        <w:tabs>
          <w:tab w:val="right" w:leader="dot" w:pos="8751"/>
        </w:tabs>
        <w:spacing w:line="240" w:lineRule="auto"/>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\h \z \t "Figure title" \c </w:instrText>
      </w:r>
      <w:r>
        <w:rPr>
          <w:noProof/>
        </w:rPr>
        <w:fldChar w:fldCharType="separate"/>
      </w:r>
    </w:p>
    <w:p w14:paraId="3FC4CABF" w14:textId="50E9E1E0" w:rsidR="00A71942" w:rsidRDefault="00A71942" w:rsidP="00975687">
      <w:pPr>
        <w:pStyle w:val="TableofFigures"/>
        <w:tabs>
          <w:tab w:val="left" w:pos="1200"/>
          <w:tab w:val="right" w:leader="dot" w:pos="8751"/>
        </w:tabs>
        <w:spacing w:line="240" w:lineRule="auto"/>
        <w:rPr>
          <w:rFonts w:asciiTheme="minorHAnsi" w:eastAsiaTheme="minorEastAsia" w:hAnsiTheme="minorHAnsi" w:cstheme="minorBidi"/>
          <w:noProof/>
          <w:kern w:val="2"/>
          <w:lang w:val="en-IE" w:eastAsia="en-IE"/>
          <w14:ligatures w14:val="standardContextual"/>
        </w:rPr>
      </w:pPr>
      <w:hyperlink w:anchor="_Toc232672653" w:history="1">
        <w:r w:rsidRPr="1FC5E705">
          <w:rPr>
            <w:rStyle w:val="Hyperlink"/>
            <w:noProof/>
            <w:lang w:eastAsia="en-GB"/>
          </w:rPr>
          <w:t>Figure 1:</w:t>
        </w:r>
        <w:r>
          <w:rPr>
            <w:noProof/>
          </w:rPr>
          <w:tab/>
        </w:r>
        <w:r w:rsidRPr="1FC5E705">
          <w:rPr>
            <w:rStyle w:val="Hyperlink"/>
            <w:noProof/>
            <w:lang w:eastAsia="en-GB"/>
          </w:rPr>
          <w:t>Scope of the Industrial Decarbonisation Bank and Innovation Fund</w:t>
        </w:r>
        <w:r>
          <w:rPr>
            <w:noProof/>
          </w:rPr>
          <w:tab/>
        </w:r>
        <w:r>
          <w:rPr>
            <w:noProof/>
            <w:webHidden/>
          </w:rPr>
          <w:fldChar w:fldCharType="begin"/>
        </w:r>
        <w:r>
          <w:rPr>
            <w:noProof/>
            <w:webHidden/>
          </w:rPr>
          <w:instrText xml:space="preserve"> PAGEREF _Toc232672653 \h </w:instrText>
        </w:r>
        <w:r>
          <w:rPr>
            <w:noProof/>
            <w:webHidden/>
          </w:rPr>
        </w:r>
        <w:r>
          <w:rPr>
            <w:noProof/>
            <w:webHidden/>
          </w:rPr>
          <w:fldChar w:fldCharType="separate"/>
        </w:r>
        <w:r w:rsidR="00D749DC">
          <w:rPr>
            <w:noProof/>
            <w:webHidden/>
          </w:rPr>
          <w:t>113</w:t>
        </w:r>
        <w:r>
          <w:rPr>
            <w:noProof/>
            <w:webHidden/>
          </w:rPr>
          <w:fldChar w:fldCharType="end"/>
        </w:r>
      </w:hyperlink>
    </w:p>
    <w:p w14:paraId="7BA2D634" w14:textId="77777777" w:rsidR="00A71942" w:rsidRDefault="00A71942" w:rsidP="00E276C8">
      <w:pPr>
        <w:spacing w:line="240" w:lineRule="auto"/>
        <w:jc w:val="left"/>
        <w:rPr>
          <w:rFonts w:eastAsia="Times New Roman"/>
          <w:b/>
          <w:bCs/>
          <w:smallCaps/>
          <w:noProof/>
          <w:sz w:val="28"/>
          <w:szCs w:val="28"/>
          <w:lang w:eastAsia="en-GB"/>
        </w:rPr>
      </w:pPr>
      <w:r>
        <w:rPr>
          <w:noProof/>
        </w:rPr>
        <w:fldChar w:fldCharType="end"/>
      </w:r>
    </w:p>
    <w:p w14:paraId="31007A69" w14:textId="77777777" w:rsidR="00A71942" w:rsidRDefault="00A71942" w:rsidP="00E276C8">
      <w:pPr>
        <w:spacing w:line="240" w:lineRule="auto"/>
        <w:jc w:val="left"/>
        <w:rPr>
          <w:rFonts w:eastAsia="Times New Roman"/>
          <w:b/>
          <w:bCs/>
          <w:smallCaps/>
          <w:noProof/>
          <w:sz w:val="28"/>
          <w:szCs w:val="28"/>
          <w:lang w:eastAsia="en-GB"/>
        </w:rPr>
      </w:pPr>
      <w:r>
        <w:rPr>
          <w:noProof/>
        </w:rPr>
        <w:br w:type="page"/>
      </w:r>
    </w:p>
    <w:p w14:paraId="7A64C8CF" w14:textId="77777777" w:rsidR="00A71942" w:rsidRPr="002B0D84" w:rsidRDefault="00A71942" w:rsidP="00E276C8">
      <w:pPr>
        <w:pStyle w:val="Heading1COM"/>
        <w:numPr>
          <w:ilvl w:val="0"/>
          <w:numId w:val="86"/>
        </w:numPr>
        <w:spacing w:before="120" w:after="120" w:line="240" w:lineRule="auto"/>
        <w:outlineLvl w:val="1"/>
        <w:rPr>
          <w:noProof/>
          <w:lang w:eastAsia="en-GB"/>
        </w:rPr>
      </w:pPr>
      <w:bookmarkStart w:id="513" w:name="_Toc232758206"/>
      <w:r>
        <w:rPr>
          <w:noProof/>
        </w:rPr>
        <w:t>Problem definition</w:t>
      </w:r>
      <w:bookmarkEnd w:id="511"/>
      <w:bookmarkEnd w:id="513"/>
    </w:p>
    <w:p w14:paraId="0778B606" w14:textId="77777777" w:rsidR="00A71942" w:rsidRPr="002B0D84" w:rsidRDefault="00A71942" w:rsidP="00E276C8">
      <w:pPr>
        <w:pStyle w:val="Heading2COM"/>
        <w:spacing w:before="120" w:after="120" w:line="240" w:lineRule="auto"/>
        <w:outlineLvl w:val="2"/>
        <w15:collapsed w:val="0"/>
        <w:rPr>
          <w:noProof/>
          <w:lang w:eastAsia="en-GB"/>
        </w:rPr>
      </w:pPr>
      <w:bookmarkStart w:id="514" w:name="_Toc232611522"/>
      <w:bookmarkStart w:id="515" w:name="_Toc232758207"/>
      <w:r>
        <w:rPr>
          <w:noProof/>
        </w:rPr>
        <w:t>Problem drivers</w:t>
      </w:r>
      <w:bookmarkEnd w:id="514"/>
      <w:bookmarkEnd w:id="515"/>
    </w:p>
    <w:p w14:paraId="3CEBAB5E" w14:textId="77777777" w:rsidR="00A71942" w:rsidRPr="002B0D84" w:rsidRDefault="00A71942" w:rsidP="00E276C8">
      <w:pPr>
        <w:spacing w:line="240" w:lineRule="auto"/>
        <w:rPr>
          <w:noProof/>
          <w:lang w:eastAsia="en-GB"/>
        </w:rPr>
      </w:pPr>
      <w:r>
        <w:rPr>
          <w:noProof/>
        </w:rPr>
        <w:t xml:space="preserve">Problem drivers associated with Problem 1: </w:t>
      </w:r>
    </w:p>
    <w:p w14:paraId="381A0EEA" w14:textId="77777777" w:rsidR="00A71942" w:rsidRPr="002B0D84" w:rsidRDefault="00A71942" w:rsidP="00E276C8">
      <w:pPr>
        <w:pStyle w:val="ListParagraph"/>
        <w:numPr>
          <w:ilvl w:val="0"/>
          <w:numId w:val="21"/>
        </w:numPr>
        <w:spacing w:after="120" w:line="240" w:lineRule="auto"/>
        <w:rPr>
          <w:rFonts w:eastAsia="Arial"/>
          <w:noProof/>
          <w:color w:val="242828"/>
        </w:rPr>
      </w:pPr>
      <w:r w:rsidRPr="1FC5E705">
        <w:rPr>
          <w:rFonts w:eastAsia="Times New Roman"/>
          <w:b/>
          <w:bCs/>
          <w:noProof/>
        </w:rPr>
        <w:t>D1 Residual emissions inconsistent with ETS cap trajectory</w:t>
      </w:r>
      <w:r w:rsidRPr="1FC5E705">
        <w:rPr>
          <w:rFonts w:eastAsia="Times New Roman"/>
          <w:noProof/>
        </w:rPr>
        <w:t xml:space="preserve">: </w:t>
      </w:r>
      <w:r w:rsidRPr="1FC5E705">
        <w:rPr>
          <w:rFonts w:eastAsia="Arial"/>
          <w:noProof/>
        </w:rPr>
        <w:t>The climate neutrality objective is at the heart of the European Green Deal and is a legally binding objective set out in the European Climate Law (ECL). The 2040 climate target is the EU’s next intermediate step on the path to climate neutrality. In December 2025, the European Parliament and the Council reached agreement on amending the European Climate Law, introducing a binding intermediate climate target for 2040 of a 90% reduction in net greenhouse gas (GHG) emissions compared to 1990 levels. The agreement also sets out certain areas of flexibility to support the achievement of the 2040 target including on the contribution of high-quality international carbon credits to the target. However, there will still be residual emissions in industry, aviation and maritime that need to be abated in order to respect the carbon budget and target that are given by the cap trajectory.</w:t>
      </w:r>
    </w:p>
    <w:p w14:paraId="5ABAF1B6" w14:textId="77777777" w:rsidR="00A71942" w:rsidRPr="002B0D84" w:rsidRDefault="00A71942" w:rsidP="00E276C8">
      <w:pPr>
        <w:pStyle w:val="ListParagraph"/>
        <w:numPr>
          <w:ilvl w:val="0"/>
          <w:numId w:val="21"/>
        </w:numPr>
        <w:spacing w:after="120" w:line="240" w:lineRule="auto"/>
        <w:rPr>
          <w:noProof/>
          <w:lang w:eastAsia="en-GB"/>
        </w:rPr>
      </w:pPr>
      <w:r>
        <w:rPr>
          <w:noProof/>
        </w:rPr>
        <w:t>The following sub-driver has been identified:</w:t>
      </w:r>
    </w:p>
    <w:p w14:paraId="50D7B0A1" w14:textId="77777777" w:rsidR="00A71942" w:rsidRPr="002B0D84" w:rsidRDefault="00A71942" w:rsidP="00E276C8">
      <w:pPr>
        <w:pStyle w:val="ListParagraph"/>
        <w:numPr>
          <w:ilvl w:val="1"/>
          <w:numId w:val="21"/>
        </w:numPr>
        <w:spacing w:after="120" w:line="240" w:lineRule="auto"/>
        <w:rPr>
          <w:noProof/>
          <w:lang w:eastAsia="en-GB"/>
        </w:rPr>
      </w:pPr>
      <w:r>
        <w:rPr>
          <w:noProof/>
        </w:rPr>
        <w:t>D1.1 (P9+10) CO</w:t>
      </w:r>
      <w:r w:rsidRPr="1FC5E705">
        <w:rPr>
          <w:noProof/>
          <w:vertAlign w:val="subscript"/>
        </w:rPr>
        <w:t>2</w:t>
      </w:r>
      <w:r>
        <w:rPr>
          <w:noProof/>
        </w:rPr>
        <w:t xml:space="preserve"> generation is currently unavoidable for certain activities</w:t>
      </w:r>
    </w:p>
    <w:p w14:paraId="7D9FDE56" w14:textId="77777777" w:rsidR="00A71942" w:rsidRPr="002B0D84" w:rsidRDefault="00A71942" w:rsidP="00E276C8">
      <w:pPr>
        <w:spacing w:line="240" w:lineRule="auto"/>
        <w:ind w:left="1440"/>
        <w:rPr>
          <w:noProof/>
          <w:lang w:eastAsia="en-GB"/>
        </w:rPr>
      </w:pPr>
      <w:r w:rsidRPr="002B0D84">
        <w:rPr>
          <w:noProof/>
          <w:lang w:eastAsia="en-GB"/>
        </w:rPr>
        <w:t>Certain activities do not currently have technological viable alternatives allowing them to continue without generating CO</w:t>
      </w:r>
      <w:r w:rsidRPr="002B0D84">
        <w:rPr>
          <w:noProof/>
          <w:vertAlign w:val="subscript"/>
          <w:lang w:eastAsia="en-GB"/>
        </w:rPr>
        <w:t>2</w:t>
      </w:r>
      <w:r w:rsidRPr="002B0D84">
        <w:rPr>
          <w:noProof/>
          <w:lang w:eastAsia="en-GB"/>
        </w:rPr>
        <w:t xml:space="preserve"> emissions</w:t>
      </w:r>
      <w:r w:rsidRPr="1FC5E705">
        <w:rPr>
          <w:rStyle w:val="FootnoteReference"/>
          <w:rFonts w:eastAsia="Times New Roman"/>
          <w:noProof/>
        </w:rPr>
        <w:footnoteReference w:id="50"/>
      </w:r>
      <w:r w:rsidRPr="002B0D84">
        <w:rPr>
          <w:noProof/>
          <w:lang w:eastAsia="en-GB"/>
        </w:rPr>
        <w:t xml:space="preserve">. </w:t>
      </w:r>
    </w:p>
    <w:p w14:paraId="150D5E79" w14:textId="009EFCC5" w:rsidR="00A71942" w:rsidRDefault="00A71942" w:rsidP="00E276C8">
      <w:pPr>
        <w:pStyle w:val="ListParagraph"/>
        <w:numPr>
          <w:ilvl w:val="1"/>
          <w:numId w:val="31"/>
        </w:numPr>
        <w:spacing w:after="120" w:line="240" w:lineRule="auto"/>
        <w:rPr>
          <w:noProof/>
        </w:rPr>
      </w:pPr>
      <w:r>
        <w:rPr>
          <w:noProof/>
        </w:rPr>
        <w:t>D1.2 (P1) Lack of funding mechanisms of sufficient duration and magnitude to support the business case for industrial decarbonisations and thus investments</w:t>
      </w:r>
      <w:r w:rsidRPr="1FC5E705">
        <w:rPr>
          <w:rStyle w:val="FootnoteReference"/>
          <w:noProof/>
        </w:rPr>
        <w:footnoteReference w:id="51"/>
      </w:r>
      <w:r>
        <w:rPr>
          <w:noProof/>
        </w:rPr>
        <w:t xml:space="preserve">. In this case, ETS risks leading to GHG emissions reductions mainly through a decrease in production levels rather than by a decrease in carbon emissions intensity of industrial activities. </w:t>
      </w:r>
    </w:p>
    <w:p w14:paraId="3CEE0E9D" w14:textId="77777777" w:rsidR="00A71942" w:rsidRPr="002B0D84" w:rsidDel="00786FE9" w:rsidRDefault="00A71942" w:rsidP="00E276C8">
      <w:pPr>
        <w:pStyle w:val="ListParagraph"/>
        <w:spacing w:after="120" w:line="240" w:lineRule="auto"/>
        <w:ind w:left="1440" w:firstLine="0"/>
        <w:rPr>
          <w:noProof/>
          <w:lang w:eastAsia="en-GB"/>
        </w:rPr>
      </w:pPr>
      <w:r>
        <w:rPr>
          <w:noProof/>
        </w:rPr>
        <w:t>Today and in the near future, the carbon price signal and regulatory measures are perceived as not sufficient on their own to firmly enable the business case</w:t>
      </w:r>
      <w:r w:rsidRPr="1FC5E705">
        <w:rPr>
          <w:b/>
          <w:bCs/>
          <w:noProof/>
        </w:rPr>
        <w:t xml:space="preserve"> </w:t>
      </w:r>
      <w:r>
        <w:rPr>
          <w:noProof/>
        </w:rPr>
        <w:t xml:space="preserve">for investments in decarbonisation technologies for industries. In the absence of large (in terms of budget and duration) funding mechanism driven by the public sector, private investments alone will not deliver the industrial decarbonisation at the scale and within the time needed for achieving climate neutrality by 2050. Different State aid support mechanism are addressing this problem on the national level but not sufficiently. Ideally, the funding mechanism needs to operate on the EU level to avoid the risk of fragmented investments amongst the Member States. </w:t>
      </w:r>
    </w:p>
    <w:p w14:paraId="13B381E4" w14:textId="77777777" w:rsidR="00A71942" w:rsidRPr="002B0D84" w:rsidDel="00786FE9" w:rsidRDefault="00A71942" w:rsidP="00E276C8">
      <w:pPr>
        <w:spacing w:line="240" w:lineRule="auto"/>
        <w:ind w:left="1440"/>
        <w:rPr>
          <w:noProof/>
          <w:lang w:eastAsia="en-GB"/>
        </w:rPr>
      </w:pPr>
      <w:r>
        <w:rPr>
          <w:noProof/>
        </w:rPr>
        <w:t xml:space="preserve">Lack of or delayed investments in industrial decarbonisation would put the decarbonisation pathway in peril and lead to EU industry falling behind global competitors who can be faster in adopting cleaner technologies. Beyond losing the current market shares, a technological lag could result in European industries being less adaptable to future disruptions and demands and on macro-economic level and make the EU lose out on opportunities for growth and leadership in nascent markets and emerging sectors of the economy. </w:t>
      </w:r>
    </w:p>
    <w:p w14:paraId="688ACE09" w14:textId="56AC2E8D" w:rsidR="00A71942" w:rsidRDefault="00A71942" w:rsidP="00E276C8">
      <w:pPr>
        <w:pStyle w:val="ListParagraph"/>
        <w:spacing w:after="120" w:line="240" w:lineRule="auto"/>
        <w:ind w:left="1440" w:firstLine="0"/>
        <w:rPr>
          <w:noProof/>
          <w:lang w:eastAsia="en-GB"/>
        </w:rPr>
      </w:pPr>
      <w:r>
        <w:rPr>
          <w:noProof/>
        </w:rPr>
        <w:t>In addition, there is lack of funding for the roll-out of mature low-carbon technologies in low-income Member States. These are usually more carbon-intensive, with energy mixes still largely relying on fossil fuel</w:t>
      </w:r>
      <w:r w:rsidR="00756FE9">
        <w:rPr>
          <w:noProof/>
        </w:rPr>
        <w:t>.</w:t>
      </w:r>
    </w:p>
    <w:p w14:paraId="300F10AD" w14:textId="1472F0FD" w:rsidR="00A71942" w:rsidRPr="002B0D84" w:rsidRDefault="00756FE9" w:rsidP="00E276C8">
      <w:pPr>
        <w:pStyle w:val="ListParagraph"/>
        <w:numPr>
          <w:ilvl w:val="1"/>
          <w:numId w:val="21"/>
        </w:numPr>
        <w:spacing w:after="120" w:line="240" w:lineRule="auto"/>
        <w:rPr>
          <w:noProof/>
          <w:lang w:eastAsia="en-GB"/>
        </w:rPr>
      </w:pPr>
      <w:r>
        <w:rPr>
          <w:noProof/>
        </w:rPr>
        <w:t xml:space="preserve">D1.3 (P2) </w:t>
      </w:r>
      <w:r w:rsidR="00A71942">
        <w:rPr>
          <w:noProof/>
        </w:rPr>
        <w:t xml:space="preserve">For some ETS activities, such as the refining of fuels or the production of bulk organic chemicals, the ETS requires the surrender of allowances only for the energy and process (scope 1) emissions and not for the carbon content of the chemicals, plastics, or fuels produced. However, under the current rules, CCU requires the payment for the emissions captured and embedded in any product that does not meet the permanence criteria. This situation leads to a lack of level playing field between the traditional petrochemicals and alternative chemicals and materials based on captured carbon. </w:t>
      </w:r>
    </w:p>
    <w:p w14:paraId="4CFF9BC8" w14:textId="77777777" w:rsidR="00A71942" w:rsidRPr="002B0D84" w:rsidRDefault="00A71942" w:rsidP="00E276C8">
      <w:pPr>
        <w:spacing w:line="240" w:lineRule="auto"/>
        <w:ind w:left="1440"/>
        <w:rPr>
          <w:noProof/>
          <w:u w:val="single"/>
          <w:lang w:eastAsia="en-GB"/>
        </w:rPr>
      </w:pPr>
      <w:r>
        <w:rPr>
          <w:noProof/>
        </w:rPr>
        <w:t>With the integration of waste incineration into the ETS, the embedded fossil feedstock in chemicals and materials would also be subject to carbon pricing at the point when that carbon is released from the product at the point incineration. However, without a change in the CCU rules, the emissions embedded in non-permanent products would be paid twice: once when captured (unless they meet the permanence requirement) and a second time at the end of life when incinerated. This leads to a double counting/pricing of emissions, which results an inefficient reduction of emissions.</w:t>
      </w:r>
    </w:p>
    <w:p w14:paraId="050826D2" w14:textId="77777777" w:rsidR="00A71942" w:rsidRPr="002B0D84" w:rsidRDefault="00A71942" w:rsidP="00E276C8">
      <w:pPr>
        <w:pStyle w:val="ListParagraph"/>
        <w:numPr>
          <w:ilvl w:val="0"/>
          <w:numId w:val="21"/>
        </w:numPr>
        <w:spacing w:after="120" w:line="240" w:lineRule="auto"/>
        <w:contextualSpacing/>
        <w:rPr>
          <w:rFonts w:eastAsia="Times New Roman"/>
          <w:noProof/>
        </w:rPr>
      </w:pPr>
      <w:r w:rsidRPr="002B0D84">
        <w:rPr>
          <w:b/>
          <w:bCs/>
          <w:noProof/>
          <w:lang w:eastAsia="en-GB"/>
        </w:rPr>
        <w:t>D2: Lack of internalisation of the climate impact (insufficient carbon price signal).</w:t>
      </w:r>
      <w:r w:rsidRPr="002B0D84">
        <w:rPr>
          <w:noProof/>
          <w:lang w:eastAsia="en-GB"/>
        </w:rPr>
        <w:t xml:space="preserve"> </w:t>
      </w:r>
      <w:r w:rsidRPr="002B0D84">
        <w:rPr>
          <w:rFonts w:eastAsia="Times New Roman"/>
          <w:noProof/>
        </w:rPr>
        <w:t xml:space="preserve">The reason for putting a price on carbon emissions is to trigger a behavioural and investment change that should result in reduced emissions in line with the climate change mitigation pathway. The price signal of the EU ETS adds to the cost of activities that generate greenhouse gases, 'internalising' the harmful effect on the environment, known as 'negative externalities', in accordance with the 'polluter pays' principle. </w:t>
      </w:r>
      <w:r>
        <w:rPr>
          <w:rFonts w:eastAsia="Times New Roman"/>
          <w:noProof/>
        </w:rPr>
        <w:t xml:space="preserve">As shown in the Evaluation Report (see Annex 15, section 4.2.1.2), the ETS price has resulted in the internalisation of a significant share of the external climate costs, in particular for the power sector, reflecting the early phase out of free allocation the the cost pass-through to the electricity price. </w:t>
      </w:r>
      <w:r w:rsidRPr="002B0D84">
        <w:rPr>
          <w:rFonts w:eastAsia="Times New Roman"/>
          <w:noProof/>
        </w:rPr>
        <w:t xml:space="preserve">When the EU ETS does not cover certain activities, it does not play a role in the internalisation of their carbon cost. As a result, they may lack the incentive to reduce their emissions, unless other regulatory measures require the reductions (targets or prohibitions). </w:t>
      </w:r>
      <w:r w:rsidRPr="0076661B">
        <w:rPr>
          <w:rFonts w:eastAsia="Times New Roman"/>
          <w:noProof/>
        </w:rPr>
        <w:t xml:space="preserve">In the case of </w:t>
      </w:r>
      <w:r w:rsidRPr="4AEE862B">
        <w:rPr>
          <w:rFonts w:eastAsia="Times New Roman"/>
          <w:noProof/>
        </w:rPr>
        <w:t>municipal waste incineration, GHG emissions have continuously increased by approximately 300% since 1990</w:t>
      </w:r>
      <w:r w:rsidRPr="48497AEC">
        <w:rPr>
          <w:rFonts w:eastAsia="Times New Roman"/>
          <w:noProof/>
        </w:rPr>
        <w:t>.</w:t>
      </w:r>
      <w:r w:rsidRPr="39175611">
        <w:rPr>
          <w:rFonts w:eastAsia="Times New Roman"/>
          <w:noProof/>
        </w:rPr>
        <w:t xml:space="preserve"> </w:t>
      </w:r>
      <w:r w:rsidRPr="0076661B">
        <w:rPr>
          <w:noProof/>
          <w:lang w:eastAsia="en-GB"/>
        </w:rPr>
        <w:t>D</w:t>
      </w:r>
      <w:r w:rsidRPr="4B3B878F">
        <w:rPr>
          <w:rFonts w:eastAsia="Times New Roman"/>
          <w:noProof/>
        </w:rPr>
        <w:t>espite</w:t>
      </w:r>
      <w:r w:rsidRPr="4AEE862B">
        <w:rPr>
          <w:rFonts w:eastAsia="Times New Roman"/>
          <w:noProof/>
        </w:rPr>
        <w:t xml:space="preserve"> being covered under the Effort Sharing Regulation</w:t>
      </w:r>
      <w:r w:rsidRPr="3457CEF5">
        <w:rPr>
          <w:rFonts w:eastAsia="Times New Roman"/>
          <w:noProof/>
        </w:rPr>
        <w:t xml:space="preserve"> since </w:t>
      </w:r>
      <w:r w:rsidRPr="35BF9CEB">
        <w:rPr>
          <w:rFonts w:eastAsia="Times New Roman"/>
          <w:noProof/>
        </w:rPr>
        <w:t>2021</w:t>
      </w:r>
      <w:r w:rsidRPr="4AEE862B">
        <w:rPr>
          <w:rFonts w:eastAsia="Times New Roman"/>
          <w:noProof/>
        </w:rPr>
        <w:t xml:space="preserve">, few Member States have implemented decarbonisation measures, and the sector is not on track to contribute to the Union’s economy-wide decarbonisation targets in 2040 and 2050. </w:t>
      </w:r>
      <w:r w:rsidRPr="002B0D84">
        <w:rPr>
          <w:rFonts w:eastAsia="Times New Roman"/>
          <w:noProof/>
        </w:rPr>
        <w:t xml:space="preserve"> Similarly, measures to address carbon leakage (assigning allowances free of charge and allowing compensation for indirect emission costs) can also dampen the carbon price signal and reduce incentives to decarbonise</w:t>
      </w:r>
      <w:r>
        <w:rPr>
          <w:rFonts w:eastAsia="Times New Roman"/>
          <w:noProof/>
        </w:rPr>
        <w:t>, as a</w:t>
      </w:r>
      <w:r w:rsidRPr="5AD2D992">
        <w:rPr>
          <w:noProof/>
        </w:rPr>
        <w:t>pproximately 80-90% of the verified emissions of industry have remained covered by free allocation during the first part of Phase IV of the EU ETS</w:t>
      </w:r>
      <w:r>
        <w:rPr>
          <w:rFonts w:eastAsia="Times New Roman"/>
          <w:noProof/>
        </w:rPr>
        <w:t xml:space="preserve">. </w:t>
      </w:r>
      <w:r w:rsidRPr="002B0D84">
        <w:rPr>
          <w:rFonts w:eastAsia="Times New Roman"/>
          <w:noProof/>
        </w:rPr>
        <w:t>This is confirmed by the findings of the evaluation, which indicates, based on literature review, that the effect of the EU ETS prices on carbon efficiency and emissions reduction is more pronounced for sectors transitioning away from free allocation and into auctioning</w:t>
      </w:r>
      <w:r>
        <w:rPr>
          <w:rFonts w:eastAsia="Times New Roman"/>
          <w:noProof/>
        </w:rPr>
        <w:t xml:space="preserve">. </w:t>
      </w:r>
      <w:r w:rsidRPr="00F757B1">
        <w:rPr>
          <w:noProof/>
        </w:rPr>
        <w:t>This suggests that when sectors bear the direct cost of their emissions, the incentives for them to reduce emissions is higher</w:t>
      </w:r>
      <w:r>
        <w:rPr>
          <w:noProof/>
        </w:rPr>
        <w:t xml:space="preserve"> and </w:t>
      </w:r>
      <w:r w:rsidRPr="00F757B1">
        <w:rPr>
          <w:noProof/>
        </w:rPr>
        <w:t>that a 1% increase in ETS prices leads to an improvement of carbon efficiency by 0.04% and a decrease in emissions of 0.05% in regulated sectors</w:t>
      </w:r>
      <w:r w:rsidRPr="1FC5E705">
        <w:rPr>
          <w:rStyle w:val="FootnoteReference"/>
          <w:noProof/>
        </w:rPr>
        <w:footnoteReference w:id="52"/>
      </w:r>
      <w:r w:rsidRPr="002B0D84">
        <w:rPr>
          <w:rFonts w:eastAsia="Times New Roman"/>
          <w:noProof/>
        </w:rPr>
        <w:t xml:space="preserve"> (see Annex 15, section 4.1.1.1.2.).</w:t>
      </w:r>
    </w:p>
    <w:p w14:paraId="24C5EDA1" w14:textId="77777777" w:rsidR="00A71942" w:rsidRPr="002B0D84" w:rsidRDefault="00A71942" w:rsidP="00E276C8">
      <w:pPr>
        <w:spacing w:line="240" w:lineRule="auto"/>
        <w:ind w:firstLine="720"/>
        <w:rPr>
          <w:noProof/>
          <w:lang w:eastAsia="en-GB"/>
        </w:rPr>
      </w:pPr>
      <w:r>
        <w:rPr>
          <w:noProof/>
        </w:rPr>
        <w:t>The following sub-drivers have been identified:</w:t>
      </w:r>
    </w:p>
    <w:p w14:paraId="5839FAD3" w14:textId="77777777" w:rsidR="00A71942" w:rsidRPr="002B0D84" w:rsidRDefault="00A71942" w:rsidP="00E276C8">
      <w:pPr>
        <w:pStyle w:val="ListParagraph"/>
        <w:numPr>
          <w:ilvl w:val="1"/>
          <w:numId w:val="21"/>
        </w:numPr>
        <w:spacing w:after="120" w:line="240" w:lineRule="auto"/>
        <w:rPr>
          <w:noProof/>
          <w:lang w:eastAsia="en-GB"/>
        </w:rPr>
      </w:pPr>
      <w:r>
        <w:rPr>
          <w:noProof/>
        </w:rPr>
        <w:t xml:space="preserve">D2.1 (P3) Free allocation and compensation for indirect carbon costs (ICC)dampen the carbon price signal. </w:t>
      </w:r>
    </w:p>
    <w:p w14:paraId="4358597A" w14:textId="77777777" w:rsidR="00A71942" w:rsidRPr="002B0D84" w:rsidRDefault="00A71942" w:rsidP="00E276C8">
      <w:pPr>
        <w:spacing w:line="240" w:lineRule="auto"/>
        <w:ind w:left="1440"/>
        <w:rPr>
          <w:noProof/>
          <w:lang w:eastAsia="en-GB"/>
        </w:rPr>
      </w:pPr>
      <w:r>
        <w:rPr>
          <w:noProof/>
        </w:rPr>
        <w:t>Free allocation to specific sectors is based on performance benchmarks and activity levels. Benchmarks are reduced incrementally to encourage companies in each sector to decarbonise and advance innovation. Installations that are below their benchmarks will receive more allowances than required for compliance, which can be monetised on the carbon market. Therefore, the use of benchmarks therefore incentivises innovation to lower emissions intensity production. Nevertheless, free allocation that covers a significant share of the emissions of the respective allocation dampens the carbon price signal to a degree. This factor, combined with high abatement costs for industrial sectors in the order hundreds of euro per tonne of abated CO</w:t>
      </w:r>
      <w:r w:rsidRPr="1FC5E705">
        <w:rPr>
          <w:noProof/>
          <w:vertAlign w:val="subscript"/>
        </w:rPr>
        <w:t xml:space="preserve">2 </w:t>
      </w:r>
      <w:r>
        <w:rPr>
          <w:noProof/>
        </w:rPr>
        <w:t>reduces the incentives for emission abatement in the respective sectors.</w:t>
      </w:r>
    </w:p>
    <w:p w14:paraId="2F6D7B95" w14:textId="77777777" w:rsidR="00A71942" w:rsidRPr="002B0D84" w:rsidRDefault="00A71942" w:rsidP="00E276C8">
      <w:pPr>
        <w:spacing w:line="240" w:lineRule="auto"/>
        <w:ind w:left="1440"/>
        <w:rPr>
          <w:rFonts w:eastAsia="Times New Roman"/>
          <w:noProof/>
          <w:lang w:eastAsia="en-GB"/>
        </w:rPr>
      </w:pPr>
      <w:r>
        <w:rPr>
          <w:noProof/>
        </w:rPr>
        <w:t xml:space="preserve">While ICC compensation also dampens the price signal, electro-intensive industries cannot necessarily influence the associated emissions cost themselves since it is passed on indirectly through electricity bills. The pass through of this price signal can also disincentivise industrial electrification, especially when free allocation is available to non-electrified processes. </w:t>
      </w:r>
    </w:p>
    <w:p w14:paraId="162AC9F0" w14:textId="77777777" w:rsidR="00A71942" w:rsidRPr="002B0D84" w:rsidRDefault="00A71942" w:rsidP="00E276C8">
      <w:pPr>
        <w:pStyle w:val="ListParagraph"/>
        <w:numPr>
          <w:ilvl w:val="1"/>
          <w:numId w:val="21"/>
        </w:numPr>
        <w:spacing w:after="120" w:line="240" w:lineRule="auto"/>
        <w:rPr>
          <w:noProof/>
          <w:lang w:eastAsia="en-GB"/>
        </w:rPr>
      </w:pPr>
      <w:r>
        <w:rPr>
          <w:noProof/>
        </w:rPr>
        <w:t>D2.2 (P8) Current regulations exempt small installations under 20MW</w:t>
      </w:r>
    </w:p>
    <w:p w14:paraId="0291C89E" w14:textId="77777777" w:rsidR="00A71942" w:rsidRPr="002B0D84" w:rsidRDefault="00A71942" w:rsidP="00E276C8">
      <w:pPr>
        <w:spacing w:line="240" w:lineRule="auto"/>
        <w:ind w:left="1440"/>
        <w:rPr>
          <w:noProof/>
          <w:lang w:eastAsia="en-GB"/>
        </w:rPr>
      </w:pPr>
      <w:r>
        <w:rPr>
          <w:noProof/>
        </w:rPr>
        <w:t xml:space="preserve">The thresholds for activities in Annex I, especially the 20 MW rated thermal input capacity for combustion of fuels, were established considering the relatively high compliance costs for smaller installations, such as monitoring, verification, registry fees, and administrative burden, which can outweigh the environmental benefits of participating in ETS. </w:t>
      </w:r>
    </w:p>
    <w:p w14:paraId="2DCA135E" w14:textId="77777777" w:rsidR="00A71942" w:rsidRPr="002B0D84" w:rsidRDefault="00A71942" w:rsidP="00E276C8">
      <w:pPr>
        <w:spacing w:line="240" w:lineRule="auto"/>
        <w:ind w:left="1440"/>
        <w:rPr>
          <w:noProof/>
          <w:lang w:eastAsia="en-GB"/>
        </w:rPr>
      </w:pPr>
      <w:r>
        <w:rPr>
          <w:noProof/>
        </w:rPr>
        <w:t xml:space="preserve">In 2027, the ETS2 applies and small emitters that are not under the EU ETS will pay the carbon costs of their fuel use. However, process emissions of small industry will not be covered. It is therefore legitimate to consider the environmental impact of those exclusions, the case for maintaining simple rules, and the administrative burden for all parties involved in the compliance cycle; operators, Member States and Commission. </w:t>
      </w:r>
    </w:p>
    <w:p w14:paraId="3C55B8F2" w14:textId="77777777" w:rsidR="00A71942" w:rsidRPr="002B0D84" w:rsidRDefault="00A71942" w:rsidP="00E276C8">
      <w:pPr>
        <w:pStyle w:val="ListParagraph"/>
        <w:numPr>
          <w:ilvl w:val="1"/>
          <w:numId w:val="21"/>
        </w:numPr>
        <w:spacing w:after="120" w:line="240" w:lineRule="auto"/>
        <w:rPr>
          <w:rFonts w:eastAsia="Times New Roman"/>
          <w:noProof/>
          <w:lang w:eastAsia="en-GB"/>
        </w:rPr>
      </w:pPr>
      <w:r>
        <w:rPr>
          <w:noProof/>
        </w:rPr>
        <w:t>D2.3 (P4) Lack of equivalent GHG pricing signal for maritime emissions in neighbouring non-EU countries leading to a possible risk of evasion (including via relocation of transhipment activities).</w:t>
      </w:r>
    </w:p>
    <w:p w14:paraId="3FA4E472" w14:textId="77777777" w:rsidR="00A71942" w:rsidRPr="002B0D84" w:rsidRDefault="00A71942" w:rsidP="00E276C8">
      <w:pPr>
        <w:spacing w:line="240" w:lineRule="auto"/>
        <w:ind w:left="1440"/>
        <w:rPr>
          <w:rFonts w:ascii="Calibri" w:eastAsia="MS Mincho" w:hAnsi="Calibri" w:cs="Arial"/>
          <w:noProof/>
          <w:lang w:eastAsia="en-GB"/>
        </w:rPr>
      </w:pPr>
      <w:r>
        <w:rPr>
          <w:noProof/>
        </w:rPr>
        <w:t>Evasive behaviours could undermine the overall environmental integrity of the ETS as shipping companies engaged in such circumvention strategies would surrender fewer allowances, while not actually reducing their emissions. In some cases, these operational adjustments could also reduce the traffic and connectivity of certain EU ports (e.g. container transhipment hubs, offshore operations) leading to possibly broader negative wider macroeconomic implications. Due to the end of the phase-in approach in 2026 and the absence of any global measure, the risk of evasion is expected to remain in the short-term</w:t>
      </w:r>
      <w:r w:rsidRPr="1FC5E705">
        <w:rPr>
          <w:rFonts w:eastAsia="MS PGothic"/>
          <w:noProof/>
        </w:rPr>
        <w:t>.</w:t>
      </w:r>
    </w:p>
    <w:p w14:paraId="33DCBCA9" w14:textId="77777777" w:rsidR="00A71942" w:rsidRPr="002B0D84" w:rsidRDefault="00A71942" w:rsidP="00E276C8">
      <w:pPr>
        <w:pStyle w:val="ListParagraph"/>
        <w:numPr>
          <w:ilvl w:val="1"/>
          <w:numId w:val="21"/>
        </w:numPr>
        <w:spacing w:after="120" w:line="240" w:lineRule="auto"/>
        <w:rPr>
          <w:noProof/>
          <w:lang w:eastAsia="en-GB"/>
        </w:rPr>
      </w:pPr>
      <w:r>
        <w:rPr>
          <w:noProof/>
        </w:rPr>
        <w:t>D2.4 (P6/7/8) Limited scope of aviation and maritime</w:t>
      </w:r>
    </w:p>
    <w:p w14:paraId="363E71AB" w14:textId="77777777" w:rsidR="00A71942" w:rsidRPr="002B0D84" w:rsidRDefault="00A71942" w:rsidP="00E276C8">
      <w:pPr>
        <w:pStyle w:val="ListParagraph"/>
        <w:spacing w:after="120" w:line="240" w:lineRule="auto"/>
        <w:ind w:left="1418" w:firstLine="0"/>
        <w:rPr>
          <w:noProof/>
          <w:lang w:eastAsia="en-GB"/>
        </w:rPr>
      </w:pPr>
      <w:r>
        <w:rPr>
          <w:noProof/>
        </w:rPr>
        <w:t xml:space="preserve">For aviation, the EU ETS geographical scope is limited until January 2027 to only intra-EEA flights and departing flights to Switzerland and the UK. The internalisation of the climate impact is driven by the quality and implementation of international measures, or alternatively by applying an effective carbon price to the EU’s fair share of these emissions. </w:t>
      </w:r>
    </w:p>
    <w:p w14:paraId="149B7189" w14:textId="77777777" w:rsidR="00A71942" w:rsidRPr="002B0D84" w:rsidRDefault="00A71942" w:rsidP="00E276C8">
      <w:pPr>
        <w:pStyle w:val="ListParagraph"/>
        <w:spacing w:after="120" w:line="240" w:lineRule="auto"/>
        <w:ind w:left="1418" w:firstLine="0"/>
        <w:rPr>
          <w:noProof/>
          <w:lang w:eastAsia="en-GB"/>
        </w:rPr>
      </w:pPr>
      <w:r>
        <w:rPr>
          <w:noProof/>
        </w:rPr>
        <w:t xml:space="preserve">The aviation EU ETS also currently exempts certain operators as defined in Annex 1, (h) and (k) of the Directive with low aviation activity, however these exemptions cover mostly private or business jets, meaning there is currently no carbon price signal for those flights. The reason for these provisions is the compliance cost for monitoring, verification, and registry fees, which can outweigh the environmental benefits of participating in ETS. In 2027, the ETS2 will apply essentially covering citizens by EU ETS, this underlines the need for inclusion of private and business aviation who should pay their fair share. The administrative burden for all parties involved in the compliance cycle would be minimized by simplification measures. </w:t>
      </w:r>
    </w:p>
    <w:p w14:paraId="2A5F4207" w14:textId="77777777" w:rsidR="00A71942" w:rsidRPr="002B0D84" w:rsidRDefault="00A71942" w:rsidP="00E276C8">
      <w:pPr>
        <w:pStyle w:val="ListParagraph"/>
        <w:spacing w:after="120" w:line="240" w:lineRule="auto"/>
        <w:ind w:left="1418" w:firstLine="0"/>
        <w:rPr>
          <w:noProof/>
          <w:lang w:eastAsia="en-GB"/>
        </w:rPr>
      </w:pPr>
      <w:r w:rsidRPr="1FC5E705">
        <w:rPr>
          <w:rFonts w:eastAsia="Times New Roman"/>
          <w:noProof/>
        </w:rPr>
        <w:t xml:space="preserve">For maritime, small </w:t>
      </w:r>
      <w:r>
        <w:rPr>
          <w:noProof/>
        </w:rPr>
        <w:t xml:space="preserve">ships, including offshore vessels, with a gross tonnage between 400 and 4 999 gross tonnage, are not covered under the ETS and do not internalise the harmful effect of their EU-related emissions on the environment. As a result, they lack economic incentives to reduce their emissions. </w:t>
      </w:r>
    </w:p>
    <w:p w14:paraId="2374D54B" w14:textId="77777777" w:rsidR="00A71942" w:rsidRPr="002B0D84" w:rsidRDefault="00A71942" w:rsidP="00E276C8">
      <w:pPr>
        <w:pStyle w:val="ListParagraph"/>
        <w:numPr>
          <w:ilvl w:val="1"/>
          <w:numId w:val="21"/>
        </w:numPr>
        <w:spacing w:after="120" w:line="240" w:lineRule="auto"/>
        <w:rPr>
          <w:rFonts w:eastAsia="Times New Roman"/>
          <w:noProof/>
          <w:lang w:val="en-IE" w:eastAsia="en-GB"/>
        </w:rPr>
      </w:pPr>
      <w:r>
        <w:rPr>
          <w:noProof/>
        </w:rPr>
        <w:t>D2.4(P5) No coverage of waste emissions</w:t>
      </w:r>
    </w:p>
    <w:p w14:paraId="5427746A" w14:textId="77777777" w:rsidR="00A71942" w:rsidRPr="002B0D84" w:rsidRDefault="00A71942" w:rsidP="00E276C8">
      <w:pPr>
        <w:spacing w:line="240" w:lineRule="auto"/>
        <w:ind w:left="1440"/>
        <w:rPr>
          <w:rFonts w:eastAsia="Times New Roman"/>
          <w:noProof/>
          <w:lang w:val="en-IE" w:eastAsia="en-GB"/>
        </w:rPr>
      </w:pPr>
      <w:r>
        <w:rPr>
          <w:noProof/>
        </w:rPr>
        <w:t xml:space="preserve">Emissions from waste management are subject to the national emission reduction targets under the Effort Sharing Regulation, with incineration (with/without energy recovery and landfilling being the main sources). Measures to reduce emissions and promote circularity vary widely between Member States, which results in an uneven application of the polluter pays principle and a limited progress towards emission reductions but also circularity. </w:t>
      </w:r>
    </w:p>
    <w:p w14:paraId="08A9DC01" w14:textId="77777777" w:rsidR="00A71942" w:rsidRPr="002B0D84" w:rsidRDefault="00A71942" w:rsidP="00E276C8">
      <w:pPr>
        <w:pStyle w:val="ListParagraph"/>
        <w:numPr>
          <w:ilvl w:val="0"/>
          <w:numId w:val="21"/>
        </w:numPr>
        <w:spacing w:after="120" w:line="240" w:lineRule="auto"/>
        <w:rPr>
          <w:noProof/>
          <w:lang w:eastAsia="en-GB"/>
        </w:rPr>
      </w:pPr>
      <w:r w:rsidRPr="1FC5E705">
        <w:rPr>
          <w:b/>
          <w:bCs/>
          <w:noProof/>
        </w:rPr>
        <w:t>D3: International carbon pricing measures in transport.</w:t>
      </w:r>
      <w:r>
        <w:rPr>
          <w:noProof/>
        </w:rPr>
        <w:t xml:space="preserve"> In terms of interaction between the implementation of the ETS and the implementation of global measures to reduce emissions from aviation , the following sub-driver has been identified:</w:t>
      </w:r>
    </w:p>
    <w:p w14:paraId="7769CF80" w14:textId="77777777" w:rsidR="00A71942" w:rsidRPr="002B0D84" w:rsidRDefault="00A71942" w:rsidP="00E276C8">
      <w:pPr>
        <w:pStyle w:val="ListParagraph"/>
        <w:numPr>
          <w:ilvl w:val="1"/>
          <w:numId w:val="21"/>
        </w:numPr>
        <w:spacing w:after="120" w:line="240" w:lineRule="auto"/>
        <w:rPr>
          <w:noProof/>
          <w:lang w:eastAsia="en-GB"/>
        </w:rPr>
      </w:pPr>
      <w:r>
        <w:rPr>
          <w:noProof/>
        </w:rPr>
        <w:t>D3.1 (P6) Possible non-implementation of CORSIA by third countries</w:t>
      </w:r>
    </w:p>
    <w:p w14:paraId="314A6A18" w14:textId="77777777" w:rsidR="00A71942" w:rsidRPr="002B0D84" w:rsidRDefault="00A71942" w:rsidP="00E276C8">
      <w:pPr>
        <w:pStyle w:val="ListParagraph"/>
        <w:spacing w:after="120" w:line="240" w:lineRule="auto"/>
        <w:ind w:left="1560" w:firstLine="0"/>
        <w:rPr>
          <w:noProof/>
          <w:lang w:eastAsia="en-GB"/>
        </w:rPr>
      </w:pPr>
      <w:r w:rsidRPr="002B0D84">
        <w:rPr>
          <w:noProof/>
          <w:lang w:eastAsia="en-GB"/>
        </w:rPr>
        <w:t>To address carbon emissions from international aviation, the EU has supported the creation and implementation of CORSIA. A key aspect for CORSIA to work is that third countries have to implement the scheme in their national laws and have to apply it effectively</w:t>
      </w:r>
      <w:r w:rsidRPr="1FC5E705">
        <w:rPr>
          <w:rStyle w:val="FootnoteReference"/>
          <w:rFonts w:eastAsia="Times New Roman"/>
          <w:noProof/>
        </w:rPr>
        <w:footnoteReference w:id="53"/>
      </w:r>
      <w:r w:rsidRPr="002B0D84">
        <w:rPr>
          <w:noProof/>
          <w:lang w:eastAsia="en-GB"/>
        </w:rPr>
        <w:t>, and whether the EU’s fair share of aviation emissions is covered by an effective carbon price.</w:t>
      </w:r>
    </w:p>
    <w:p w14:paraId="0ED4F9A8" w14:textId="77777777" w:rsidR="00A71942" w:rsidRPr="002B0D84" w:rsidRDefault="00A71942" w:rsidP="00E276C8">
      <w:pPr>
        <w:pStyle w:val="ListParagraph"/>
        <w:spacing w:after="120" w:line="240" w:lineRule="auto"/>
        <w:ind w:left="1560"/>
        <w:rPr>
          <w:rFonts w:eastAsia="Times New Roman"/>
          <w:noProof/>
        </w:rPr>
      </w:pPr>
      <w:r>
        <w:rPr>
          <w:noProof/>
        </w:rPr>
        <w:t>D3.2 (P</w:t>
      </w:r>
      <w:r w:rsidRPr="1FC5E705">
        <w:rPr>
          <w:rFonts w:eastAsia="MS PGothic"/>
          <w:noProof/>
        </w:rPr>
        <w:t xml:space="preserve">7) </w:t>
      </w:r>
      <w:r>
        <w:rPr>
          <w:noProof/>
        </w:rPr>
        <w:t>Potential lack of coherence between the ETS implementation and the implementation of IMO mid-term measures in the future</w:t>
      </w:r>
      <w:r w:rsidRPr="1FC5E705">
        <w:rPr>
          <w:rFonts w:eastAsia="Arial"/>
          <w:noProof/>
        </w:rPr>
        <w:t xml:space="preserve">: </w:t>
      </w:r>
      <w:r w:rsidRPr="1FC5E705">
        <w:rPr>
          <w:rFonts w:eastAsia="Times New Roman"/>
          <w:noProof/>
        </w:rPr>
        <w:t>In order to address GHG emissions from international maritime activities globally, the EU has actively supported the adoption of the revised IMO 2023 Strategy as well as of IMO mid-term measures, in particular the Net Zero Framework, which was agreed in April 2025 and for which the adoption decision has been adjourned until autumn 2026. This global measure would mark a significant step towards reducing the environmental impact of the shipping industry on a global scale and is a strong example of multilateralism at work. However the adoption of the IMO Net Zero Framework has been adjourned and there remains a number of uncertainties regarding its adoption and actual implementation. In the meantime, the EU ETS provides a stable and predictable regulatory framework to support the decarbonisation of shipping, e.g. by making renewable and low-carbon fuels or energy efficiency solutions more economically attractive, and ensures that maritime transport effectively contributes to EU’s climate targets.</w:t>
      </w:r>
    </w:p>
    <w:p w14:paraId="1B7A5AD4" w14:textId="77777777" w:rsidR="00A71942" w:rsidRPr="002B0D84" w:rsidRDefault="00A71942" w:rsidP="00E276C8">
      <w:pPr>
        <w:pStyle w:val="ListParagraph"/>
        <w:spacing w:after="120" w:line="240" w:lineRule="auto"/>
        <w:ind w:left="1560" w:firstLine="0"/>
        <w:rPr>
          <w:rFonts w:eastAsia="Times New Roman"/>
          <w:noProof/>
        </w:rPr>
      </w:pPr>
      <w:r w:rsidRPr="1FC5E705">
        <w:rPr>
          <w:rFonts w:eastAsia="Times New Roman"/>
          <w:noProof/>
        </w:rPr>
        <w:t xml:space="preserve">However, the combined implementation of a future IMO mid-term measure and EU ETS could also lead to some inefficiencies, including: </w:t>
      </w:r>
    </w:p>
    <w:p w14:paraId="3FFB44B7" w14:textId="77777777" w:rsidR="00A71942" w:rsidRPr="002B0D84" w:rsidRDefault="00A71942" w:rsidP="00E276C8">
      <w:pPr>
        <w:pStyle w:val="ListParagraph"/>
        <w:numPr>
          <w:ilvl w:val="0"/>
          <w:numId w:val="24"/>
        </w:numPr>
        <w:spacing w:after="120" w:line="240" w:lineRule="auto"/>
        <w:rPr>
          <w:rFonts w:eastAsia="Times New Roman"/>
          <w:noProof/>
        </w:rPr>
      </w:pPr>
      <w:r w:rsidRPr="1FC5E705">
        <w:rPr>
          <w:rFonts w:eastAsia="Times New Roman"/>
          <w:noProof/>
        </w:rPr>
        <w:t>Potential double pricing and double payment in case maritime emissions are subject to GHG pricing under both the ETS and a future IMO mid-term measure. The extent of the inefficiencies would depend on various factors such as the GHG price formation at global level, price scope, emissions covered, or timing.</w:t>
      </w:r>
    </w:p>
    <w:p w14:paraId="2588082F" w14:textId="77777777" w:rsidR="00A71942" w:rsidRPr="002B0D84" w:rsidRDefault="00A71942" w:rsidP="00E276C8">
      <w:pPr>
        <w:spacing w:line="240" w:lineRule="auto"/>
        <w:rPr>
          <w:noProof/>
          <w:lang w:eastAsia="en-GB"/>
        </w:rPr>
      </w:pPr>
      <w:r>
        <w:rPr>
          <w:noProof/>
        </w:rPr>
        <w:t>Associated with Problem 2:</w:t>
      </w:r>
    </w:p>
    <w:p w14:paraId="6EAEB588" w14:textId="77777777" w:rsidR="00A71942" w:rsidRPr="002B0D84" w:rsidRDefault="00A71942" w:rsidP="00E276C8">
      <w:pPr>
        <w:pStyle w:val="ListParagraph"/>
        <w:numPr>
          <w:ilvl w:val="0"/>
          <w:numId w:val="21"/>
        </w:numPr>
        <w:spacing w:after="120" w:line="240" w:lineRule="auto"/>
        <w:rPr>
          <w:noProof/>
          <w:lang w:eastAsia="en-GB"/>
        </w:rPr>
      </w:pPr>
      <w:r w:rsidRPr="002B0D84">
        <w:rPr>
          <w:b/>
          <w:bCs/>
          <w:noProof/>
          <w:lang w:eastAsia="en-GB"/>
        </w:rPr>
        <w:t>D4: Decreasing market size.</w:t>
      </w:r>
      <w:r w:rsidRPr="002B0D84">
        <w:rPr>
          <w:noProof/>
          <w:lang w:eastAsia="en-GB"/>
        </w:rPr>
        <w:t xml:space="preserve"> The decreasing market size can have a negative impact on trading. This is because a low market size entails the risk of thin or illiquid trading</w:t>
      </w:r>
      <w:r w:rsidRPr="1FC5E705">
        <w:rPr>
          <w:noProof/>
          <w:vertAlign w:val="superscript"/>
        </w:rPr>
        <w:footnoteReference w:id="54"/>
      </w:r>
      <w:r w:rsidRPr="002B0D84">
        <w:rPr>
          <w:noProof/>
          <w:lang w:eastAsia="en-GB"/>
        </w:rPr>
        <w:t>, which would in turn cause price volatility and uncertainty.</w:t>
      </w:r>
    </w:p>
    <w:p w14:paraId="3F772708" w14:textId="77777777" w:rsidR="00A71942" w:rsidRPr="002B0D84" w:rsidRDefault="00A71942" w:rsidP="00E276C8">
      <w:pPr>
        <w:spacing w:line="240" w:lineRule="auto"/>
        <w:ind w:firstLine="720"/>
        <w:rPr>
          <w:noProof/>
          <w:lang w:eastAsia="en-GB"/>
        </w:rPr>
      </w:pPr>
      <w:r>
        <w:rPr>
          <w:noProof/>
        </w:rPr>
        <w:t>The following sub-driver has been identified:</w:t>
      </w:r>
    </w:p>
    <w:p w14:paraId="592124DD" w14:textId="77777777" w:rsidR="00A71942" w:rsidRPr="002B0D84" w:rsidRDefault="00A71942" w:rsidP="00E276C8">
      <w:pPr>
        <w:pStyle w:val="ListParagraph"/>
        <w:numPr>
          <w:ilvl w:val="1"/>
          <w:numId w:val="21"/>
        </w:numPr>
        <w:spacing w:after="120" w:line="240" w:lineRule="auto"/>
        <w:rPr>
          <w:noProof/>
          <w:lang w:eastAsia="en-GB"/>
        </w:rPr>
      </w:pPr>
      <w:r>
        <w:rPr>
          <w:noProof/>
        </w:rPr>
        <w:t xml:space="preserve">D4.1 (P10/11) Intrinsic functioning of the EU ETS: The design of the EU ETS as a cap-and-trade system to decrease EU emissions over time works on the principle that the cap is reduced annually in line with the </w:t>
      </w:r>
      <w:r w:rsidRPr="1FC5E705">
        <w:rPr>
          <w:rFonts w:eastAsia="MS PGothic"/>
          <w:noProof/>
        </w:rPr>
        <w:t>EU’s climate target</w:t>
      </w:r>
      <w:r>
        <w:rPr>
          <w:noProof/>
        </w:rPr>
        <w:t xml:space="preserve">. As the cap decreases, so does the supply of allowances to the EU carbon market. Therefore, as the cap approaches zero (or very low levels), the size of the market will also reduce over time. A smaller market size increases the risks of trading frictions. </w:t>
      </w:r>
    </w:p>
    <w:p w14:paraId="67900CA6" w14:textId="77777777" w:rsidR="00A71942" w:rsidRPr="002B0D84" w:rsidRDefault="00A71942" w:rsidP="00E276C8">
      <w:pPr>
        <w:pStyle w:val="Heading2COM"/>
        <w:spacing w:before="120" w:after="120" w:line="240" w:lineRule="auto"/>
        <w:outlineLvl w:val="2"/>
        <w15:collapsed w:val="0"/>
        <w:rPr>
          <w:noProof/>
        </w:rPr>
      </w:pPr>
      <w:bookmarkStart w:id="516" w:name="_Toc232611523"/>
      <w:bookmarkStart w:id="517" w:name="_Toc232758208"/>
      <w:r>
        <w:rPr>
          <w:noProof/>
        </w:rPr>
        <w:t>Specific objectives</w:t>
      </w:r>
      <w:bookmarkEnd w:id="516"/>
      <w:bookmarkEnd w:id="517"/>
    </w:p>
    <w:p w14:paraId="1C421865" w14:textId="77777777" w:rsidR="00A71942" w:rsidRPr="002B0D84" w:rsidRDefault="00A71942" w:rsidP="00E276C8">
      <w:pPr>
        <w:spacing w:line="240" w:lineRule="auto"/>
        <w:rPr>
          <w:noProof/>
        </w:rPr>
      </w:pPr>
      <w:r>
        <w:rPr>
          <w:noProof/>
        </w:rPr>
        <w:t>The general objectives set out above to address the identified problems can be broken down into a number of specific objectives.</w:t>
      </w:r>
    </w:p>
    <w:p w14:paraId="2EAE973C" w14:textId="77777777" w:rsidR="00A71942" w:rsidRPr="002B0D84" w:rsidRDefault="00A71942" w:rsidP="00E276C8">
      <w:pPr>
        <w:spacing w:line="240" w:lineRule="auto"/>
        <w:rPr>
          <w:noProof/>
        </w:rPr>
      </w:pPr>
      <w:r>
        <w:rPr>
          <w:noProof/>
        </w:rPr>
        <w:t xml:space="preserve">For the </w:t>
      </w:r>
      <w:r w:rsidRPr="1FC5E705">
        <w:rPr>
          <w:b/>
          <w:bCs/>
          <w:noProof/>
        </w:rPr>
        <w:t>general objective O1.1</w:t>
      </w:r>
      <w:r>
        <w:rPr>
          <w:noProof/>
        </w:rPr>
        <w:t xml:space="preserve"> </w:t>
      </w:r>
      <w:r w:rsidRPr="1FC5E705">
        <w:rPr>
          <w:b/>
          <w:bCs/>
          <w:noProof/>
        </w:rPr>
        <w:t>of incentivising emission reductions</w:t>
      </w:r>
      <w:r>
        <w:rPr>
          <w:noProof/>
        </w:rPr>
        <w:t>, the following specific objectives have been identified:</w:t>
      </w:r>
    </w:p>
    <w:p w14:paraId="7AECA9A4" w14:textId="77777777" w:rsidR="00A71942" w:rsidRPr="00454CE4" w:rsidRDefault="00A71942" w:rsidP="00E276C8">
      <w:pPr>
        <w:pStyle w:val="ListParagraph"/>
        <w:numPr>
          <w:ilvl w:val="0"/>
          <w:numId w:val="21"/>
        </w:numPr>
        <w:spacing w:after="120" w:line="240" w:lineRule="auto"/>
        <w:rPr>
          <w:rFonts w:eastAsia="Arial"/>
          <w:noProof/>
          <w:color w:val="000000"/>
          <w:lang w:eastAsia="en-GB"/>
        </w:rPr>
      </w:pPr>
      <w:r>
        <w:rPr>
          <w:noProof/>
        </w:rPr>
        <w:t xml:space="preserve">SO1.1.1 Enable investments in the decarbonisation technologies (both innovative ones and those ready for scale-up/roll-out) that currently do not yet have the business case (i.e. most of the technologies needed to address the emissions in the energy intensive industries, and in particular investments in mature decarbonisation technologies in carbon-intensive, low-income Member States). Those technologies need to address the ‘hard to abate’ emissions identified under D.1.1, for example, direct iron reduction for green steel, electrified steam and industrial heat production, electro-chemical processes, carbon capture in industry, </w:t>
      </w:r>
      <w:r w:rsidRPr="1FC5E705">
        <w:rPr>
          <w:rFonts w:eastAsia="Arial"/>
          <w:noProof/>
          <w:color w:val="000000"/>
        </w:rPr>
        <w:t xml:space="preserve">renewable low-carbon </w:t>
      </w:r>
      <w:r>
        <w:rPr>
          <w:noProof/>
        </w:rPr>
        <w:t xml:space="preserve">marine and aviation </w:t>
      </w:r>
      <w:r w:rsidRPr="1FC5E705">
        <w:rPr>
          <w:rFonts w:eastAsia="Arial"/>
          <w:noProof/>
          <w:color w:val="000000"/>
        </w:rPr>
        <w:t xml:space="preserve">fuels. To enable these investments the objective is to create the business case for private investment in the EU. with public funding instruments, or through recycling a part of ETS revenues in a simple and flexible way to  provide appropriate investment certainty while minimising the administrative burden for the Commission, national competent authorities and private operators. </w:t>
      </w:r>
    </w:p>
    <w:p w14:paraId="6434F867" w14:textId="77777777" w:rsidR="00A71942" w:rsidRPr="002B0D84" w:rsidRDefault="00A71942" w:rsidP="00E276C8">
      <w:pPr>
        <w:pStyle w:val="ListParagraph"/>
        <w:numPr>
          <w:ilvl w:val="0"/>
          <w:numId w:val="21"/>
        </w:numPr>
        <w:spacing w:after="120" w:line="240" w:lineRule="auto"/>
        <w:rPr>
          <w:noProof/>
        </w:rPr>
      </w:pPr>
      <w:r w:rsidRPr="002B0D84">
        <w:rPr>
          <w:rFonts w:eastAsia="Times New Roman"/>
          <w:noProof/>
          <w:lang w:eastAsia="en-GB"/>
        </w:rPr>
        <w:t xml:space="preserve">SO1.1.2 Ensure full carbon price signal </w:t>
      </w:r>
      <w:r w:rsidRPr="002B0D84">
        <w:rPr>
          <w:noProof/>
        </w:rPr>
        <w:t>is applied to emissions sources which are currently not in the scope of the EU ETS but would be well suited for its coverage</w:t>
      </w:r>
      <w:r w:rsidRPr="1FC5E705">
        <w:rPr>
          <w:rStyle w:val="FootnoteReference"/>
          <w:noProof/>
        </w:rPr>
        <w:footnoteReference w:id="55"/>
      </w:r>
      <w:r w:rsidRPr="002B0D84">
        <w:rPr>
          <w:noProof/>
        </w:rPr>
        <w:t xml:space="preserve">, and to sectors where currently dampened, to the degree possible while protecting against carbon leakage, </w:t>
      </w:r>
      <w:r w:rsidRPr="002B0D84">
        <w:rPr>
          <w:noProof/>
          <w:lang w:eastAsia="en-GB"/>
        </w:rPr>
        <w:t>maintaining territorial continuity and</w:t>
      </w:r>
      <w:r w:rsidRPr="002B0D84">
        <w:rPr>
          <w:noProof/>
        </w:rPr>
        <w:t xml:space="preserve"> ensuring fulfilment of public service obligations;</w:t>
      </w:r>
    </w:p>
    <w:p w14:paraId="5F2A831F" w14:textId="77777777" w:rsidR="00A71942" w:rsidRPr="002B0D84" w:rsidRDefault="00A71942" w:rsidP="00E276C8">
      <w:pPr>
        <w:pStyle w:val="ListParagraph"/>
        <w:numPr>
          <w:ilvl w:val="0"/>
          <w:numId w:val="21"/>
        </w:numPr>
        <w:spacing w:after="120" w:line="240" w:lineRule="auto"/>
        <w:rPr>
          <w:noProof/>
          <w:lang w:eastAsia="en-GB"/>
        </w:rPr>
      </w:pPr>
      <w:r>
        <w:rPr>
          <w:noProof/>
        </w:rPr>
        <w:t xml:space="preserve">SO1.1.3 Address risk of carbon leakage: leakage is measured by estimating how much overall greenhouse gas emissions would be added to the atmosphere due to the shift of certain activities from the EU (region with stricter climate policies) to regions with weaker policies. To assess the risk of this leakage materialising, it is necessary to examine the role of free allocation for stationary installations in non-CBAM sectors as a continuation of measures to protect against carbon leakage due to carbon costs, as well as the case for making such support conditional on installations’ investments in emissions reductions. Industries’ exposure to carbon leakage is assessed based on two key criteria: trade and emissions intensity. For aviation, it is necessary to examine the risk of hub carbon leakage, i.e. carbon leakage which occurs through an airport hub, and if needed, ways to mitigate this risk. Annex 10 and the support study contain relevant case studies. For maritime, it is necessary to examine the risk evasion by containerships and the risk of relocation of container transhipment activities to neighbouring non-EU ports, as well as the risk of evasion in relation to offshore services provided by ships. </w:t>
      </w:r>
    </w:p>
    <w:p w14:paraId="7CF53831" w14:textId="77777777" w:rsidR="00A71942" w:rsidRPr="002B0D84" w:rsidRDefault="00A71942" w:rsidP="00E276C8">
      <w:pPr>
        <w:spacing w:line="240" w:lineRule="auto"/>
        <w:rPr>
          <w:noProof/>
        </w:rPr>
      </w:pPr>
      <w:r>
        <w:rPr>
          <w:noProof/>
        </w:rPr>
        <w:t>For the general objective O1.2 reach a pre-set emissions reduction target provided by the 2040 policy package and with a net emissions calculation, the following specific objectives have been identified:</w:t>
      </w:r>
    </w:p>
    <w:p w14:paraId="66799A46" w14:textId="77777777" w:rsidR="00A71942" w:rsidRPr="002B0D84" w:rsidRDefault="00A71942" w:rsidP="00E276C8">
      <w:pPr>
        <w:pStyle w:val="ListParagraph"/>
        <w:numPr>
          <w:ilvl w:val="0"/>
          <w:numId w:val="21"/>
        </w:numPr>
        <w:spacing w:after="120" w:line="240" w:lineRule="auto"/>
        <w:rPr>
          <w:noProof/>
        </w:rPr>
      </w:pPr>
      <w:r>
        <w:rPr>
          <w:noProof/>
        </w:rPr>
        <w:t>SO1.2.1 Consider if carbon removals can be integrated in the ETS with sufficient environmental safeguards while preserving cost efficiency in achieving the ETS/EU climate objectives before 2040: to integrate removals in such a way that they counterbalance a certain number of emissions remaining in the system toward the ETS’s contribution to the 2040 climate target, while the market keeps functioning well and avoiding that companies postpone or defer crucial emission reductions.</w:t>
      </w:r>
    </w:p>
    <w:p w14:paraId="62204D9D" w14:textId="77777777" w:rsidR="00A71942" w:rsidRPr="002B0D84" w:rsidRDefault="00A71942" w:rsidP="00E276C8">
      <w:pPr>
        <w:pStyle w:val="ListParagraph"/>
        <w:numPr>
          <w:ilvl w:val="0"/>
          <w:numId w:val="21"/>
        </w:numPr>
        <w:spacing w:after="120" w:line="240" w:lineRule="auto"/>
        <w:rPr>
          <w:noProof/>
        </w:rPr>
      </w:pPr>
      <w:r>
        <w:rPr>
          <w:noProof/>
        </w:rPr>
        <w:t>SO1.2.2 Adjust ETS cap in line with pre-set climate target for 2040: The EU ETS sectors will contribute to the economy-wide emissions reductions in line with the intermediate 2040-target. The cap trajectory of the EU ETS therefore should be aligned with this intermediate target.</w:t>
      </w:r>
    </w:p>
    <w:p w14:paraId="0C4E663E" w14:textId="77777777" w:rsidR="00A71942" w:rsidRPr="002B0D84" w:rsidRDefault="00A71942" w:rsidP="00E276C8">
      <w:pPr>
        <w:spacing w:line="240" w:lineRule="auto"/>
        <w:rPr>
          <w:noProof/>
        </w:rPr>
      </w:pPr>
      <w:r>
        <w:rPr>
          <w:noProof/>
        </w:rPr>
        <w:t>For the general objective of O1.3 ensuring effectiveness of EU climate action on international transport while avoiding duplicative pricing, the following specific objective has been identified:</w:t>
      </w:r>
    </w:p>
    <w:p w14:paraId="36B502B5" w14:textId="77777777" w:rsidR="00A71942" w:rsidRPr="002B0D84" w:rsidRDefault="00A71942" w:rsidP="00E276C8">
      <w:pPr>
        <w:pStyle w:val="ListParagraph"/>
        <w:numPr>
          <w:ilvl w:val="0"/>
          <w:numId w:val="21"/>
        </w:numPr>
        <w:spacing w:after="120" w:line="240" w:lineRule="auto"/>
        <w:rPr>
          <w:noProof/>
        </w:rPr>
      </w:pPr>
      <w:r>
        <w:rPr>
          <w:noProof/>
        </w:rPr>
        <w:t>SO1.3.1 Ensure effective action on EU’s fair share of aviation emissions in the period 2031-2040 and adjust the scope of application of the EU ETS, if needed to ensure effective carbon pricing of the EU’s fair share of aviation emissions, taking into account other existing carbon pricing measures for international aviation.</w:t>
      </w:r>
    </w:p>
    <w:p w14:paraId="5935BDB5" w14:textId="77777777" w:rsidR="00A71942" w:rsidRPr="002B0D84" w:rsidRDefault="00A71942" w:rsidP="00E276C8">
      <w:pPr>
        <w:pStyle w:val="ListParagraph"/>
        <w:numPr>
          <w:ilvl w:val="0"/>
          <w:numId w:val="21"/>
        </w:numPr>
        <w:spacing w:after="120" w:line="240" w:lineRule="auto"/>
        <w:rPr>
          <w:noProof/>
        </w:rPr>
      </w:pPr>
      <w:r>
        <w:rPr>
          <w:noProof/>
        </w:rPr>
        <w:t xml:space="preserve">SO1.3.2 Preserve the effectiveness of the implementation of the EU ETS extension to maritime transport and maximise the regulatory efficiency of the EU ETS and IMO mid-term measures once adopted, notably by avoiding duplicative pricing of emissions leading to any significant double burden for shipping companies, while preserving the environmental integrity of the EU ETS, the EU climate goals and its international commitments. </w:t>
      </w:r>
    </w:p>
    <w:p w14:paraId="7DBBAE6E" w14:textId="77777777" w:rsidR="00A71942" w:rsidRPr="002B0D84" w:rsidRDefault="00A71942" w:rsidP="00E276C8">
      <w:pPr>
        <w:spacing w:line="240" w:lineRule="auto"/>
        <w:rPr>
          <w:noProof/>
        </w:rPr>
      </w:pPr>
      <w:r>
        <w:rPr>
          <w:noProof/>
        </w:rPr>
        <w:t xml:space="preserve">For the </w:t>
      </w:r>
      <w:r w:rsidRPr="1FC5E705">
        <w:rPr>
          <w:b/>
          <w:bCs/>
          <w:noProof/>
        </w:rPr>
        <w:t>general objective O2.1 of ensuring efficient market functioning</w:t>
      </w:r>
      <w:r>
        <w:rPr>
          <w:noProof/>
        </w:rPr>
        <w:t>, the following specific objectives have been identified:</w:t>
      </w:r>
    </w:p>
    <w:p w14:paraId="241F9E76" w14:textId="77777777" w:rsidR="00A71942" w:rsidRPr="002B0D84" w:rsidRDefault="00A71942" w:rsidP="00E276C8">
      <w:pPr>
        <w:pStyle w:val="ListParagraph"/>
        <w:numPr>
          <w:ilvl w:val="0"/>
          <w:numId w:val="21"/>
        </w:numPr>
        <w:spacing w:after="120" w:line="240" w:lineRule="auto"/>
        <w:rPr>
          <w:rFonts w:eastAsia="MS PGothic"/>
          <w:noProof/>
          <w:color w:val="242828"/>
        </w:rPr>
      </w:pPr>
      <w:r>
        <w:rPr>
          <w:noProof/>
        </w:rPr>
        <w:t xml:space="preserve">SO2.1.1 Increase size of the market until 2040: to achieve a higher liquidity to directly reduce the </w:t>
      </w:r>
      <w:r w:rsidRPr="1FC5E705">
        <w:rPr>
          <w:rFonts w:eastAsia="MS PGothic"/>
          <w:noProof/>
        </w:rPr>
        <w:t xml:space="preserve">risk of market inefficiencies stemming from a small market size (see Problem 2 description). </w:t>
      </w:r>
    </w:p>
    <w:p w14:paraId="6C0EC8F1" w14:textId="77777777" w:rsidR="00A71942" w:rsidRPr="002B0D84" w:rsidRDefault="00A71942" w:rsidP="00E276C8">
      <w:pPr>
        <w:pStyle w:val="ListParagraph"/>
        <w:numPr>
          <w:ilvl w:val="0"/>
          <w:numId w:val="21"/>
        </w:numPr>
        <w:spacing w:after="120" w:line="240" w:lineRule="auto"/>
        <w:rPr>
          <w:noProof/>
        </w:rPr>
      </w:pPr>
      <w:r w:rsidRPr="002B0D84">
        <w:rPr>
          <w:noProof/>
        </w:rPr>
        <w:t xml:space="preserve">SO2.1.2 </w:t>
      </w:r>
      <w:r w:rsidRPr="00A67D55">
        <w:rPr>
          <w:noProof/>
        </w:rPr>
        <w:t>Adjust MSR parameters to ensure a healthy supply-demand balance</w:t>
      </w:r>
      <w:r w:rsidRPr="1FC5E705">
        <w:rPr>
          <w:rStyle w:val="FootnoteReference"/>
          <w:noProof/>
        </w:rPr>
        <w:footnoteReference w:id="56"/>
      </w:r>
      <w:r w:rsidRPr="00A67D55">
        <w:rPr>
          <w:noProof/>
        </w:rPr>
        <w:t xml:space="preserve"> until 2040</w:t>
      </w:r>
      <w:r w:rsidRPr="002B0D84">
        <w:rPr>
          <w:noProof/>
        </w:rPr>
        <w:t>:</w:t>
      </w:r>
      <w:r>
        <w:rPr>
          <w:noProof/>
        </w:rPr>
        <w:t xml:space="preserve"> in particular by</w:t>
      </w:r>
      <w:r w:rsidRPr="002B0D84">
        <w:rPr>
          <w:noProof/>
        </w:rPr>
        <w:t xml:space="preserve"> designing the market stability reserve in such a way that (i) the rules for intakes and releases of allowances are adjusted to the cap trajectory (decreasing cap, but potentially at a different pace and with a wider scope), and (ii) the rule for invalidation of allowances is revised in view of the future market conditions, with the overall aim to ensure sufficient liquidity in the market; a secondary aim would be to ensure that liquidity is proportional to future demand, for a good balance of the market.</w:t>
      </w:r>
    </w:p>
    <w:p w14:paraId="0E3FA89C" w14:textId="77777777" w:rsidR="00A71942" w:rsidRPr="002B0D84" w:rsidRDefault="00A71942" w:rsidP="00E276C8">
      <w:pPr>
        <w:pStyle w:val="Heading2COM"/>
        <w:spacing w:before="120" w:after="120" w:line="240" w:lineRule="auto"/>
        <w:outlineLvl w:val="2"/>
        <w15:collapsed w:val="0"/>
        <w:rPr>
          <w:noProof/>
        </w:rPr>
      </w:pPr>
      <w:bookmarkStart w:id="518" w:name="_Toc232611524"/>
      <w:bookmarkStart w:id="519" w:name="_Toc232758209"/>
      <w:r>
        <w:rPr>
          <w:noProof/>
        </w:rPr>
        <w:t>Baseline</w:t>
      </w:r>
      <w:bookmarkEnd w:id="518"/>
      <w:bookmarkEnd w:id="519"/>
    </w:p>
    <w:p w14:paraId="3B34213E" w14:textId="77777777" w:rsidR="00A71942" w:rsidRPr="002B0D84" w:rsidRDefault="00A71942" w:rsidP="00E276C8">
      <w:pPr>
        <w:spacing w:line="240" w:lineRule="auto"/>
        <w:rPr>
          <w:noProof/>
        </w:rPr>
      </w:pPr>
      <w:r>
        <w:rPr>
          <w:noProof/>
        </w:rPr>
        <w:t xml:space="preserve">The </w:t>
      </w:r>
      <w:r w:rsidRPr="1FC5E705">
        <w:rPr>
          <w:b/>
          <w:bCs/>
          <w:noProof/>
        </w:rPr>
        <w:t>ambition</w:t>
      </w:r>
      <w:r>
        <w:rPr>
          <w:noProof/>
        </w:rPr>
        <w:t xml:space="preserve"> of the system is determined by the continuation of the linear reduction factor established in Article 9 of the ETS Directive, of 4,4 % from 2028 onwards, which applies to all EU ETS sectors. In the current legislative framework, the system neither recognises the generation of carbon removals nor allows surrendering of carbon removals instead of allowances. The MSR continues to operate based on the surplus indicator defined as Total Number of Allowances in Circulation (TNAC) and its current parameters: intake rate of 24% (reverting to 12% as of 2031) of the TNAC when this is above 1096 million, intake rate of the difference between the TNAC and 833 million when the TNAC is between 833 million and 1 096 million; release of 100 million allowances when the TNAC falls below 400 million; the invalidation of allowances in the reserve above 400 million allowances.</w:t>
      </w:r>
    </w:p>
    <w:p w14:paraId="59EC26AE" w14:textId="77777777" w:rsidR="00A71942" w:rsidRPr="002B0D84" w:rsidRDefault="00A71942" w:rsidP="00E276C8">
      <w:pPr>
        <w:spacing w:line="240" w:lineRule="auto"/>
        <w:rPr>
          <w:noProof/>
        </w:rPr>
      </w:pPr>
      <w:r>
        <w:rPr>
          <w:noProof/>
        </w:rPr>
        <w:t xml:space="preserve">The </w:t>
      </w:r>
      <w:r w:rsidRPr="1FC5E705">
        <w:rPr>
          <w:b/>
          <w:bCs/>
          <w:noProof/>
        </w:rPr>
        <w:t>cap trajectory</w:t>
      </w:r>
      <w:r>
        <w:rPr>
          <w:noProof/>
        </w:rPr>
        <w:t xml:space="preserve"> of the baseline is described in the below table:</w:t>
      </w:r>
    </w:p>
    <w:p w14:paraId="5394D546" w14:textId="77777777" w:rsidR="00A71942" w:rsidRPr="002B0D84" w:rsidRDefault="00A71942" w:rsidP="00E276C8">
      <w:pPr>
        <w:pStyle w:val="Tabletitle"/>
        <w:spacing w:after="120" w:line="240" w:lineRule="auto"/>
        <w:ind w:left="720"/>
        <w:rPr>
          <w:noProof/>
        </w:rPr>
      </w:pPr>
      <w:bookmarkStart w:id="520" w:name="_Toc232608940"/>
      <w:bookmarkStart w:id="521" w:name="_Toc232609676"/>
      <w:bookmarkStart w:id="522" w:name="_Toc232611551"/>
      <w:bookmarkStart w:id="523" w:name="_Toc232672610"/>
      <w:bookmarkStart w:id="524" w:name="_Toc232758462"/>
      <w:r>
        <w:rPr>
          <w:noProof/>
        </w:rPr>
        <w:t>Baseline cap trajectory.</w:t>
      </w:r>
      <w:bookmarkEnd w:id="520"/>
      <w:bookmarkEnd w:id="521"/>
      <w:bookmarkEnd w:id="522"/>
      <w:bookmarkEnd w:id="523"/>
      <w:bookmarkEnd w:id="524"/>
    </w:p>
    <w:tbl>
      <w:tblPr>
        <w:tblW w:w="5000" w:type="pct"/>
        <w:tblLook w:val="04A0" w:firstRow="1" w:lastRow="0" w:firstColumn="1" w:lastColumn="0" w:noHBand="0" w:noVBand="1"/>
      </w:tblPr>
      <w:tblGrid>
        <w:gridCol w:w="1036"/>
        <w:gridCol w:w="1622"/>
        <w:gridCol w:w="1624"/>
        <w:gridCol w:w="1624"/>
        <w:gridCol w:w="983"/>
        <w:gridCol w:w="2161"/>
      </w:tblGrid>
      <w:tr w:rsidR="00A71942" w:rsidRPr="002B0D84" w14:paraId="44115D73" w14:textId="77777777" w:rsidTr="1FC5E705">
        <w:trPr>
          <w:trHeight w:val="300"/>
        </w:trPr>
        <w:tc>
          <w:tcPr>
            <w:tcW w:w="572" w:type="pct"/>
            <w:tcBorders>
              <w:top w:val="single" w:sz="8" w:space="0" w:color="auto"/>
              <w:left w:val="single" w:sz="8" w:space="0" w:color="auto"/>
              <w:bottom w:val="single" w:sz="8" w:space="0" w:color="auto"/>
              <w:right w:val="single" w:sz="8" w:space="0" w:color="auto"/>
            </w:tcBorders>
            <w:tcMar>
              <w:left w:w="108" w:type="dxa"/>
              <w:right w:w="108" w:type="dxa"/>
            </w:tcMar>
          </w:tcPr>
          <w:p w14:paraId="0FC6C622" w14:textId="77777777" w:rsidR="00A71942" w:rsidRPr="002B0D84" w:rsidRDefault="00A71942" w:rsidP="00E276C8">
            <w:pPr>
              <w:spacing w:line="240" w:lineRule="auto"/>
              <w:rPr>
                <w:noProof/>
                <w:sz w:val="22"/>
                <w:szCs w:val="22"/>
              </w:rPr>
            </w:pPr>
            <w:r w:rsidRPr="1FC5E705">
              <w:rPr>
                <w:noProof/>
                <w:sz w:val="22"/>
                <w:szCs w:val="22"/>
              </w:rPr>
              <w:t>EEA</w:t>
            </w:r>
          </w:p>
        </w:tc>
        <w:tc>
          <w:tcPr>
            <w:tcW w:w="89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BC8D0" w14:textId="77777777" w:rsidR="00A71942" w:rsidRPr="002B0D84" w:rsidRDefault="00A71942" w:rsidP="00E276C8">
            <w:pPr>
              <w:spacing w:line="240" w:lineRule="auto"/>
              <w:jc w:val="left"/>
              <w:rPr>
                <w:b/>
                <w:bCs/>
                <w:noProof/>
                <w:sz w:val="22"/>
                <w:szCs w:val="22"/>
              </w:rPr>
            </w:pPr>
            <w:r w:rsidRPr="1FC5E705">
              <w:rPr>
                <w:b/>
                <w:bCs/>
                <w:noProof/>
                <w:sz w:val="22"/>
                <w:szCs w:val="22"/>
              </w:rPr>
              <w:t>Cap 2030 (Mt)</w:t>
            </w:r>
          </w:p>
        </w:tc>
        <w:tc>
          <w:tcPr>
            <w:tcW w:w="89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43B1D2" w14:textId="77777777" w:rsidR="00A71942" w:rsidRPr="002B0D84" w:rsidRDefault="00A71942" w:rsidP="00E276C8">
            <w:pPr>
              <w:spacing w:line="240" w:lineRule="auto"/>
              <w:jc w:val="left"/>
              <w:rPr>
                <w:b/>
                <w:bCs/>
                <w:noProof/>
                <w:sz w:val="22"/>
                <w:szCs w:val="22"/>
              </w:rPr>
            </w:pPr>
            <w:r w:rsidRPr="1FC5E705">
              <w:rPr>
                <w:b/>
                <w:bCs/>
                <w:noProof/>
                <w:sz w:val="22"/>
                <w:szCs w:val="22"/>
              </w:rPr>
              <w:t>Cap 2035 (Mt)</w:t>
            </w:r>
          </w:p>
        </w:tc>
        <w:tc>
          <w:tcPr>
            <w:tcW w:w="89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9B275" w14:textId="77777777" w:rsidR="00A71942" w:rsidRPr="002B0D84" w:rsidRDefault="00A71942" w:rsidP="00E276C8">
            <w:pPr>
              <w:spacing w:line="240" w:lineRule="auto"/>
              <w:jc w:val="left"/>
              <w:rPr>
                <w:b/>
                <w:bCs/>
                <w:noProof/>
                <w:sz w:val="22"/>
                <w:szCs w:val="22"/>
              </w:rPr>
            </w:pPr>
            <w:r w:rsidRPr="1FC5E705">
              <w:rPr>
                <w:b/>
                <w:bCs/>
                <w:noProof/>
                <w:sz w:val="22"/>
                <w:szCs w:val="22"/>
              </w:rPr>
              <w:t>Cap 2040 (Mt)</w:t>
            </w:r>
          </w:p>
        </w:tc>
        <w:tc>
          <w:tcPr>
            <w:tcW w:w="543"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0255E" w14:textId="77777777" w:rsidR="00A71942" w:rsidRPr="002B0D84" w:rsidRDefault="00A71942" w:rsidP="00E276C8">
            <w:pPr>
              <w:spacing w:line="240" w:lineRule="auto"/>
              <w:jc w:val="left"/>
              <w:rPr>
                <w:noProof/>
                <w:sz w:val="22"/>
                <w:szCs w:val="22"/>
              </w:rPr>
            </w:pPr>
            <w:r w:rsidRPr="1FC5E705">
              <w:rPr>
                <w:noProof/>
                <w:sz w:val="22"/>
                <w:szCs w:val="22"/>
              </w:rPr>
              <w:t>LRF</w:t>
            </w:r>
          </w:p>
        </w:tc>
        <w:tc>
          <w:tcPr>
            <w:tcW w:w="1194"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67271" w14:textId="77777777" w:rsidR="00A71942" w:rsidRPr="002B0D84" w:rsidRDefault="00A71942" w:rsidP="00E276C8">
            <w:pPr>
              <w:spacing w:line="240" w:lineRule="auto"/>
              <w:jc w:val="left"/>
              <w:rPr>
                <w:noProof/>
                <w:sz w:val="22"/>
                <w:szCs w:val="22"/>
              </w:rPr>
            </w:pPr>
            <w:r w:rsidRPr="1FC5E705">
              <w:rPr>
                <w:noProof/>
                <w:sz w:val="22"/>
                <w:szCs w:val="22"/>
              </w:rPr>
              <w:t>Budget 2031-2040 (Mt)</w:t>
            </w:r>
          </w:p>
        </w:tc>
      </w:tr>
      <w:tr w:rsidR="00A71942" w:rsidRPr="002B0D84" w14:paraId="39EA2296" w14:textId="77777777" w:rsidTr="1FC5E705">
        <w:trPr>
          <w:trHeight w:val="45"/>
        </w:trPr>
        <w:tc>
          <w:tcPr>
            <w:tcW w:w="572" w:type="pct"/>
            <w:tcBorders>
              <w:top w:val="single" w:sz="8" w:space="0" w:color="auto"/>
              <w:left w:val="single" w:sz="8" w:space="0" w:color="auto"/>
              <w:bottom w:val="single" w:sz="8" w:space="0" w:color="auto"/>
              <w:right w:val="single" w:sz="8" w:space="0" w:color="auto"/>
            </w:tcBorders>
            <w:tcMar>
              <w:left w:w="108" w:type="dxa"/>
              <w:right w:w="108" w:type="dxa"/>
            </w:tcMar>
          </w:tcPr>
          <w:p w14:paraId="693ADD1E" w14:textId="77777777" w:rsidR="00A71942" w:rsidRPr="002B0D84" w:rsidRDefault="00A71942" w:rsidP="00E276C8">
            <w:pPr>
              <w:spacing w:line="240" w:lineRule="auto"/>
              <w:rPr>
                <w:b/>
                <w:bCs/>
                <w:noProof/>
                <w:sz w:val="22"/>
                <w:szCs w:val="22"/>
              </w:rPr>
            </w:pPr>
            <w:r w:rsidRPr="1FC5E705">
              <w:rPr>
                <w:b/>
                <w:bCs/>
                <w:noProof/>
                <w:sz w:val="22"/>
                <w:szCs w:val="22"/>
              </w:rPr>
              <w:t>Baseline</w:t>
            </w:r>
          </w:p>
        </w:tc>
        <w:tc>
          <w:tcPr>
            <w:tcW w:w="89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1A7A9" w14:textId="5EF64E59" w:rsidR="00A71942" w:rsidRPr="002B0D84" w:rsidRDefault="00A71942" w:rsidP="00E276C8">
            <w:pPr>
              <w:spacing w:line="240" w:lineRule="auto"/>
              <w:jc w:val="center"/>
              <w:rPr>
                <w:noProof/>
                <w:sz w:val="22"/>
                <w:szCs w:val="22"/>
              </w:rPr>
            </w:pPr>
            <w:r w:rsidRPr="1FC5E705">
              <w:rPr>
                <w:noProof/>
                <w:sz w:val="22"/>
                <w:szCs w:val="22"/>
              </w:rPr>
              <w:t>97</w:t>
            </w:r>
            <w:r w:rsidR="007F7F11">
              <w:rPr>
                <w:noProof/>
                <w:sz w:val="22"/>
                <w:szCs w:val="22"/>
              </w:rPr>
              <w:t>5</w:t>
            </w:r>
          </w:p>
        </w:tc>
        <w:tc>
          <w:tcPr>
            <w:tcW w:w="89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9B71D" w14:textId="2A2899CE" w:rsidR="00A71942" w:rsidRPr="002B0D84" w:rsidRDefault="00A71942" w:rsidP="00E276C8">
            <w:pPr>
              <w:spacing w:line="240" w:lineRule="auto"/>
              <w:jc w:val="center"/>
              <w:rPr>
                <w:noProof/>
                <w:sz w:val="22"/>
                <w:szCs w:val="22"/>
              </w:rPr>
            </w:pPr>
            <w:r w:rsidRPr="1FC5E705">
              <w:rPr>
                <w:noProof/>
                <w:sz w:val="22"/>
                <w:szCs w:val="22"/>
              </w:rPr>
              <w:t>48</w:t>
            </w:r>
            <w:r w:rsidR="007F7F11">
              <w:rPr>
                <w:noProof/>
                <w:sz w:val="22"/>
                <w:szCs w:val="22"/>
              </w:rPr>
              <w:t>5</w:t>
            </w:r>
          </w:p>
        </w:tc>
        <w:tc>
          <w:tcPr>
            <w:tcW w:w="89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2C0A2" w14:textId="77777777" w:rsidR="00A71942" w:rsidRPr="002B0D84" w:rsidRDefault="00A71942" w:rsidP="00E276C8">
            <w:pPr>
              <w:spacing w:line="240" w:lineRule="auto"/>
              <w:jc w:val="center"/>
              <w:rPr>
                <w:noProof/>
                <w:sz w:val="22"/>
                <w:szCs w:val="22"/>
              </w:rPr>
            </w:pPr>
            <w:r w:rsidRPr="1FC5E705">
              <w:rPr>
                <w:noProof/>
                <w:sz w:val="22"/>
                <w:szCs w:val="22"/>
              </w:rPr>
              <w:t>69</w:t>
            </w:r>
          </w:p>
        </w:tc>
        <w:tc>
          <w:tcPr>
            <w:tcW w:w="543"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4CC50" w14:textId="77777777" w:rsidR="00A71942" w:rsidRPr="002B0D84" w:rsidRDefault="00A71942" w:rsidP="00E276C8">
            <w:pPr>
              <w:spacing w:line="240" w:lineRule="auto"/>
              <w:jc w:val="center"/>
              <w:rPr>
                <w:noProof/>
                <w:sz w:val="22"/>
                <w:szCs w:val="22"/>
              </w:rPr>
            </w:pPr>
            <w:r w:rsidRPr="1FC5E705">
              <w:rPr>
                <w:noProof/>
                <w:sz w:val="22"/>
                <w:szCs w:val="22"/>
              </w:rPr>
              <w:t>-4.4%</w:t>
            </w:r>
          </w:p>
        </w:tc>
        <w:tc>
          <w:tcPr>
            <w:tcW w:w="1194"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EDB26" w14:textId="72A135C5" w:rsidR="00A71942" w:rsidRPr="002B0D84" w:rsidRDefault="00A71942" w:rsidP="00E276C8">
            <w:pPr>
              <w:spacing w:line="240" w:lineRule="auto"/>
              <w:jc w:val="center"/>
              <w:rPr>
                <w:noProof/>
                <w:sz w:val="22"/>
                <w:szCs w:val="22"/>
              </w:rPr>
            </w:pPr>
            <w:r w:rsidRPr="1FC5E705">
              <w:rPr>
                <w:noProof/>
                <w:sz w:val="22"/>
                <w:szCs w:val="22"/>
              </w:rPr>
              <w:t>44</w:t>
            </w:r>
            <w:r w:rsidR="007F7F11">
              <w:rPr>
                <w:noProof/>
                <w:sz w:val="22"/>
                <w:szCs w:val="22"/>
              </w:rPr>
              <w:t>36</w:t>
            </w:r>
          </w:p>
        </w:tc>
      </w:tr>
    </w:tbl>
    <w:p w14:paraId="663DAFE7" w14:textId="77777777" w:rsidR="00A71942" w:rsidRPr="002B0D84" w:rsidRDefault="00A71942" w:rsidP="00E276C8">
      <w:pPr>
        <w:spacing w:line="240" w:lineRule="auto"/>
        <w:rPr>
          <w:noProof/>
        </w:rPr>
      </w:pPr>
      <w:r>
        <w:rPr>
          <w:noProof/>
        </w:rPr>
        <w:t xml:space="preserve">The currently legislated cap trajectory and MSR design are the result of the latest revision of the ETS, which constituted an interim revision necessary to set the ETS in line with the increased 2030 ambition. While appropriate in the short term, continuing on this path is untenable in the long term and could lead to a vastly over-constrained system in the 2030s. </w:t>
      </w:r>
    </w:p>
    <w:p w14:paraId="679221D5" w14:textId="77777777" w:rsidR="00A71942" w:rsidRPr="002B0D84" w:rsidRDefault="00A71942" w:rsidP="00E276C8">
      <w:pPr>
        <w:spacing w:line="240" w:lineRule="auto"/>
        <w:rPr>
          <w:rStyle w:val="normaltextrun"/>
          <w:noProof/>
        </w:rPr>
      </w:pPr>
      <w:r w:rsidRPr="1FC5E705">
        <w:rPr>
          <w:rStyle w:val="normaltextrun"/>
          <w:noProof/>
        </w:rPr>
        <w:t xml:space="preserve">Strictly speaking, the baseline would reduce the cap to 69Mt by 2040 in its extended scope. However, taking all available technical options in the PRIMES modelling, the emissions would be some 147Mt in the EU scope and likely somewhat higher in the EEA scope, to reach some 150Mt (the ‘Modelling Baseline’ result). </w:t>
      </w:r>
    </w:p>
    <w:p w14:paraId="6C28DE50" w14:textId="4F1F68FA" w:rsidR="00A71942" w:rsidRPr="002B0D84" w:rsidRDefault="00A71942" w:rsidP="00E276C8">
      <w:pPr>
        <w:spacing w:line="240" w:lineRule="auto"/>
        <w:rPr>
          <w:noProof/>
        </w:rPr>
      </w:pPr>
      <w:r>
        <w:rPr>
          <w:noProof/>
        </w:rPr>
        <w:t>This is significantly lower than the attained reductions and carbon budget in cost-effective scenario modelling which attains the 85% target for domestic economy-wide emissions reductions. As a result, economy-wide investments and costs will be higher in the baseline than the cost-effective case. In that sense, the baseline does not match the ETS trajectory appropriately to the cost-efficient domestic 2040 target. In addition, the technological risks that the reductions in the model will not be achieved are also higher, given the need to exhaust technical options, leaving little room for error.</w:t>
      </w:r>
    </w:p>
    <w:p w14:paraId="76E59F84" w14:textId="77777777" w:rsidR="00A71942" w:rsidRPr="002B0D84" w:rsidRDefault="00A71942" w:rsidP="00E276C8">
      <w:pPr>
        <w:spacing w:line="240" w:lineRule="auto"/>
        <w:rPr>
          <w:noProof/>
        </w:rPr>
      </w:pPr>
      <w:r>
        <w:rPr>
          <w:noProof/>
        </w:rPr>
        <w:t xml:space="preserve">The baseline scenario was also simulated for the </w:t>
      </w:r>
      <w:r w:rsidRPr="1FC5E705">
        <w:rPr>
          <w:b/>
          <w:bCs/>
          <w:noProof/>
        </w:rPr>
        <w:t>MSR</w:t>
      </w:r>
      <w:r>
        <w:rPr>
          <w:noProof/>
        </w:rPr>
        <w:t xml:space="preserve"> with the POLES-Enerdata model, using the legal default cap for the supply and the legal default emissions scenario from PRIMES for the demand. The modelling results show how the cap trajectory and MSR design could lead to a vastly over-constrained system in the 2030s. As a consequence, the ETS a price signal could have a steep increase in the period 2030-2032, after which prices stabilise until 2036 and then takes off again with steep increase until 2040. The analysis in Annex 8 further outlines that the legal default option the currently legislated is therefore not well suited to be used as a starting point in the MSR measure-level assessment. To that end an adjusted baseline is constructure that provides a more realistic evolution of market conditions.</w:t>
      </w:r>
    </w:p>
    <w:p w14:paraId="62257FEA" w14:textId="2D98C0C7" w:rsidR="00A71942" w:rsidRPr="002B0D84" w:rsidRDefault="00A71942" w:rsidP="00E276C8">
      <w:pPr>
        <w:spacing w:line="240" w:lineRule="auto"/>
        <w:rPr>
          <w:noProof/>
        </w:rPr>
      </w:pPr>
      <w:r>
        <w:rPr>
          <w:noProof/>
        </w:rPr>
        <w:t xml:space="preserve">In the baseline, in terms of </w:t>
      </w:r>
      <w:r w:rsidRPr="1FC5E705">
        <w:rPr>
          <w:b/>
          <w:bCs/>
          <w:noProof/>
        </w:rPr>
        <w:t>instruments to support investments</w:t>
      </w:r>
      <w:r>
        <w:rPr>
          <w:noProof/>
        </w:rPr>
        <w:t xml:space="preserve"> continuation of the Innovation Fund (IF) is assumed as already foreseen in the ETS Directive using existing instruments (‘regular’ grants and, to lesser extent, auctions and financial instruments) to address technology and early commercialisation risks across innovative decarbonisation technologies in ETS covered sectors, alongside the establishment of the Industrial Decarbonisation Bank (IDB) with a </w:t>
      </w:r>
      <w:r w:rsidR="00AF4C40">
        <w:rPr>
          <w:noProof/>
        </w:rPr>
        <w:t xml:space="preserve">EUR </w:t>
      </w:r>
      <w:r>
        <w:rPr>
          <w:noProof/>
        </w:rPr>
        <w:t>100 billion envelope as announced under the Clean Industrial Deal to address commercialisation risks for scale-up and roll-out of decarbonisation technologies in Energy Intensive Industries.</w:t>
      </w:r>
    </w:p>
    <w:p w14:paraId="53A922AD" w14:textId="7F7ACCBF" w:rsidR="00A71942" w:rsidRPr="002B0D84" w:rsidRDefault="00A71942" w:rsidP="00E276C8">
      <w:pPr>
        <w:spacing w:line="240" w:lineRule="auto"/>
        <w:rPr>
          <w:noProof/>
        </w:rPr>
      </w:pPr>
      <w:r>
        <w:rPr>
          <w:noProof/>
        </w:rPr>
        <w:t xml:space="preserve">For </w:t>
      </w:r>
      <w:r w:rsidRPr="1FC5E705">
        <w:rPr>
          <w:b/>
          <w:bCs/>
          <w:noProof/>
        </w:rPr>
        <w:t>aviation</w:t>
      </w:r>
      <w:r>
        <w:rPr>
          <w:noProof/>
        </w:rPr>
        <w:t xml:space="preserve">, the EU ETS would apply to departing and arriving flights from the EEA to around 90 countries from the start of 2027, if no amendment to the ETS Directive were adopted before surrender requirements for emissions released in 2027 are due. Currently, incoming flights from Switzerland and the UK are already exempted as those are covered by the Swiss and UK ETS respectively. Other incoming flights could also be exempted if this is considered optimal interaction. This is not assumed in the baseline, but it would reflect the EU's fair share of emissions while maintaining equal treatment of aircraft operators on routes, with the EU regulating departing flights, while other countries would be responsible for flights to the EEA. PO2 acts as such a variation. The ETS Directive reserves 20 million allowances from January 2024 until 31 December 2030 for covering up to 100% of the cost-difference for using eligible fuels on routes covered by the ETS carbon price (Article 3c(6)). Without action by the European Parliament and the Council, this support expires or runs out. </w:t>
      </w:r>
    </w:p>
    <w:p w14:paraId="1AA42B8E" w14:textId="1D215EAB" w:rsidR="00A71942" w:rsidRPr="002B0D84" w:rsidRDefault="00A71942" w:rsidP="00E276C8">
      <w:pPr>
        <w:spacing w:line="240" w:lineRule="auto"/>
        <w:rPr>
          <w:noProof/>
        </w:rPr>
      </w:pPr>
      <w:r w:rsidRPr="002B0D84">
        <w:rPr>
          <w:rFonts w:eastAsia="Times New Roman"/>
          <w:noProof/>
        </w:rPr>
        <w:t>When accounting for the increasing use of SAF as mandated by ReFuelEU aviation and global SAF uptake projections by ICAO, in the baseline global</w:t>
      </w:r>
      <w:r w:rsidRPr="1FC5E705">
        <w:rPr>
          <w:rStyle w:val="FootnoteReference"/>
          <w:rFonts w:eastAsia="Times New Roman"/>
          <w:noProof/>
        </w:rPr>
        <w:footnoteReference w:id="57"/>
      </w:r>
      <w:r w:rsidRPr="002B0D84">
        <w:rPr>
          <w:rFonts w:eastAsia="Times New Roman"/>
          <w:noProof/>
        </w:rPr>
        <w:t xml:space="preserve"> aviation CO</w:t>
      </w:r>
      <w:r w:rsidRPr="002B0D84">
        <w:rPr>
          <w:rFonts w:eastAsia="Times New Roman"/>
          <w:noProof/>
          <w:vertAlign w:val="subscript"/>
        </w:rPr>
        <w:t>2</w:t>
      </w:r>
      <w:r w:rsidRPr="002B0D84">
        <w:rPr>
          <w:rFonts w:eastAsia="Times New Roman"/>
          <w:noProof/>
        </w:rPr>
        <w:t xml:space="preserve"> emissions should decrease to 590Mt CO</w:t>
      </w:r>
      <w:r w:rsidRPr="002B0D84">
        <w:rPr>
          <w:rFonts w:eastAsia="Times New Roman"/>
          <w:noProof/>
          <w:vertAlign w:val="subscript"/>
        </w:rPr>
        <w:t>2</w:t>
      </w:r>
      <w:r w:rsidRPr="002B0D84">
        <w:rPr>
          <w:rFonts w:eastAsia="Times New Roman"/>
          <w:noProof/>
        </w:rPr>
        <w:t xml:space="preserve"> in 2040. Without accounting for the use of SAF, these emissions would </w:t>
      </w:r>
      <w:r w:rsidR="763E52E9" w:rsidRPr="002B0D84">
        <w:rPr>
          <w:rFonts w:eastAsia="Times New Roman"/>
          <w:noProof/>
        </w:rPr>
        <w:t>increase</w:t>
      </w:r>
      <w:r w:rsidRPr="002B0D84">
        <w:rPr>
          <w:rFonts w:eastAsia="Times New Roman"/>
          <w:noProof/>
        </w:rPr>
        <w:t xml:space="preserve"> from 690 Mt CO</w:t>
      </w:r>
      <w:r w:rsidRPr="002B0D84">
        <w:rPr>
          <w:rFonts w:eastAsia="Times New Roman"/>
          <w:noProof/>
          <w:vertAlign w:val="subscript"/>
        </w:rPr>
        <w:t>2</w:t>
      </w:r>
      <w:r w:rsidRPr="002B0D84">
        <w:rPr>
          <w:rFonts w:eastAsia="Times New Roman"/>
          <w:noProof/>
        </w:rPr>
        <w:t xml:space="preserve"> in 2024 to 763Mt CO</w:t>
      </w:r>
      <w:r w:rsidRPr="002B0D84">
        <w:rPr>
          <w:rFonts w:eastAsia="Times New Roman"/>
          <w:noProof/>
          <w:vertAlign w:val="subscript"/>
        </w:rPr>
        <w:t>2</w:t>
      </w:r>
      <w:r w:rsidRPr="002B0D84">
        <w:rPr>
          <w:rFonts w:eastAsia="Times New Roman"/>
          <w:noProof/>
        </w:rPr>
        <w:t xml:space="preserve"> in 2040. See table 2 in Annex 10. </w:t>
      </w:r>
      <w:r w:rsidRPr="1FC5E705">
        <w:rPr>
          <w:noProof/>
        </w:rPr>
        <w:t xml:space="preserve">When looking at </w:t>
      </w:r>
      <w:r w:rsidRPr="1FC5E705">
        <w:rPr>
          <w:b/>
          <w:bCs/>
          <w:noProof/>
        </w:rPr>
        <w:t>out-of-sector abatement</w:t>
      </w:r>
      <w:r w:rsidRPr="1FC5E705">
        <w:rPr>
          <w:noProof/>
        </w:rPr>
        <w:t>, under the baseline in 2035, 28.5% of global international aviation emissions are covered by the EU ETS compliance obligation, and 10.4% by CORSIA offsets (see table 3 in the main body). In 2040, the baseline covers 26.1% of global international aviation emissions and CORSIA covers 0% (as it is set to end in 2035).</w:t>
      </w:r>
    </w:p>
    <w:p w14:paraId="27279EDC" w14:textId="77777777" w:rsidR="00A71942" w:rsidRPr="002B0D84" w:rsidRDefault="00A71942" w:rsidP="00E276C8">
      <w:pPr>
        <w:spacing w:line="240" w:lineRule="auto"/>
        <w:rPr>
          <w:noProof/>
        </w:rPr>
      </w:pPr>
      <w:r>
        <w:rPr>
          <w:noProof/>
        </w:rPr>
        <w:t xml:space="preserve">Regarding </w:t>
      </w:r>
      <w:r w:rsidRPr="1FC5E705">
        <w:rPr>
          <w:b/>
          <w:bCs/>
          <w:noProof/>
        </w:rPr>
        <w:t>economic impacts</w:t>
      </w:r>
      <w:r>
        <w:rPr>
          <w:noProof/>
        </w:rPr>
        <w:t>, between 2023 and 2040, under the baseline demand increases across all market segments despite an increase in price for most segments (except cargo). Passenger demand for global international flights (those within Europe, as well as international flights outside Europe but not domestic flights outside Europe) increases: for first/ business class by 63%, for economy class by 49%, for low-cost by 30%, and for cargo by 43%. Average ticket prices are expected to increase between 2023 and 2040 under the baseline: for first/ business class by 20%, for economy class by 19%, for low-cost by 37%, and 0% (no change) for cargo. For other economic impacts of the baseline, including on the carbon cost as a share of the fuel cost or of total operating costs, risks of competitive distortions for airlines, risks of passenger shift</w:t>
      </w:r>
      <w:r w:rsidRPr="1FC5E705">
        <w:rPr>
          <w:rFonts w:eastAsia="Times New Roman"/>
          <w:noProof/>
        </w:rPr>
        <w:t xml:space="preserve"> </w:t>
      </w:r>
      <w:r>
        <w:rPr>
          <w:noProof/>
        </w:rPr>
        <w:t>and carbon leakage</w:t>
      </w:r>
      <w:r w:rsidRPr="1FC5E705">
        <w:rPr>
          <w:rFonts w:eastAsia="Times New Roman"/>
          <w:noProof/>
        </w:rPr>
        <w:t xml:space="preserve"> </w:t>
      </w:r>
      <w:r>
        <w:rPr>
          <w:noProof/>
        </w:rPr>
        <w:t>at airport hubs, or impacts on tourist destinations, please refer to the respective sections on the impacts of the policy options.</w:t>
      </w:r>
    </w:p>
    <w:p w14:paraId="36062135" w14:textId="14A1454F" w:rsidR="00A71942" w:rsidRPr="002B0D84" w:rsidRDefault="00A71942" w:rsidP="00E276C8">
      <w:pPr>
        <w:spacing w:line="240" w:lineRule="auto"/>
        <w:rPr>
          <w:noProof/>
        </w:rPr>
      </w:pPr>
      <w:r w:rsidRPr="00571A12">
        <w:rPr>
          <w:b/>
          <w:bCs/>
          <w:noProof/>
        </w:rPr>
        <w:t>Auction revenues</w:t>
      </w:r>
      <w:r w:rsidRPr="00571A12">
        <w:rPr>
          <w:noProof/>
        </w:rPr>
        <w:t xml:space="preserve"> from aviation in the baseline are estimated at </w:t>
      </w:r>
      <w:r w:rsidR="00AF4C40" w:rsidRPr="00571A12">
        <w:rPr>
          <w:noProof/>
        </w:rPr>
        <w:t xml:space="preserve">EUR </w:t>
      </w:r>
      <w:r w:rsidRPr="00571A12">
        <w:rPr>
          <w:noProof/>
        </w:rPr>
        <w:t xml:space="preserve">24bn in 2035 and </w:t>
      </w:r>
      <w:r w:rsidR="00AF4C40" w:rsidRPr="00571A12">
        <w:rPr>
          <w:noProof/>
        </w:rPr>
        <w:t xml:space="preserve">EUR </w:t>
      </w:r>
      <w:r w:rsidRPr="00571A12">
        <w:rPr>
          <w:noProof/>
        </w:rPr>
        <w:t>38bn in 2040</w:t>
      </w:r>
      <w:r w:rsidRPr="00571A12">
        <w:rPr>
          <w:noProof/>
          <w:vertAlign w:val="superscript"/>
        </w:rPr>
        <w:footnoteReference w:id="58"/>
      </w:r>
      <w:r w:rsidRPr="00571A12">
        <w:rPr>
          <w:noProof/>
        </w:rPr>
        <w:t>. Under the baseline, there would be no CORSIA costs. It is important to note that the ETS mobilises</w:t>
      </w:r>
      <w:r>
        <w:rPr>
          <w:noProof/>
        </w:rPr>
        <w:t xml:space="preserve"> significant support for decarbonisation, including for aviation. Additional support is available under the </w:t>
      </w:r>
      <w:r w:rsidRPr="1FC5E705">
        <w:rPr>
          <w:b/>
          <w:bCs/>
          <w:noProof/>
        </w:rPr>
        <w:t>Innovation Fund</w:t>
      </w:r>
      <w:r>
        <w:rPr>
          <w:noProof/>
        </w:rPr>
        <w:t>. The Innovation Fund has supported 68 projects related to decarbonising the transport sector with EUR 3.89 billion. Between 2020-2024, the Innovation Fund has awarded more than EUR 286 million to three projects producing sustainable aviation fuels, one focusing on synthetic aviation fuel production. As part of the 2024 Innovation Fund Call implementation, the Commission is awarding</w:t>
      </w:r>
      <w:r w:rsidRPr="1FC5E705">
        <w:rPr>
          <w:b/>
          <w:bCs/>
          <w:noProof/>
        </w:rPr>
        <w:t xml:space="preserve"> </w:t>
      </w:r>
      <w:r>
        <w:rPr>
          <w:noProof/>
        </w:rPr>
        <w:t xml:space="preserve">EUR 153 million to four eSAF projects. In addition, 11 aviation projects that scored above the Innovation Fund evaluation thresholds are awarded the STEP Seal. In 2025, the Commission opened another European Hydrogen Bank auction with a dedicated budget of EUR 300 million for the production of renewable hydrogen with off-takers in the aviation and maritime sectors. The Innovation Fund is funded through ETS revenues. In 2025, the Commission opened another European Hydrogen Bank auction with a dedicated budget of EUR 300 million for the production of renewable hydrogen with off-takers in the aviation and maritime sectors. The Innovation Fund is funded through ETS revenues. </w:t>
      </w:r>
    </w:p>
    <w:p w14:paraId="2434CC71" w14:textId="77777777" w:rsidR="00A71942" w:rsidRPr="002B0D84" w:rsidRDefault="00A71942" w:rsidP="00E276C8">
      <w:pPr>
        <w:spacing w:line="240" w:lineRule="auto"/>
        <w:rPr>
          <w:b/>
          <w:bCs/>
          <w:noProof/>
        </w:rPr>
      </w:pPr>
      <w:r>
        <w:rPr>
          <w:noProof/>
        </w:rPr>
        <w:t xml:space="preserve">For </w:t>
      </w:r>
      <w:r w:rsidRPr="1FC5E705">
        <w:rPr>
          <w:b/>
          <w:bCs/>
          <w:noProof/>
        </w:rPr>
        <w:t>maritime</w:t>
      </w:r>
      <w:r>
        <w:rPr>
          <w:noProof/>
        </w:rPr>
        <w:t>,</w:t>
      </w:r>
      <w:r w:rsidRPr="1FC5E705">
        <w:rPr>
          <w:b/>
          <w:bCs/>
          <w:noProof/>
        </w:rPr>
        <w:t xml:space="preserve"> </w:t>
      </w:r>
      <w:r>
        <w:rPr>
          <w:noProof/>
        </w:rPr>
        <w:t xml:space="preserve">the ETS Directive applies to ships of or above 5 000 gross tonnage and surrendering of allowances is phased in gradually (40% of 2024 emissions, 70% of 2025 emissions and 100% of 2026 emissions). All emissions of voyages between EU ports, as well as emissions within EU ports are covered but only 50% of emissions of voyages between EU and non-EU ports. Temporary derogations apply in some specific cases until end of 2030, such as for certain ice-class ships, voyages between ports in outermost regions and ports within the same Member State, certain small islands, and some routes for which a public service obligation or contract has been declared. Methane and nitrous oxide emissions from maritime transport are covered under the EU ETS as from 2026 and emissions from large offshore vessels will be covered as from 2027. The Baseline contains also full application of FuelEU Regulation and other relevant EU and international legislation adopted to date. </w:t>
      </w:r>
    </w:p>
    <w:p w14:paraId="1893CAE4" w14:textId="77777777" w:rsidR="00A71942" w:rsidRPr="002B0D84" w:rsidRDefault="00A71942" w:rsidP="00E276C8">
      <w:pPr>
        <w:spacing w:line="240" w:lineRule="auto"/>
        <w:rPr>
          <w:noProof/>
        </w:rPr>
      </w:pPr>
      <w:r w:rsidRPr="002B0D84">
        <w:rPr>
          <w:noProof/>
        </w:rPr>
        <w:t>The baseline contemplates the fulfilment of the IMO GHG 2023 Strategy by reflecting the key design elements of the IMO mid-term measure as agreed in April 2025 (IMO Net Zero Framework)</w:t>
      </w:r>
      <w:r w:rsidRPr="1FC5E705">
        <w:rPr>
          <w:rStyle w:val="FootnoteReference"/>
          <w:noProof/>
        </w:rPr>
        <w:footnoteReference w:id="59"/>
      </w:r>
      <w:r w:rsidRPr="002B0D84">
        <w:rPr>
          <w:noProof/>
        </w:rPr>
        <w:t xml:space="preserve">. </w:t>
      </w:r>
    </w:p>
    <w:p w14:paraId="78DB5D5F" w14:textId="77777777" w:rsidR="00A71942" w:rsidRPr="002B0D84" w:rsidRDefault="00A71942" w:rsidP="00E276C8">
      <w:pPr>
        <w:spacing w:line="240" w:lineRule="auto"/>
        <w:rPr>
          <w:rFonts w:ascii="Segoe UI" w:hAnsi="Segoe UI" w:cs="Segoe UI"/>
          <w:noProof/>
          <w:sz w:val="18"/>
          <w:szCs w:val="18"/>
        </w:rPr>
      </w:pPr>
      <w:r w:rsidRPr="1FC5E705">
        <w:rPr>
          <w:rStyle w:val="normaltextrun"/>
          <w:noProof/>
        </w:rPr>
        <w:t xml:space="preserve">Under the Baseline, tank-to-wake (TTW) </w:t>
      </w:r>
      <w:r w:rsidRPr="1FC5E705">
        <w:rPr>
          <w:rStyle w:val="normaltextrun"/>
          <w:b/>
          <w:bCs/>
          <w:noProof/>
        </w:rPr>
        <w:t>GHG emissions</w:t>
      </w:r>
      <w:r w:rsidRPr="1FC5E705">
        <w:rPr>
          <w:rStyle w:val="normaltextrun"/>
          <w:noProof/>
        </w:rPr>
        <w:t xml:space="preserve"> from all large ships under the ETS scope follow a decreasing trajectory driven by regulatory pressures coming from current EU legislations, including the EU ETS and Fuel EU applied to the full extent and working together with IMO strategies and future policies. This trajectory leads to 20 MtCO2e of residual emissions by 2050. Emissions from smaller vessels (between 400 and 4 999 gross tonnage) represent, in absence of regulation, the majority of these residual emissions of shipping. While not covered by current EU or global climate policies to reduce shipping emissions, GHG emissions from smaller vessels slightly decrease over the period 2030-2050, mostly driven by energy efficiency improvements.</w:t>
      </w:r>
      <w:r w:rsidRPr="1FC5E705">
        <w:rPr>
          <w:rStyle w:val="eop"/>
          <w:noProof/>
        </w:rPr>
        <w:t> </w:t>
      </w:r>
    </w:p>
    <w:p w14:paraId="129A0FD5" w14:textId="77777777" w:rsidR="00A71942" w:rsidRPr="002B0D84" w:rsidRDefault="00A71942" w:rsidP="00E276C8">
      <w:pPr>
        <w:spacing w:line="240" w:lineRule="auto"/>
        <w:rPr>
          <w:rStyle w:val="eop"/>
          <w:noProof/>
        </w:rPr>
      </w:pPr>
      <w:r w:rsidRPr="1FC5E705">
        <w:rPr>
          <w:rStyle w:val="normaltextrun"/>
          <w:noProof/>
        </w:rPr>
        <w:t xml:space="preserve">Beyond in-sector GHG emission reductions, the participation of maritime transport in the EU ETS may also lead </w:t>
      </w:r>
      <w:r w:rsidRPr="1FC5E705">
        <w:rPr>
          <w:rStyle w:val="normaltextrun"/>
          <w:b/>
          <w:bCs/>
          <w:noProof/>
        </w:rPr>
        <w:t xml:space="preserve">to out-of-sector abatement. </w:t>
      </w:r>
      <w:r w:rsidRPr="1FC5E705">
        <w:rPr>
          <w:rStyle w:val="normaltextrun"/>
          <w:noProof/>
        </w:rPr>
        <w:t>This would occur in the event that maritime emissions (subject to EU ETS) decrease at a slower pace than the overall ETS cap reduction trajectory, leading to a scenario where shipping companies would need to acquire more allowances from other ETS sectors. Under the Baseline, such a situation occurs from 2025</w:t>
      </w:r>
      <w:r w:rsidRPr="1FC5E705">
        <w:rPr>
          <w:rStyle w:val="normaltextrun"/>
          <w:rFonts w:eastAsia="Times New Roman"/>
          <w:noProof/>
        </w:rPr>
        <w:t xml:space="preserve"> to 2040.</w:t>
      </w:r>
      <w:r w:rsidRPr="1FC5E705">
        <w:rPr>
          <w:rStyle w:val="normaltextrun"/>
          <w:noProof/>
        </w:rPr>
        <w:t xml:space="preserve"> </w:t>
      </w:r>
    </w:p>
    <w:p w14:paraId="3B5E1DD8" w14:textId="77777777" w:rsidR="00A71942" w:rsidRPr="002B0D84" w:rsidRDefault="00A71942" w:rsidP="00E276C8">
      <w:pPr>
        <w:spacing w:line="240" w:lineRule="auto"/>
        <w:rPr>
          <w:rFonts w:ascii="Segoe UI" w:hAnsi="Segoe UI" w:cs="Segoe UI"/>
          <w:noProof/>
          <w:sz w:val="18"/>
          <w:szCs w:val="18"/>
        </w:rPr>
      </w:pPr>
      <w:r w:rsidRPr="1FC5E705">
        <w:rPr>
          <w:rStyle w:val="normaltextrun"/>
          <w:noProof/>
        </w:rPr>
        <w:t>The non continuation of the derogations for outermost regions, small islands and ice-class ships under the EU ETS would also contribute to incentivise emissions reductions in the sector and avoid delaying green investments in vessels and port infrastructures.</w:t>
      </w:r>
      <w:r w:rsidRPr="1FC5E705">
        <w:rPr>
          <w:rStyle w:val="eop"/>
          <w:noProof/>
        </w:rPr>
        <w:t> </w:t>
      </w:r>
    </w:p>
    <w:p w14:paraId="24ABBB8A" w14:textId="77777777" w:rsidR="00A71942" w:rsidRPr="00571A12" w:rsidRDefault="00A71942" w:rsidP="00E276C8">
      <w:pPr>
        <w:spacing w:line="240" w:lineRule="auto"/>
        <w:rPr>
          <w:rStyle w:val="normaltextrun"/>
          <w:noProof/>
        </w:rPr>
      </w:pPr>
      <w:r w:rsidRPr="1FC5E705">
        <w:rPr>
          <w:rStyle w:val="normaltextrun"/>
          <w:noProof/>
        </w:rPr>
        <w:t xml:space="preserve">International maritime shipping is an important contributor to poor </w:t>
      </w:r>
      <w:r w:rsidRPr="1FC5E705">
        <w:rPr>
          <w:rStyle w:val="normaltextrun"/>
          <w:b/>
          <w:bCs/>
          <w:noProof/>
        </w:rPr>
        <w:t>air quality</w:t>
      </w:r>
      <w:r w:rsidRPr="1FC5E705">
        <w:rPr>
          <w:rStyle w:val="normaltextrun"/>
          <w:noProof/>
        </w:rPr>
        <w:t xml:space="preserve"> in the EU due to emissions of PM2.5/PM10, NOx, SOx, CO and NMVOC. It has particularly large impacts in port cities and coastal locations and due to long-range transport of pollutants it also deteriorates inland air quality. The major impact of air quality degradation is on human health, with smaller impacts to other areas such as crops, ocean acidification or degradation of buildings. The effects of air pollution under the Baseline are estimated for the period 2030-2050 at 112,</w:t>
      </w:r>
      <w:r w:rsidRPr="00571A12">
        <w:rPr>
          <w:rStyle w:val="normaltextrun"/>
          <w:noProof/>
        </w:rPr>
        <w:t>997 MEUR of total external damage costs, which aggregate health effects, crop loss, biodiversity loss and material damage, as per the Handbook of the external costs of transport.</w:t>
      </w:r>
    </w:p>
    <w:p w14:paraId="6B466F54" w14:textId="77777777" w:rsidR="00A71942" w:rsidRPr="00571A12" w:rsidRDefault="00A71942" w:rsidP="00E276C8">
      <w:pPr>
        <w:spacing w:line="240" w:lineRule="auto"/>
        <w:rPr>
          <w:rStyle w:val="normaltextrun"/>
          <w:rFonts w:eastAsia="Times New Roman"/>
          <w:noProof/>
        </w:rPr>
      </w:pPr>
      <w:r w:rsidRPr="00571A12">
        <w:rPr>
          <w:rStyle w:val="normaltextrun"/>
          <w:noProof/>
        </w:rPr>
        <w:t xml:space="preserve">The assessment of impacts on compliance costs includes payments under EU ETS, fuel costs, operating costs and capital expenditures from shipping companies. Under the Baseline, total shipping costs are expected to grow over the period 2030-2050 from 105 billion EUR to 163 billion EUR. Total cost increases are largely driven by higher fuel costs following the gradual uptake of more expensive low carbon and renewable fuels (reaching 7% of the energy mix in 2030, 63% in 2040 and 87% in 2050) and, to a lower extent, by growing capital expenditure also linked to decarbonisation measures within the maritime sector. </w:t>
      </w:r>
      <w:r w:rsidRPr="00571A12">
        <w:rPr>
          <w:rStyle w:val="eop"/>
          <w:noProof/>
        </w:rPr>
        <w:t> </w:t>
      </w:r>
    </w:p>
    <w:p w14:paraId="0829CD53" w14:textId="77777777" w:rsidR="00A71942" w:rsidRPr="002B0D84" w:rsidRDefault="00A71942" w:rsidP="00E276C8">
      <w:pPr>
        <w:pStyle w:val="paragraph"/>
        <w:spacing w:beforeAutospacing="0" w:afterAutospacing="0" w:line="240" w:lineRule="auto"/>
        <w:jc w:val="both"/>
        <w:rPr>
          <w:noProof/>
        </w:rPr>
      </w:pPr>
      <w:r w:rsidRPr="00571A12">
        <w:rPr>
          <w:rStyle w:val="normaltextrun"/>
          <w:rFonts w:eastAsia="Calibri"/>
          <w:noProof/>
        </w:rPr>
        <w:t>In terms of social impacts for maritime, the non-continuation</w:t>
      </w:r>
      <w:r w:rsidRPr="1FC5E705">
        <w:rPr>
          <w:rStyle w:val="normaltextrun"/>
          <w:rFonts w:eastAsia="Calibri"/>
          <w:noProof/>
        </w:rPr>
        <w:t xml:space="preserve"> of the derogations for outermost regions and small islands under the EU ETS would increase the cost of maritime journeys to and from these areas. Considering that maritime transport is the main mode for freight transport in these territories and often key for connectivity, higher transport costs could reduce the affordability and frequency of maritime connections, which could potentially affect essential supply chains and access to goods, services, and economic opportunities. Furthermore, increased travel costs could possibly undermine the competitiveness of these regions as tourist destinations and reduce the economic benefits derived from tourism.</w:t>
      </w:r>
    </w:p>
    <w:p w14:paraId="46B69A88" w14:textId="77777777" w:rsidR="00A71942" w:rsidRPr="002B0D84" w:rsidRDefault="00A71942" w:rsidP="00E276C8">
      <w:pPr>
        <w:spacing w:line="240" w:lineRule="auto"/>
        <w:rPr>
          <w:noProof/>
        </w:rPr>
      </w:pPr>
      <w:r>
        <w:rPr>
          <w:noProof/>
        </w:rPr>
        <w:t xml:space="preserve">For </w:t>
      </w:r>
      <w:r w:rsidRPr="1FC5E705">
        <w:rPr>
          <w:b/>
          <w:bCs/>
          <w:noProof/>
        </w:rPr>
        <w:t>stationary installations</w:t>
      </w:r>
      <w:r>
        <w:rPr>
          <w:noProof/>
        </w:rPr>
        <w:t xml:space="preserve">, the baseline for </w:t>
      </w:r>
      <w:r w:rsidRPr="1FC5E705">
        <w:rPr>
          <w:b/>
          <w:bCs/>
          <w:noProof/>
        </w:rPr>
        <w:t>free allocation</w:t>
      </w:r>
      <w:r>
        <w:rPr>
          <w:noProof/>
        </w:rPr>
        <w:t xml:space="preserve"> for sectors not covered by CBAM results from the continuation of the current rules post-2030, based on the provisions set out in Article 10a of the ETS Directive. This does not correspond to the legal default, as the provisions of Article 10a of the ETS Directive apply only until 2030. However, assuming a baseline of continued free allocation post-2030 allows for a more meaningful analysis of the proposed measures. For the sectors covered by CBAM, free allocation is phased out up to 2034 in parallel with the gradual phase-on of CBAM. The quantity of allowances available for free allocation is based on 43% share of the baseline cap trajectory , resulting from the provision in Article 10 of the ETS Directive that 57% will be allocated via auctioning. </w:t>
      </w:r>
    </w:p>
    <w:p w14:paraId="665321C7" w14:textId="77777777" w:rsidR="00A71942" w:rsidRPr="002B0D84" w:rsidRDefault="00A71942" w:rsidP="00E276C8">
      <w:pPr>
        <w:spacing w:line="240" w:lineRule="auto"/>
        <w:rPr>
          <w:noProof/>
        </w:rPr>
      </w:pPr>
      <w:r>
        <w:rPr>
          <w:noProof/>
        </w:rPr>
        <w:t xml:space="preserve">For small stationary installations, the </w:t>
      </w:r>
      <w:r w:rsidRPr="1FC5E705">
        <w:rPr>
          <w:b/>
          <w:bCs/>
          <w:noProof/>
        </w:rPr>
        <w:t>20MW threshold</w:t>
      </w:r>
      <w:r>
        <w:rPr>
          <w:noProof/>
        </w:rPr>
        <w:t xml:space="preserve"> continues to apply, together with the provisions on the exclusion of small installations subject to equivalent national measures, and of very small installations (Article 27 and 27a respectively).</w:t>
      </w:r>
    </w:p>
    <w:p w14:paraId="1E43CF59" w14:textId="77777777" w:rsidR="00A71942" w:rsidRPr="002B0D84" w:rsidRDefault="00A71942" w:rsidP="00E276C8">
      <w:pPr>
        <w:spacing w:line="240" w:lineRule="auto"/>
        <w:rPr>
          <w:noProof/>
        </w:rPr>
      </w:pPr>
      <w:r w:rsidRPr="1FC5E705">
        <w:rPr>
          <w:b/>
          <w:bCs/>
          <w:noProof/>
        </w:rPr>
        <w:t>Accounting of emissions</w:t>
      </w:r>
      <w:r>
        <w:rPr>
          <w:noProof/>
        </w:rPr>
        <w:t xml:space="preserve"> that are captured in the EU ETS installations for utilisation in products, or </w:t>
      </w:r>
      <w:r w:rsidRPr="1FC5E705">
        <w:rPr>
          <w:b/>
          <w:bCs/>
          <w:noProof/>
        </w:rPr>
        <w:t>for CCU, takes place upstream</w:t>
      </w:r>
      <w:r>
        <w:rPr>
          <w:noProof/>
        </w:rPr>
        <w:t xml:space="preserve">. This means emissions can only be deducted by the installations when </w:t>
      </w:r>
      <w:r w:rsidRPr="1FC5E705">
        <w:rPr>
          <w:rStyle w:val="normaltextrun"/>
          <w:noProof/>
        </w:rPr>
        <w:t>captured</w:t>
      </w:r>
      <w:r>
        <w:rPr>
          <w:noProof/>
        </w:rPr>
        <w:t xml:space="preserve"> and transferred to another installation if they are captured for permanent storage in accordance with Article 12(3a) of the ETS Directive or for permanent use in a product in accordance with Article 12(3b) of the ETS Directive.</w:t>
      </w:r>
    </w:p>
    <w:p w14:paraId="2A764D12" w14:textId="77777777" w:rsidR="00A71942" w:rsidRPr="002B0D84" w:rsidRDefault="00A71942" w:rsidP="00E276C8">
      <w:pPr>
        <w:spacing w:line="240" w:lineRule="auto"/>
        <w:rPr>
          <w:noProof/>
        </w:rPr>
      </w:pPr>
      <w:r w:rsidRPr="002B0D84">
        <w:rPr>
          <w:noProof/>
        </w:rPr>
        <w:t xml:space="preserve">Finally, installations for the </w:t>
      </w:r>
      <w:r w:rsidRPr="002B0D84">
        <w:rPr>
          <w:b/>
          <w:bCs/>
          <w:noProof/>
        </w:rPr>
        <w:t>incineration of municipal or hazardous waste</w:t>
      </w:r>
      <w:r w:rsidRPr="1FC5E705">
        <w:rPr>
          <w:noProof/>
        </w:rPr>
        <w:t xml:space="preserve"> </w:t>
      </w:r>
      <w:r w:rsidRPr="002B0D84">
        <w:rPr>
          <w:noProof/>
        </w:rPr>
        <w:t>are</w:t>
      </w:r>
      <w:r w:rsidRPr="1FC5E705">
        <w:rPr>
          <w:noProof/>
        </w:rPr>
        <w:t xml:space="preserve"> </w:t>
      </w:r>
      <w:r w:rsidRPr="002B0D84">
        <w:rPr>
          <w:noProof/>
        </w:rPr>
        <w:t>generally excluded from the full scope of the EU ETS</w:t>
      </w:r>
      <w:r w:rsidRPr="1FC5E705">
        <w:rPr>
          <w:noProof/>
        </w:rPr>
        <w:t xml:space="preserve"> (</w:t>
      </w:r>
      <w:r w:rsidRPr="002B0D84">
        <w:rPr>
          <w:noProof/>
        </w:rPr>
        <w:t>with co-incineration in industrial installations under the EU ETS, however, fully covered in line with Commission Guidance Document 0</w:t>
      </w:r>
      <w:r w:rsidRPr="1FC5E705">
        <w:rPr>
          <w:rStyle w:val="FootnoteReference"/>
          <w:noProof/>
        </w:rPr>
        <w:footnoteReference w:id="60"/>
      </w:r>
      <w:r w:rsidRPr="1FC5E705">
        <w:rPr>
          <w:noProof/>
        </w:rPr>
        <w:t>).</w:t>
      </w:r>
      <w:r w:rsidRPr="002B0D84">
        <w:rPr>
          <w:noProof/>
        </w:rPr>
        <w:t xml:space="preserve"> Denmark, Sweden and Lithuania have installations for the incineration of municipal waste fully covered by the EU ETS</w:t>
      </w:r>
      <w:r w:rsidRPr="1FC5E705">
        <w:rPr>
          <w:rStyle w:val="FootnoteReference"/>
          <w:noProof/>
        </w:rPr>
        <w:footnoteReference w:id="61"/>
      </w:r>
      <w:r w:rsidRPr="002B0D84">
        <w:rPr>
          <w:noProof/>
        </w:rPr>
        <w:t>. Since 1 January 2024, installations for the incineration of municipal waste monitor and report their emissions under the EU ETS.</w:t>
      </w:r>
    </w:p>
    <w:p w14:paraId="177766CF" w14:textId="77777777" w:rsidR="00A71942" w:rsidRPr="002B0D84" w:rsidRDefault="00A71942" w:rsidP="00E276C8">
      <w:pPr>
        <w:pStyle w:val="Heading1COM"/>
        <w:spacing w:before="120" w:after="120" w:line="240" w:lineRule="auto"/>
        <w:outlineLvl w:val="1"/>
        <w:rPr>
          <w:noProof/>
        </w:rPr>
      </w:pPr>
      <w:bookmarkStart w:id="525" w:name="_Toc232611525"/>
      <w:bookmarkStart w:id="526" w:name="_Toc232758210"/>
      <w:r>
        <w:rPr>
          <w:noProof/>
        </w:rPr>
        <w:t>Overview of policy measures</w:t>
      </w:r>
      <w:bookmarkEnd w:id="525"/>
      <w:bookmarkEnd w:id="526"/>
    </w:p>
    <w:p w14:paraId="5AAFE0AC" w14:textId="77777777" w:rsidR="00A71942" w:rsidRPr="002B0D84" w:rsidRDefault="00A71942" w:rsidP="00E276C8">
      <w:pPr>
        <w:spacing w:line="240" w:lineRule="auto"/>
        <w:rPr>
          <w:noProof/>
        </w:rPr>
      </w:pPr>
      <w:bookmarkStart w:id="527" w:name="_Toc211962922"/>
      <w:r>
        <w:rPr>
          <w:noProof/>
        </w:rPr>
        <w:t xml:space="preserve">Three policy options have been developed that ensure that the ETS contributes cost-effectively to the EU emissions reduction target in line with climate neutrality and the 2040 target and to addressing the EU’s fair share of international emissions. The options differ in the degree of change that they entail to the current system. </w:t>
      </w:r>
      <w:r w:rsidRPr="1FC5E705">
        <w:rPr>
          <w:i/>
          <w:iCs/>
          <w:noProof/>
        </w:rPr>
        <w:t xml:space="preserve">Policy option 1 Aligning ambition and improving incentives </w:t>
      </w:r>
      <w:r>
        <w:rPr>
          <w:noProof/>
        </w:rPr>
        <w:t xml:space="preserve">includes the measures that, overall, lead to least change compared to policies in place in 2026. </w:t>
      </w:r>
      <w:r w:rsidRPr="1FC5E705">
        <w:rPr>
          <w:i/>
          <w:iCs/>
          <w:noProof/>
        </w:rPr>
        <w:t xml:space="preserve">Policy option 2 Aligning ambition and extending scope and corresponding incentives </w:t>
      </w:r>
      <w:r>
        <w:rPr>
          <w:noProof/>
        </w:rPr>
        <w:t xml:space="preserve">includes measures that introduce moderate innovations or changes to the system. </w:t>
      </w:r>
      <w:r w:rsidRPr="1FC5E705">
        <w:rPr>
          <w:i/>
          <w:iCs/>
          <w:noProof/>
        </w:rPr>
        <w:t xml:space="preserve">Policy option 3 Aligning ambition and extending scope and incentives comprehensively </w:t>
      </w:r>
      <w:r>
        <w:rPr>
          <w:noProof/>
        </w:rPr>
        <w:t>alters most substantially how the system works. The policy measures selected for each topic area are described individually in Annexes 8 to 13 to this report, to enable different approaches to building policy options. While those annexes include an in-depth assessment of a wider range of measures, the measures presented in the main body of the reports are those selected for the three policy options because they were assessed as addressing the relevant specific objectives with the best environmental, economic, and social impacts. Concretely, the following measures were considered in terms of each specific objective:</w:t>
      </w:r>
      <w:bookmarkStart w:id="528" w:name="_Toc219466676"/>
      <w:bookmarkEnd w:id="527"/>
    </w:p>
    <w:p w14:paraId="284B1FA5" w14:textId="77777777" w:rsidR="00A71942" w:rsidRPr="002B0D84" w:rsidRDefault="00A71942" w:rsidP="00E276C8">
      <w:pPr>
        <w:pStyle w:val="Heading2COM"/>
        <w:spacing w:before="120" w:after="120" w:line="240" w:lineRule="auto"/>
        <w:outlineLvl w:val="2"/>
        <w15:collapsed w:val="0"/>
        <w:rPr>
          <w:noProof/>
        </w:rPr>
      </w:pPr>
      <w:bookmarkStart w:id="529" w:name="_Toc232611526"/>
      <w:bookmarkStart w:id="530" w:name="_Toc232758211"/>
      <w:r>
        <w:rPr>
          <w:noProof/>
        </w:rPr>
        <w:t>Ambition</w:t>
      </w:r>
      <w:bookmarkEnd w:id="528"/>
      <w:bookmarkEnd w:id="529"/>
      <w:bookmarkEnd w:id="530"/>
    </w:p>
    <w:p w14:paraId="6509CBC4" w14:textId="4DFCFB87" w:rsidR="00A71942" w:rsidRPr="002B0D84" w:rsidRDefault="00A71942" w:rsidP="00E276C8">
      <w:pPr>
        <w:spacing w:line="240" w:lineRule="auto"/>
        <w:rPr>
          <w:noProof/>
        </w:rPr>
      </w:pPr>
      <w:bookmarkStart w:id="531" w:name="_Toc211962923"/>
      <w:r>
        <w:rPr>
          <w:noProof/>
        </w:rPr>
        <w:t>The</w:t>
      </w:r>
      <w:r w:rsidRPr="1FC5E705">
        <w:rPr>
          <w:b/>
          <w:bCs/>
          <w:noProof/>
        </w:rPr>
        <w:t xml:space="preserve"> ambition</w:t>
      </w:r>
      <w:r>
        <w:rPr>
          <w:noProof/>
        </w:rPr>
        <w:t xml:space="preserve"> of the EU ETS is primarily defined by the domestic EU-wide target considering international credits for net emissions reductions.</w:t>
      </w:r>
      <w:bookmarkEnd w:id="531"/>
      <w:r>
        <w:rPr>
          <w:noProof/>
        </w:rPr>
        <w:t xml:space="preserve"> However, the ambition of the ETS will depend on whether and how removals will be integrated. The cap itself can be set at the level of the gross emissions objective, or the net emissions objective. This differs per policy option and will be explained below.</w:t>
      </w:r>
    </w:p>
    <w:p w14:paraId="43DAFB57" w14:textId="77777777" w:rsidR="00A71942" w:rsidRPr="002B0D84" w:rsidRDefault="00A71942" w:rsidP="00E276C8">
      <w:pPr>
        <w:pStyle w:val="Heading3COM"/>
        <w:spacing w:before="120" w:after="120" w:line="240" w:lineRule="auto"/>
        <w:outlineLvl w:val="3"/>
        <w:rPr>
          <w:noProof/>
        </w:rPr>
      </w:pPr>
      <w:bookmarkStart w:id="532" w:name="_Toc232611527"/>
      <w:bookmarkStart w:id="533" w:name="_Toc232758212"/>
      <w:r>
        <w:rPr>
          <w:noProof/>
        </w:rPr>
        <w:t>Cap</w:t>
      </w:r>
      <w:bookmarkEnd w:id="532"/>
      <w:bookmarkEnd w:id="533"/>
    </w:p>
    <w:p w14:paraId="42E909FA" w14:textId="77777777" w:rsidR="00A71942" w:rsidRPr="00B25EE4" w:rsidRDefault="00A71942" w:rsidP="00975687">
      <w:pPr>
        <w:spacing w:line="240" w:lineRule="auto"/>
        <w:rPr>
          <w:noProof/>
        </w:rPr>
      </w:pPr>
      <w:r>
        <w:rPr>
          <w:noProof/>
        </w:rPr>
        <w:t xml:space="preserve">Annex 8 describes the measures for different trajectories towards the 2040 point target in more </w:t>
      </w:r>
      <w:r w:rsidRPr="00B25EE4">
        <w:rPr>
          <w:noProof/>
        </w:rPr>
        <w:t>detail:</w:t>
      </w:r>
    </w:p>
    <w:p w14:paraId="01309FB4" w14:textId="2F5D8EB3" w:rsidR="00A71942" w:rsidRPr="00B25EE4" w:rsidRDefault="00A71942" w:rsidP="00975687">
      <w:pPr>
        <w:numPr>
          <w:ilvl w:val="0"/>
          <w:numId w:val="26"/>
        </w:numPr>
        <w:spacing w:line="240" w:lineRule="auto"/>
        <w:rPr>
          <w:noProof/>
          <w:lang w:val="en-IE"/>
        </w:rPr>
      </w:pPr>
      <w:r w:rsidRPr="00B25EE4">
        <w:rPr>
          <w:noProof/>
        </w:rPr>
        <w:t>CAP1: In this “Linear” measure, the cap follows a linear trajectory from 2030 to 2040 towards an 85% consistent target in 2040. </w:t>
      </w:r>
    </w:p>
    <w:p w14:paraId="416B74BD" w14:textId="55D4BC7A" w:rsidR="00A71942" w:rsidRPr="00B25EE4" w:rsidRDefault="00A71942" w:rsidP="00975687">
      <w:pPr>
        <w:numPr>
          <w:ilvl w:val="0"/>
          <w:numId w:val="27"/>
        </w:numPr>
        <w:spacing w:line="240" w:lineRule="auto"/>
        <w:rPr>
          <w:noProof/>
          <w:lang w:val="en-IE"/>
        </w:rPr>
      </w:pPr>
      <w:r w:rsidRPr="00B25EE4">
        <w:rPr>
          <w:noProof/>
        </w:rPr>
        <w:t xml:space="preserve">CAP2: In this “Modelled/cost-effective" measure, towards an 85% consistent target, the cap linearly follows modelled estimates from the 2030 legal cap estimate to the 2035 modelled emissions estimate, and from 2035 to the 2040 modelled estimate. </w:t>
      </w:r>
    </w:p>
    <w:p w14:paraId="5D7ACC3D" w14:textId="419F7C29" w:rsidR="00DB7650" w:rsidRPr="00B25EE4" w:rsidRDefault="00A71942" w:rsidP="00975687">
      <w:pPr>
        <w:numPr>
          <w:ilvl w:val="0"/>
          <w:numId w:val="28"/>
        </w:numPr>
        <w:spacing w:line="240" w:lineRule="auto"/>
        <w:rPr>
          <w:noProof/>
          <w:lang w:val="en-IE"/>
        </w:rPr>
      </w:pPr>
      <w:r w:rsidRPr="00B25EE4">
        <w:rPr>
          <w:noProof/>
        </w:rPr>
        <w:t>CAP3: In this “90 – 85 pathway” measure, until 2035 the cap follows a trajectory towards the estimated cost-effective contribution of the EU ETS to the 90% </w:t>
      </w:r>
      <w:r w:rsidR="00B25EE4" w:rsidRPr="00B25EE4">
        <w:rPr>
          <w:noProof/>
        </w:rPr>
        <w:t>target and</w:t>
      </w:r>
      <w:r w:rsidRPr="00B25EE4">
        <w:rPr>
          <w:noProof/>
        </w:rPr>
        <w:t> then flattens to move towards the estimated cost-effective contribution of the EU ETS to an 85% consistent target in 2040. This reflects the fact that international credits will start contributing to the EU-target from 2036. A specific economy-wide modelling run was performed for the estimate of the EU ETS contribution to such a trajectory, hence it ends at a slightly different end point. </w:t>
      </w:r>
    </w:p>
    <w:p w14:paraId="1DB942E7" w14:textId="6040ECF9" w:rsidR="00DB7650" w:rsidRPr="00B25EE4" w:rsidRDefault="00DB7650" w:rsidP="00975687">
      <w:pPr>
        <w:numPr>
          <w:ilvl w:val="0"/>
          <w:numId w:val="28"/>
        </w:numPr>
        <w:spacing w:line="240" w:lineRule="auto"/>
        <w:rPr>
          <w:noProof/>
          <w:lang w:val="en-IE"/>
        </w:rPr>
      </w:pPr>
      <w:r w:rsidRPr="00B25EE4">
        <w:rPr>
          <w:noProof/>
          <w:lang w:eastAsia="en-IE"/>
        </w:rPr>
        <w:t>CAP4: An accelerated version of CAP3, comparable to a non-linear pathway towards the 90% target in the first five years, then flattening to be compatible with an 85% target in 2040.</w:t>
      </w:r>
    </w:p>
    <w:p w14:paraId="405F29F2" w14:textId="6746938D" w:rsidR="00FD22FA" w:rsidRPr="00B25EE4" w:rsidRDefault="00DB7650" w:rsidP="00975687">
      <w:pPr>
        <w:numPr>
          <w:ilvl w:val="0"/>
          <w:numId w:val="28"/>
        </w:numPr>
        <w:spacing w:line="240" w:lineRule="auto"/>
        <w:rPr>
          <w:noProof/>
          <w:lang w:val="en-IE"/>
        </w:rPr>
      </w:pPr>
      <w:r w:rsidRPr="00B25EE4">
        <w:rPr>
          <w:noProof/>
          <w:lang w:val="en-IE"/>
        </w:rPr>
        <w:t xml:space="preserve">CAP5: </w:t>
      </w:r>
      <w:r w:rsidR="00373FBD" w:rsidRPr="00B25EE4">
        <w:rPr>
          <w:noProof/>
          <w:lang w:val="en-IE"/>
        </w:rPr>
        <w:t>Maintains the 4.4% LRF from the legal default as an LRF for net emissions until 2035, then aims at a target compatible with 90% domestic reductions in 2040</w:t>
      </w:r>
      <w:r w:rsidR="00CD1F89" w:rsidRPr="00B25EE4">
        <w:rPr>
          <w:noProof/>
          <w:lang w:val="en-IE"/>
        </w:rPr>
        <w:t>.</w:t>
      </w:r>
    </w:p>
    <w:p w14:paraId="51493689" w14:textId="3CB10CC7" w:rsidR="00A71942" w:rsidRPr="002B0D84" w:rsidRDefault="00A71942" w:rsidP="00E276C8">
      <w:pPr>
        <w:spacing w:line="240" w:lineRule="auto"/>
        <w:rPr>
          <w:noProof/>
        </w:rPr>
      </w:pPr>
      <w:r>
        <w:rPr>
          <w:noProof/>
        </w:rPr>
        <w:t xml:space="preserve">CAP2 was included in all the policy options. As a result, the further modelling-based analysis examined in the impact assessment is based on the cost-effective trajectory. PRIMES was used to model the variants PO1, PO2 and PO3, and the cost-effective trajectory is the most optimal economy wide to reach an 85% target in this model. </w:t>
      </w:r>
    </w:p>
    <w:p w14:paraId="00BE0455" w14:textId="4A66F17D" w:rsidR="00A71942" w:rsidRPr="002B0D84" w:rsidRDefault="00A71942" w:rsidP="00E276C8">
      <w:pPr>
        <w:spacing w:line="240" w:lineRule="auto"/>
        <w:rPr>
          <w:noProof/>
        </w:rPr>
      </w:pPr>
      <w:r>
        <w:rPr>
          <w:noProof/>
        </w:rPr>
        <w:t>The conclusions drawn on the basis of this modelling about other measures should however be robust to changes in ambition level, if it were decided to follow a more stringent trajectory over this period, either CAP3</w:t>
      </w:r>
      <w:r w:rsidR="001970F7">
        <w:rPr>
          <w:noProof/>
        </w:rPr>
        <w:t>, CAP4</w:t>
      </w:r>
      <w:r>
        <w:rPr>
          <w:noProof/>
        </w:rPr>
        <w:t>, or a scenario in which fewer international credits were purchased and domestic reductions were more limited</w:t>
      </w:r>
      <w:r w:rsidR="001970F7">
        <w:rPr>
          <w:noProof/>
        </w:rPr>
        <w:t>, such as CAP5.</w:t>
      </w:r>
      <w:r>
        <w:rPr>
          <w:noProof/>
        </w:rPr>
        <w:t xml:space="preserve"> </w:t>
      </w:r>
    </w:p>
    <w:p w14:paraId="14B8ED33" w14:textId="77777777" w:rsidR="00A71942" w:rsidRPr="002B0D84" w:rsidRDefault="00A71942" w:rsidP="00E276C8">
      <w:pPr>
        <w:pStyle w:val="Heading3COM"/>
        <w:spacing w:before="120" w:after="120" w:line="240" w:lineRule="auto"/>
        <w:outlineLvl w:val="3"/>
        <w:rPr>
          <w:noProof/>
        </w:rPr>
      </w:pPr>
      <w:bookmarkStart w:id="534" w:name="_Toc232611528"/>
      <w:bookmarkStart w:id="535" w:name="_Toc232758213"/>
      <w:r>
        <w:rPr>
          <w:noProof/>
        </w:rPr>
        <w:t>Carbon removals</w:t>
      </w:r>
      <w:bookmarkEnd w:id="534"/>
      <w:bookmarkEnd w:id="535"/>
    </w:p>
    <w:p w14:paraId="15707979" w14:textId="77777777" w:rsidR="00A71942" w:rsidRPr="002B0D84" w:rsidRDefault="00A71942" w:rsidP="00E276C8">
      <w:pPr>
        <w:spacing w:line="240" w:lineRule="auto"/>
        <w:rPr>
          <w:noProof/>
        </w:rPr>
      </w:pPr>
      <w:bookmarkStart w:id="536" w:name="_Toc211963033"/>
      <w:r>
        <w:rPr>
          <w:noProof/>
        </w:rPr>
        <w:t>Regarding the inclusion of</w:t>
      </w:r>
      <w:r w:rsidRPr="1FC5E705">
        <w:rPr>
          <w:b/>
          <w:bCs/>
          <w:noProof/>
        </w:rPr>
        <w:t xml:space="preserve"> removals</w:t>
      </w:r>
      <w:r>
        <w:rPr>
          <w:noProof/>
        </w:rPr>
        <w:t xml:space="preserve"> (P9), the measures explored vary across three key dimensions explained below. Other elements were fixed as design elements for all measures, including the inclusion of CCS-based permanent carbon removals certified under the CRCF (BioCCS and DACCS) generated inside or outside the </w:t>
      </w:r>
      <w:bookmarkEnd w:id="536"/>
      <w:r>
        <w:rPr>
          <w:noProof/>
        </w:rPr>
        <w:t>EU ETS. Detailed descriptions on the measures are available in Annex 8 - Part II.</w:t>
      </w:r>
    </w:p>
    <w:p w14:paraId="16F0E1ED" w14:textId="77777777" w:rsidR="00A71942" w:rsidRPr="002B0D84" w:rsidRDefault="00A71942" w:rsidP="00E276C8">
      <w:pPr>
        <w:spacing w:line="240" w:lineRule="auto"/>
        <w:rPr>
          <w:noProof/>
        </w:rPr>
      </w:pPr>
      <w:r w:rsidRPr="002B0D84">
        <w:rPr>
          <w:noProof/>
        </w:rPr>
        <w:t xml:space="preserve">The </w:t>
      </w:r>
      <w:bookmarkStart w:id="537" w:name="_Toc211963039"/>
      <w:r w:rsidRPr="002B0D84">
        <w:rPr>
          <w:noProof/>
        </w:rPr>
        <w:t xml:space="preserve">assessment carried out in Annex 8 - Part II, concluded that CR1, CR3, and CR4 </w:t>
      </w:r>
      <w:bookmarkStart w:id="538" w:name="_Hlk211512010"/>
      <w:r w:rsidRPr="002B0D84">
        <w:rPr>
          <w:noProof/>
        </w:rPr>
        <w:t>provide the best balance in terms of increasing the size of the market (SO2.1.1.) to ensure efficient market functioning (O2.1), at the lowest cost, while providing most certainty in reaching the pre-set emissions reduction target (O1.2)</w:t>
      </w:r>
      <w:r w:rsidRPr="1FC5E705">
        <w:rPr>
          <w:noProof/>
          <w:vertAlign w:val="superscript"/>
        </w:rPr>
        <w:footnoteReference w:id="62"/>
      </w:r>
      <w:r w:rsidRPr="002B0D84">
        <w:rPr>
          <w:noProof/>
        </w:rPr>
        <w:t>.</w:t>
      </w:r>
      <w:bookmarkEnd w:id="537"/>
      <w:r w:rsidRPr="002B0D84">
        <w:rPr>
          <w:noProof/>
        </w:rPr>
        <w:t xml:space="preserve"> </w:t>
      </w:r>
    </w:p>
    <w:p w14:paraId="3217FD74" w14:textId="77777777" w:rsidR="00A71942" w:rsidRPr="002B0D84" w:rsidRDefault="00A71942" w:rsidP="00E276C8">
      <w:pPr>
        <w:spacing w:line="240" w:lineRule="auto"/>
        <w:rPr>
          <w:noProof/>
        </w:rPr>
      </w:pPr>
      <w:bookmarkStart w:id="539" w:name="_Toc211963040"/>
      <w:r>
        <w:rPr>
          <w:noProof/>
        </w:rPr>
        <w:t xml:space="preserve">CR4 provides the lowest cost of compliance as it guarantees the gross emissions (matched only by CR3), thus is best at avoiding carbon leakage and increasing liquidity, with the smoothest market dynamics and without transaction cost for businesses, who operate in the ETS market as usual purchasing only conventional allowances. At the same time, net emissions are guaranteed (conditional on sufficient budget for the public authority), and abatement deterrence is only lower in CR5. While the most important downside of CR4 is the public cost, the apparent ‘cost savings’ for the regulator from CR1, CR2 and CR3 (notably from not having to invest into the purchase of removal units) entail risk transfers to the private sector that could materialize as higher costs for the regulator later on, e.g. if CDR technologies do not scale as required in time for target achievement, and especially if the regulator is left with little time to react to a CDR supply shortfall. And while CR4 would likely entail significant administrative costs for the regulator in e.g. the procurement of removal units, it seems possible that procurement methods such as reverse auctions could yield lower overall transaction costs than if purchases were done by individual regulated entities in the primary CDR market, and the administrative cost would need to be compared with the administrative cost of complementary support measures needed under CR1 and CR2 (e.g. CCfDs). </w:t>
      </w:r>
    </w:p>
    <w:p w14:paraId="5D631DBF" w14:textId="77777777" w:rsidR="00A71942" w:rsidRPr="002B0D84" w:rsidRDefault="00A71942" w:rsidP="00E276C8">
      <w:pPr>
        <w:spacing w:line="240" w:lineRule="auto"/>
        <w:rPr>
          <w:noProof/>
        </w:rPr>
      </w:pPr>
      <w:r>
        <w:rPr>
          <w:noProof/>
        </w:rPr>
        <w:t>Compared to CR5, measure CR4 has the advantage of the predictability of the regulator in recouping some of the CDR purchase costs by auctioning allowances in the market. The higher fiscal cost of CR5 and higher carbon leakage risk resulting from the uncertainty in release of removal units seems, combined with the high fiscal cost, seems only acceptable if the priority is to pursue the option with lowest abatement deterrence. However, it should be considered if avoiding abatement deterrence will have, overall, a worse environmental impact than the loss in public budget and increased carbon leakage risk, or the over dependence on biomass as alternative abatement option. Both CR4 and CR5 have an equally positive impact in providing a certain source of demand for CDR.</w:t>
      </w:r>
    </w:p>
    <w:p w14:paraId="3E791F56" w14:textId="77777777" w:rsidR="00A71942" w:rsidRPr="002B0D84" w:rsidRDefault="00A71942" w:rsidP="00E276C8">
      <w:pPr>
        <w:spacing w:line="240" w:lineRule="auto"/>
        <w:rPr>
          <w:noProof/>
        </w:rPr>
      </w:pPr>
      <w:r>
        <w:rPr>
          <w:noProof/>
        </w:rPr>
        <w:t xml:space="preserve">Regarding the measures with private sector integration of removals, the main choice appears to be between prioritising (a) achieving EU targets at the price of putting the risk from CDR technologies (e.g. under-delivery, price risk) on operators (net cap options CR1-CR2) or (b) ensuring the extra ‘space’ for residual emissions in the EU ETS to enable cost-efficient abatement while mitigating carbon leakage, at the risk that the EU doesn’t ETS reaches its net contribution (gross cap option CR3). To avoid facing this choice and ensure both the environmental impact and protect the EU’s competitiveness, removals would need to be financially supported outside the ETS in measures CR1-CR3. Although the net target achievement is certain, the abatement deterrence risk is highest among all options assessed in CR2. The abatement deterrence is lower in CR1 and CR3 as a result of the limit, which in turn leads to a loss of cost-effectiveness when the limit becomes binding. However, the limit is expected to be binding if at all, late in the period. All three options incentivise CDR only when price competitive with the ETS, so early incentivisation will depend on public support outside the ETS. CR3 will have a slightly lower incentivisation as ETS prices would lower in view of the increased cap. </w:t>
      </w:r>
    </w:p>
    <w:p w14:paraId="47B3FA76" w14:textId="77777777" w:rsidR="00A71942" w:rsidRPr="002B0D84" w:rsidRDefault="00A71942" w:rsidP="00E276C8">
      <w:pPr>
        <w:spacing w:line="240" w:lineRule="auto"/>
        <w:rPr>
          <w:noProof/>
        </w:rPr>
      </w:pPr>
      <w:r>
        <w:rPr>
          <w:noProof/>
        </w:rPr>
        <w:t>CR4 is included in policy option 1 ‘Aligning ambition and improving incentives’, as it allows the public authority to determine and manage the inflow of allowances in the system, leading to least changes for operators’ engagement in the system (operators will not need to trade in removals or depend for their emissions space on these units) and ensuring the achievement of the EU ETS net target (achieving both O2.1 and O1.2). CR1 is considered for policy option 2 ‘Aligning ambition and extending scope and corresponding incentives’, as it allows the use of removals within a limit on top of the cap, ensuring the net target is reached and abatement deterrence is lowest, while still allowing the increase of market size and liquidity (O2.1). Finally, CR3 is included in the ‘Aligning ambition and extending scope and incentives comprehensively’ option as it does not ensure the net target is reached, which is an essential objective of the system (O1.2) and it adds most complexity due to the cancellation of allowances for the removals used.</w:t>
      </w:r>
      <w:bookmarkEnd w:id="539"/>
      <w:r>
        <w:rPr>
          <w:noProof/>
        </w:rPr>
        <w:t xml:space="preserve"> </w:t>
      </w:r>
    </w:p>
    <w:p w14:paraId="5E9C6100" w14:textId="77777777" w:rsidR="00A71942" w:rsidRPr="002B0D84" w:rsidRDefault="00A71942" w:rsidP="00E276C8">
      <w:pPr>
        <w:spacing w:line="240" w:lineRule="auto"/>
        <w:rPr>
          <w:noProof/>
        </w:rPr>
      </w:pPr>
      <w:bookmarkStart w:id="540" w:name="_Toc211963041"/>
      <w:r>
        <w:rPr>
          <w:noProof/>
        </w:rPr>
        <w:t>A very broad majority of respondents in the open public consultation (83%) supported the integration of permanent CRCF removal units in the EU ETS, arguing that this is essential to expand operators’ options to achieve the long-term climate ambition, to support the uptake of such technologies and to enhance liquidity in the market. This assessment was corroborated in stakeholder interviews and position papers. The complete assessment is set out in Annex 8.</w:t>
      </w:r>
      <w:bookmarkEnd w:id="538"/>
      <w:bookmarkEnd w:id="540"/>
    </w:p>
    <w:p w14:paraId="30421890" w14:textId="77777777" w:rsidR="00A71942" w:rsidRPr="002B0D84" w:rsidRDefault="00A71942" w:rsidP="00E276C8">
      <w:pPr>
        <w:pStyle w:val="Tabletitle"/>
        <w:spacing w:after="120" w:line="240" w:lineRule="auto"/>
        <w:ind w:left="720"/>
        <w:rPr>
          <w:noProof/>
        </w:rPr>
      </w:pPr>
      <w:bookmarkStart w:id="541" w:name="_Toc232608941"/>
      <w:bookmarkStart w:id="542" w:name="_Toc232609677"/>
      <w:bookmarkStart w:id="543" w:name="_Toc232611552"/>
      <w:bookmarkStart w:id="544" w:name="_Toc232672611"/>
      <w:bookmarkStart w:id="545" w:name="_Toc232758463"/>
      <w:r>
        <w:rPr>
          <w:noProof/>
        </w:rPr>
        <w:t>Policy measures for carbon removals</w:t>
      </w:r>
      <w:bookmarkEnd w:id="541"/>
      <w:bookmarkEnd w:id="542"/>
      <w:bookmarkEnd w:id="543"/>
      <w:bookmarkEnd w:id="544"/>
      <w:bookmarkEnd w:id="545"/>
    </w:p>
    <w:tbl>
      <w:tblPr>
        <w:tblW w:w="8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3"/>
        <w:gridCol w:w="1300"/>
        <w:gridCol w:w="1297"/>
        <w:gridCol w:w="1300"/>
      </w:tblGrid>
      <w:tr w:rsidR="00A71942" w:rsidRPr="002B0D84" w14:paraId="31A300E6" w14:textId="77777777" w:rsidTr="1FC5E705">
        <w:trPr>
          <w:trHeight w:val="314"/>
        </w:trPr>
        <w:tc>
          <w:tcPr>
            <w:tcW w:w="4843" w:type="dxa"/>
            <w:hideMark/>
          </w:tcPr>
          <w:p w14:paraId="72B524CD" w14:textId="77777777" w:rsidR="00A71942" w:rsidRPr="002B0D84" w:rsidRDefault="00A71942" w:rsidP="00E276C8">
            <w:pPr>
              <w:spacing w:line="240" w:lineRule="auto"/>
              <w:rPr>
                <w:b/>
                <w:bCs/>
                <w:noProof/>
                <w:sz w:val="22"/>
                <w:szCs w:val="22"/>
                <w:lang w:val="en-IE" w:eastAsia="en-IE"/>
              </w:rPr>
            </w:pPr>
            <w:bookmarkStart w:id="546" w:name="_Toc211963042"/>
            <w:r w:rsidRPr="1FC5E705">
              <w:rPr>
                <w:b/>
                <w:bCs/>
                <w:noProof/>
                <w:sz w:val="22"/>
                <w:szCs w:val="22"/>
              </w:rPr>
              <w:t>Policy measure</w:t>
            </w:r>
            <w:bookmarkEnd w:id="546"/>
            <w:r w:rsidRPr="1FC5E705">
              <w:rPr>
                <w:b/>
                <w:bCs/>
                <w:noProof/>
                <w:sz w:val="22"/>
                <w:szCs w:val="22"/>
              </w:rPr>
              <w:t> </w:t>
            </w:r>
          </w:p>
        </w:tc>
        <w:tc>
          <w:tcPr>
            <w:tcW w:w="1300" w:type="dxa"/>
            <w:hideMark/>
          </w:tcPr>
          <w:p w14:paraId="2A51BA2B" w14:textId="77777777" w:rsidR="00A71942" w:rsidRPr="002B0D84" w:rsidRDefault="00A71942" w:rsidP="00E276C8">
            <w:pPr>
              <w:spacing w:line="240" w:lineRule="auto"/>
              <w:jc w:val="center"/>
              <w:rPr>
                <w:b/>
                <w:bCs/>
                <w:noProof/>
                <w:sz w:val="22"/>
                <w:szCs w:val="22"/>
                <w:lang w:val="en-IE" w:eastAsia="en-IE"/>
              </w:rPr>
            </w:pPr>
            <w:bookmarkStart w:id="547" w:name="_Toc211963043"/>
            <w:r w:rsidRPr="1FC5E705">
              <w:rPr>
                <w:b/>
                <w:bCs/>
                <w:noProof/>
                <w:sz w:val="22"/>
                <w:szCs w:val="22"/>
              </w:rPr>
              <w:t>PO1</w:t>
            </w:r>
            <w:bookmarkEnd w:id="547"/>
          </w:p>
        </w:tc>
        <w:tc>
          <w:tcPr>
            <w:tcW w:w="1297" w:type="dxa"/>
            <w:hideMark/>
          </w:tcPr>
          <w:p w14:paraId="1C5FDA77" w14:textId="77777777" w:rsidR="00A71942" w:rsidRPr="002B0D84" w:rsidRDefault="00A71942" w:rsidP="00E276C8">
            <w:pPr>
              <w:spacing w:line="240" w:lineRule="auto"/>
              <w:jc w:val="center"/>
              <w:rPr>
                <w:b/>
                <w:bCs/>
                <w:noProof/>
                <w:sz w:val="22"/>
                <w:szCs w:val="22"/>
                <w:lang w:val="en-IE" w:eastAsia="en-IE"/>
              </w:rPr>
            </w:pPr>
            <w:bookmarkStart w:id="548" w:name="_Toc211963044"/>
            <w:r w:rsidRPr="1FC5E705">
              <w:rPr>
                <w:b/>
                <w:bCs/>
                <w:noProof/>
                <w:sz w:val="22"/>
                <w:szCs w:val="22"/>
              </w:rPr>
              <w:t>PO2</w:t>
            </w:r>
            <w:bookmarkEnd w:id="548"/>
          </w:p>
        </w:tc>
        <w:tc>
          <w:tcPr>
            <w:tcW w:w="1300" w:type="dxa"/>
            <w:hideMark/>
          </w:tcPr>
          <w:p w14:paraId="244CCEB7" w14:textId="77777777" w:rsidR="00A71942" w:rsidRPr="002B0D84" w:rsidRDefault="00A71942" w:rsidP="00E276C8">
            <w:pPr>
              <w:spacing w:line="240" w:lineRule="auto"/>
              <w:jc w:val="center"/>
              <w:rPr>
                <w:b/>
                <w:bCs/>
                <w:noProof/>
                <w:sz w:val="22"/>
                <w:szCs w:val="22"/>
                <w:lang w:val="en-IE" w:eastAsia="en-IE"/>
              </w:rPr>
            </w:pPr>
            <w:bookmarkStart w:id="549" w:name="_Toc211963045"/>
            <w:r w:rsidRPr="1FC5E705">
              <w:rPr>
                <w:b/>
                <w:bCs/>
                <w:noProof/>
                <w:sz w:val="22"/>
                <w:szCs w:val="22"/>
              </w:rPr>
              <w:t>PO3</w:t>
            </w:r>
            <w:bookmarkEnd w:id="549"/>
          </w:p>
        </w:tc>
      </w:tr>
      <w:tr w:rsidR="00A71942" w:rsidRPr="002B0D84" w14:paraId="29B1BD2A" w14:textId="77777777" w:rsidTr="1FC5E705">
        <w:trPr>
          <w:trHeight w:val="314"/>
        </w:trPr>
        <w:tc>
          <w:tcPr>
            <w:tcW w:w="4843" w:type="dxa"/>
            <w:vAlign w:val="center"/>
            <w:hideMark/>
          </w:tcPr>
          <w:p w14:paraId="556636CB" w14:textId="77777777" w:rsidR="00A71942" w:rsidRPr="002B0D84" w:rsidRDefault="00A71942" w:rsidP="00E276C8">
            <w:pPr>
              <w:spacing w:line="240" w:lineRule="auto"/>
              <w:rPr>
                <w:noProof/>
                <w:sz w:val="22"/>
                <w:szCs w:val="22"/>
                <w:lang w:val="en-IE" w:eastAsia="en-IE"/>
              </w:rPr>
            </w:pPr>
            <w:bookmarkStart w:id="550" w:name="_Toc211963046"/>
            <w:r w:rsidRPr="1FC5E705">
              <w:rPr>
                <w:noProof/>
                <w:sz w:val="22"/>
                <w:szCs w:val="22"/>
              </w:rPr>
              <w:t>CR0: No integration</w:t>
            </w:r>
            <w:bookmarkEnd w:id="550"/>
          </w:p>
        </w:tc>
        <w:tc>
          <w:tcPr>
            <w:tcW w:w="1300" w:type="dxa"/>
            <w:vAlign w:val="center"/>
            <w:hideMark/>
          </w:tcPr>
          <w:p w14:paraId="4D50EF46" w14:textId="77777777" w:rsidR="00A71942" w:rsidRPr="002B0D84" w:rsidRDefault="00A71942" w:rsidP="00E276C8">
            <w:pPr>
              <w:spacing w:line="240" w:lineRule="auto"/>
              <w:jc w:val="center"/>
              <w:rPr>
                <w:noProof/>
                <w:sz w:val="22"/>
                <w:szCs w:val="22"/>
                <w:lang w:val="en-IE" w:eastAsia="en-IE"/>
              </w:rPr>
            </w:pPr>
          </w:p>
        </w:tc>
        <w:tc>
          <w:tcPr>
            <w:tcW w:w="1297" w:type="dxa"/>
            <w:vAlign w:val="center"/>
            <w:hideMark/>
          </w:tcPr>
          <w:p w14:paraId="34F82EFD" w14:textId="77777777" w:rsidR="00A71942" w:rsidRPr="002B0D84" w:rsidRDefault="00A71942" w:rsidP="00E276C8">
            <w:pPr>
              <w:spacing w:line="240" w:lineRule="auto"/>
              <w:jc w:val="center"/>
              <w:rPr>
                <w:noProof/>
                <w:sz w:val="22"/>
                <w:szCs w:val="22"/>
                <w:lang w:val="en-IE" w:eastAsia="en-IE"/>
              </w:rPr>
            </w:pPr>
          </w:p>
        </w:tc>
        <w:tc>
          <w:tcPr>
            <w:tcW w:w="1300" w:type="dxa"/>
            <w:vAlign w:val="center"/>
            <w:hideMark/>
          </w:tcPr>
          <w:p w14:paraId="302F8298" w14:textId="77777777" w:rsidR="00A71942" w:rsidRPr="002B0D84" w:rsidRDefault="00A71942" w:rsidP="00E276C8">
            <w:pPr>
              <w:spacing w:line="240" w:lineRule="auto"/>
              <w:jc w:val="center"/>
              <w:rPr>
                <w:noProof/>
                <w:sz w:val="22"/>
                <w:szCs w:val="22"/>
                <w:lang w:val="en-IE" w:eastAsia="en-IE"/>
              </w:rPr>
            </w:pPr>
          </w:p>
        </w:tc>
      </w:tr>
      <w:tr w:rsidR="00A71942" w:rsidRPr="002B0D84" w14:paraId="6FB27E38" w14:textId="77777777" w:rsidTr="1FC5E705">
        <w:trPr>
          <w:trHeight w:val="314"/>
        </w:trPr>
        <w:tc>
          <w:tcPr>
            <w:tcW w:w="4843" w:type="dxa"/>
            <w:vAlign w:val="center"/>
            <w:hideMark/>
          </w:tcPr>
          <w:p w14:paraId="22B2B3B9" w14:textId="77777777" w:rsidR="00A71942" w:rsidRPr="002B0D84" w:rsidRDefault="00A71942" w:rsidP="00E276C8">
            <w:pPr>
              <w:spacing w:line="240" w:lineRule="auto"/>
              <w:rPr>
                <w:noProof/>
                <w:sz w:val="22"/>
                <w:szCs w:val="22"/>
                <w:lang w:val="en-IE" w:eastAsia="en-IE"/>
              </w:rPr>
            </w:pPr>
            <w:bookmarkStart w:id="551" w:name="_Toc211963047"/>
            <w:r w:rsidRPr="1FC5E705">
              <w:rPr>
                <w:noProof/>
                <w:sz w:val="22"/>
                <w:szCs w:val="22"/>
              </w:rPr>
              <w:t>CR1 ‘Limited operator integration on top of the cap’</w:t>
            </w:r>
            <w:bookmarkEnd w:id="551"/>
          </w:p>
        </w:tc>
        <w:tc>
          <w:tcPr>
            <w:tcW w:w="1300" w:type="dxa"/>
            <w:vAlign w:val="center"/>
            <w:hideMark/>
          </w:tcPr>
          <w:p w14:paraId="3CA59447" w14:textId="77777777" w:rsidR="00A71942" w:rsidRPr="002B0D84" w:rsidRDefault="00A71942" w:rsidP="00E276C8">
            <w:pPr>
              <w:spacing w:line="240" w:lineRule="auto"/>
              <w:jc w:val="center"/>
              <w:rPr>
                <w:noProof/>
                <w:sz w:val="22"/>
                <w:szCs w:val="22"/>
                <w:lang w:val="en-IE" w:eastAsia="en-IE"/>
              </w:rPr>
            </w:pPr>
          </w:p>
        </w:tc>
        <w:tc>
          <w:tcPr>
            <w:tcW w:w="1297" w:type="dxa"/>
            <w:vAlign w:val="center"/>
            <w:hideMark/>
          </w:tcPr>
          <w:p w14:paraId="373639FD" w14:textId="77777777" w:rsidR="00A71942" w:rsidRPr="002B0D84" w:rsidRDefault="00A71942" w:rsidP="00E276C8">
            <w:pPr>
              <w:spacing w:line="240" w:lineRule="auto"/>
              <w:jc w:val="center"/>
              <w:rPr>
                <w:noProof/>
                <w:sz w:val="22"/>
                <w:szCs w:val="22"/>
                <w:lang w:val="en-IE" w:eastAsia="en-IE"/>
              </w:rPr>
            </w:pPr>
            <w:bookmarkStart w:id="552" w:name="_Toc211963048"/>
            <w:r w:rsidRPr="1FC5E705">
              <w:rPr>
                <w:noProof/>
                <w:sz w:val="22"/>
                <w:szCs w:val="22"/>
              </w:rPr>
              <w:t>X</w:t>
            </w:r>
            <w:bookmarkEnd w:id="552"/>
          </w:p>
        </w:tc>
        <w:tc>
          <w:tcPr>
            <w:tcW w:w="1300" w:type="dxa"/>
            <w:vAlign w:val="center"/>
          </w:tcPr>
          <w:p w14:paraId="365B82B7" w14:textId="77777777" w:rsidR="00A71942" w:rsidRPr="002B0D84" w:rsidRDefault="00A71942" w:rsidP="00E276C8">
            <w:pPr>
              <w:spacing w:line="240" w:lineRule="auto"/>
              <w:jc w:val="center"/>
              <w:rPr>
                <w:noProof/>
                <w:sz w:val="22"/>
                <w:szCs w:val="22"/>
                <w:lang w:val="en-IE" w:eastAsia="en-IE"/>
              </w:rPr>
            </w:pPr>
          </w:p>
        </w:tc>
      </w:tr>
      <w:tr w:rsidR="00A71942" w:rsidRPr="002B0D84" w14:paraId="00FE47F3" w14:textId="77777777" w:rsidTr="1FC5E705">
        <w:trPr>
          <w:trHeight w:val="314"/>
        </w:trPr>
        <w:tc>
          <w:tcPr>
            <w:tcW w:w="4843" w:type="dxa"/>
            <w:vAlign w:val="center"/>
            <w:hideMark/>
          </w:tcPr>
          <w:p w14:paraId="2DA11F15" w14:textId="77777777" w:rsidR="00A71942" w:rsidRPr="002B0D84" w:rsidRDefault="00A71942" w:rsidP="00E276C8">
            <w:pPr>
              <w:spacing w:line="240" w:lineRule="auto"/>
              <w:rPr>
                <w:noProof/>
                <w:sz w:val="22"/>
                <w:szCs w:val="22"/>
                <w:lang w:val="en-IE" w:eastAsia="en-IE"/>
              </w:rPr>
            </w:pPr>
            <w:bookmarkStart w:id="553" w:name="_Toc211963049"/>
            <w:r w:rsidRPr="1FC5E705">
              <w:rPr>
                <w:noProof/>
                <w:sz w:val="22"/>
                <w:szCs w:val="22"/>
              </w:rPr>
              <w:t>CR2 ‘Unlimited operator integration on top of the cap’</w:t>
            </w:r>
            <w:bookmarkEnd w:id="553"/>
          </w:p>
        </w:tc>
        <w:tc>
          <w:tcPr>
            <w:tcW w:w="1300" w:type="dxa"/>
            <w:vAlign w:val="center"/>
            <w:hideMark/>
          </w:tcPr>
          <w:p w14:paraId="19324278" w14:textId="77777777" w:rsidR="00A71942" w:rsidRPr="002B0D84" w:rsidRDefault="00A71942" w:rsidP="00E276C8">
            <w:pPr>
              <w:spacing w:line="240" w:lineRule="auto"/>
              <w:jc w:val="center"/>
              <w:rPr>
                <w:noProof/>
                <w:sz w:val="22"/>
                <w:szCs w:val="22"/>
                <w:lang w:val="en-IE" w:eastAsia="en-IE"/>
              </w:rPr>
            </w:pPr>
          </w:p>
        </w:tc>
        <w:tc>
          <w:tcPr>
            <w:tcW w:w="1297" w:type="dxa"/>
            <w:vAlign w:val="center"/>
            <w:hideMark/>
          </w:tcPr>
          <w:p w14:paraId="382CC744" w14:textId="77777777" w:rsidR="00A71942" w:rsidRPr="002B0D84" w:rsidRDefault="00A71942" w:rsidP="00E276C8">
            <w:pPr>
              <w:spacing w:line="240" w:lineRule="auto"/>
              <w:jc w:val="center"/>
              <w:rPr>
                <w:noProof/>
                <w:sz w:val="22"/>
                <w:szCs w:val="22"/>
                <w:lang w:val="en-IE" w:eastAsia="en-IE"/>
              </w:rPr>
            </w:pPr>
          </w:p>
        </w:tc>
        <w:tc>
          <w:tcPr>
            <w:tcW w:w="1300" w:type="dxa"/>
            <w:vAlign w:val="center"/>
          </w:tcPr>
          <w:p w14:paraId="28E55518" w14:textId="77777777" w:rsidR="00A71942" w:rsidRPr="002B0D84" w:rsidRDefault="00A71942" w:rsidP="00E276C8">
            <w:pPr>
              <w:spacing w:line="240" w:lineRule="auto"/>
              <w:jc w:val="center"/>
              <w:rPr>
                <w:noProof/>
                <w:sz w:val="22"/>
                <w:szCs w:val="22"/>
                <w:lang w:val="en-IE" w:eastAsia="en-IE"/>
              </w:rPr>
            </w:pPr>
          </w:p>
        </w:tc>
      </w:tr>
      <w:tr w:rsidR="00A71942" w:rsidRPr="002B0D84" w14:paraId="3A891B2A" w14:textId="77777777" w:rsidTr="1FC5E705">
        <w:trPr>
          <w:trHeight w:val="314"/>
        </w:trPr>
        <w:tc>
          <w:tcPr>
            <w:tcW w:w="4843" w:type="dxa"/>
            <w:vAlign w:val="center"/>
            <w:hideMark/>
          </w:tcPr>
          <w:p w14:paraId="361ADAAB" w14:textId="77777777" w:rsidR="00A71942" w:rsidRPr="002B0D84" w:rsidRDefault="00A71942" w:rsidP="00E276C8">
            <w:pPr>
              <w:spacing w:line="240" w:lineRule="auto"/>
              <w:rPr>
                <w:noProof/>
                <w:sz w:val="22"/>
                <w:szCs w:val="22"/>
                <w:lang w:val="en-IE" w:eastAsia="en-IE"/>
              </w:rPr>
            </w:pPr>
            <w:bookmarkStart w:id="554" w:name="_Toc211963050"/>
            <w:r w:rsidRPr="1FC5E705">
              <w:rPr>
                <w:noProof/>
                <w:sz w:val="22"/>
                <w:szCs w:val="22"/>
              </w:rPr>
              <w:t>CR3 ‘Limited operator integration under the cap (one-in-one-out)</w:t>
            </w:r>
            <w:bookmarkEnd w:id="554"/>
          </w:p>
        </w:tc>
        <w:tc>
          <w:tcPr>
            <w:tcW w:w="1300" w:type="dxa"/>
            <w:vAlign w:val="center"/>
            <w:hideMark/>
          </w:tcPr>
          <w:p w14:paraId="3F439E1A" w14:textId="77777777" w:rsidR="00A71942" w:rsidRPr="002B0D84" w:rsidRDefault="00A71942" w:rsidP="00E276C8">
            <w:pPr>
              <w:spacing w:line="240" w:lineRule="auto"/>
              <w:jc w:val="center"/>
              <w:rPr>
                <w:noProof/>
                <w:sz w:val="22"/>
                <w:szCs w:val="22"/>
                <w:lang w:val="en-IE" w:eastAsia="en-IE"/>
              </w:rPr>
            </w:pPr>
          </w:p>
        </w:tc>
        <w:tc>
          <w:tcPr>
            <w:tcW w:w="1297" w:type="dxa"/>
            <w:vAlign w:val="center"/>
            <w:hideMark/>
          </w:tcPr>
          <w:p w14:paraId="2015116E" w14:textId="77777777" w:rsidR="00A71942" w:rsidRPr="002B0D84" w:rsidRDefault="00A71942" w:rsidP="00E276C8">
            <w:pPr>
              <w:spacing w:line="240" w:lineRule="auto"/>
              <w:jc w:val="center"/>
              <w:rPr>
                <w:noProof/>
                <w:sz w:val="22"/>
                <w:szCs w:val="22"/>
                <w:lang w:val="en-IE" w:eastAsia="en-IE"/>
              </w:rPr>
            </w:pPr>
          </w:p>
        </w:tc>
        <w:tc>
          <w:tcPr>
            <w:tcW w:w="1300" w:type="dxa"/>
            <w:vAlign w:val="center"/>
          </w:tcPr>
          <w:p w14:paraId="634A7576" w14:textId="77777777" w:rsidR="00A71942" w:rsidRPr="002B0D84" w:rsidRDefault="00A71942" w:rsidP="00E276C8">
            <w:pPr>
              <w:spacing w:line="240" w:lineRule="auto"/>
              <w:jc w:val="center"/>
              <w:rPr>
                <w:noProof/>
                <w:sz w:val="22"/>
                <w:szCs w:val="22"/>
                <w:lang w:val="en-IE" w:eastAsia="en-IE"/>
              </w:rPr>
            </w:pPr>
            <w:bookmarkStart w:id="555" w:name="_Toc211963051"/>
            <w:r w:rsidRPr="1FC5E705">
              <w:rPr>
                <w:noProof/>
                <w:sz w:val="22"/>
                <w:szCs w:val="22"/>
              </w:rPr>
              <w:t>X</w:t>
            </w:r>
            <w:bookmarkEnd w:id="555"/>
          </w:p>
        </w:tc>
      </w:tr>
      <w:tr w:rsidR="00A71942" w:rsidRPr="002B0D84" w14:paraId="2473C2C6" w14:textId="77777777" w:rsidTr="1FC5E705">
        <w:trPr>
          <w:trHeight w:val="314"/>
        </w:trPr>
        <w:tc>
          <w:tcPr>
            <w:tcW w:w="4843" w:type="dxa"/>
            <w:vAlign w:val="center"/>
            <w:hideMark/>
          </w:tcPr>
          <w:p w14:paraId="38E3F84B" w14:textId="77777777" w:rsidR="00A71942" w:rsidRPr="002B0D84" w:rsidRDefault="00A71942" w:rsidP="00E276C8">
            <w:pPr>
              <w:spacing w:line="240" w:lineRule="auto"/>
              <w:rPr>
                <w:noProof/>
                <w:sz w:val="22"/>
                <w:szCs w:val="22"/>
                <w:lang w:val="en-IE" w:eastAsia="en-IE"/>
              </w:rPr>
            </w:pPr>
            <w:bookmarkStart w:id="556" w:name="_Toc211963052"/>
            <w:r w:rsidRPr="1FC5E705">
              <w:rPr>
                <w:noProof/>
                <w:sz w:val="22"/>
                <w:szCs w:val="22"/>
              </w:rPr>
              <w:t>CR4 ‘Public authority integration through regular auctions under the cap’</w:t>
            </w:r>
            <w:bookmarkEnd w:id="556"/>
          </w:p>
        </w:tc>
        <w:tc>
          <w:tcPr>
            <w:tcW w:w="1300" w:type="dxa"/>
            <w:vAlign w:val="center"/>
            <w:hideMark/>
          </w:tcPr>
          <w:p w14:paraId="1CB92D84" w14:textId="77777777" w:rsidR="00A71942" w:rsidRPr="002B0D84" w:rsidRDefault="00A71942" w:rsidP="00E276C8">
            <w:pPr>
              <w:spacing w:line="240" w:lineRule="auto"/>
              <w:jc w:val="center"/>
              <w:rPr>
                <w:noProof/>
                <w:sz w:val="22"/>
                <w:szCs w:val="22"/>
                <w:lang w:val="en-IE" w:eastAsia="en-IE"/>
              </w:rPr>
            </w:pPr>
            <w:bookmarkStart w:id="557" w:name="_Toc211963053"/>
            <w:r w:rsidRPr="1FC5E705">
              <w:rPr>
                <w:noProof/>
                <w:sz w:val="22"/>
                <w:szCs w:val="22"/>
              </w:rPr>
              <w:t>X</w:t>
            </w:r>
            <w:bookmarkEnd w:id="557"/>
          </w:p>
        </w:tc>
        <w:tc>
          <w:tcPr>
            <w:tcW w:w="1297" w:type="dxa"/>
            <w:vAlign w:val="center"/>
            <w:hideMark/>
          </w:tcPr>
          <w:p w14:paraId="0713D362" w14:textId="77777777" w:rsidR="00A71942" w:rsidRPr="002B0D84" w:rsidRDefault="00A71942" w:rsidP="00E276C8">
            <w:pPr>
              <w:spacing w:line="240" w:lineRule="auto"/>
              <w:jc w:val="center"/>
              <w:rPr>
                <w:noProof/>
                <w:sz w:val="22"/>
                <w:szCs w:val="22"/>
                <w:lang w:val="en-IE" w:eastAsia="en-IE"/>
              </w:rPr>
            </w:pPr>
          </w:p>
        </w:tc>
        <w:tc>
          <w:tcPr>
            <w:tcW w:w="1300" w:type="dxa"/>
            <w:vAlign w:val="center"/>
          </w:tcPr>
          <w:p w14:paraId="1EA11372" w14:textId="77777777" w:rsidR="00A71942" w:rsidRPr="002B0D84" w:rsidRDefault="00A71942" w:rsidP="00E276C8">
            <w:pPr>
              <w:spacing w:line="240" w:lineRule="auto"/>
              <w:jc w:val="center"/>
              <w:rPr>
                <w:noProof/>
                <w:sz w:val="22"/>
                <w:szCs w:val="22"/>
                <w:lang w:val="en-IE" w:eastAsia="en-IE"/>
              </w:rPr>
            </w:pPr>
          </w:p>
        </w:tc>
      </w:tr>
      <w:tr w:rsidR="00A71942" w:rsidRPr="002B0D84" w14:paraId="47431781" w14:textId="77777777" w:rsidTr="1FC5E705">
        <w:trPr>
          <w:trHeight w:val="314"/>
        </w:trPr>
        <w:tc>
          <w:tcPr>
            <w:tcW w:w="4843" w:type="dxa"/>
            <w:vAlign w:val="center"/>
          </w:tcPr>
          <w:p w14:paraId="0803EEEA" w14:textId="77777777" w:rsidR="00A71942" w:rsidRPr="002B0D84" w:rsidRDefault="00A71942" w:rsidP="00E276C8">
            <w:pPr>
              <w:spacing w:line="240" w:lineRule="auto"/>
              <w:rPr>
                <w:noProof/>
                <w:sz w:val="22"/>
                <w:szCs w:val="22"/>
                <w:lang w:eastAsia="en-IE"/>
              </w:rPr>
            </w:pPr>
            <w:bookmarkStart w:id="558" w:name="_Toc211963054"/>
            <w:r w:rsidRPr="1FC5E705">
              <w:rPr>
                <w:noProof/>
                <w:sz w:val="22"/>
                <w:szCs w:val="22"/>
              </w:rPr>
              <w:t>CR5 ‘Public authority integration through MSR on top of the cap’</w:t>
            </w:r>
            <w:bookmarkEnd w:id="558"/>
          </w:p>
        </w:tc>
        <w:tc>
          <w:tcPr>
            <w:tcW w:w="1300" w:type="dxa"/>
            <w:vAlign w:val="center"/>
          </w:tcPr>
          <w:p w14:paraId="19F13757" w14:textId="77777777" w:rsidR="00A71942" w:rsidRPr="002B0D84" w:rsidRDefault="00A71942" w:rsidP="00E276C8">
            <w:pPr>
              <w:spacing w:line="240" w:lineRule="auto"/>
              <w:jc w:val="center"/>
              <w:rPr>
                <w:noProof/>
                <w:sz w:val="22"/>
                <w:szCs w:val="22"/>
                <w:lang w:val="en-IE" w:eastAsia="en-IE"/>
              </w:rPr>
            </w:pPr>
          </w:p>
        </w:tc>
        <w:tc>
          <w:tcPr>
            <w:tcW w:w="1297" w:type="dxa"/>
            <w:vAlign w:val="center"/>
          </w:tcPr>
          <w:p w14:paraId="55E4BE26" w14:textId="77777777" w:rsidR="00A71942" w:rsidRPr="002B0D84" w:rsidRDefault="00A71942" w:rsidP="00E276C8">
            <w:pPr>
              <w:spacing w:line="240" w:lineRule="auto"/>
              <w:jc w:val="center"/>
              <w:rPr>
                <w:noProof/>
                <w:sz w:val="22"/>
                <w:szCs w:val="22"/>
                <w:lang w:val="en-IE" w:eastAsia="en-IE"/>
              </w:rPr>
            </w:pPr>
          </w:p>
        </w:tc>
        <w:tc>
          <w:tcPr>
            <w:tcW w:w="1300" w:type="dxa"/>
            <w:vAlign w:val="center"/>
          </w:tcPr>
          <w:p w14:paraId="435FA4D3" w14:textId="77777777" w:rsidR="00A71942" w:rsidRPr="002B0D84" w:rsidRDefault="00A71942" w:rsidP="00E276C8">
            <w:pPr>
              <w:spacing w:line="240" w:lineRule="auto"/>
              <w:jc w:val="center"/>
              <w:rPr>
                <w:noProof/>
                <w:sz w:val="22"/>
                <w:szCs w:val="22"/>
                <w:lang w:eastAsia="en-IE"/>
              </w:rPr>
            </w:pPr>
          </w:p>
        </w:tc>
      </w:tr>
    </w:tbl>
    <w:p w14:paraId="73E99C6E" w14:textId="77777777" w:rsidR="00A71942" w:rsidRPr="002B0D84" w:rsidRDefault="00A71942" w:rsidP="00E276C8">
      <w:pPr>
        <w:pStyle w:val="Heading3COM"/>
        <w:spacing w:before="120" w:after="120" w:line="240" w:lineRule="auto"/>
        <w:outlineLvl w:val="3"/>
        <w:rPr>
          <w:noProof/>
        </w:rPr>
      </w:pPr>
      <w:bookmarkStart w:id="559" w:name="_Toc232611529"/>
      <w:bookmarkStart w:id="560" w:name="_Toc232758214"/>
      <w:r>
        <w:rPr>
          <w:noProof/>
        </w:rPr>
        <w:t>Market Stability Reserve (MSR)</w:t>
      </w:r>
      <w:bookmarkEnd w:id="559"/>
      <w:bookmarkEnd w:id="560"/>
      <w:r>
        <w:rPr>
          <w:noProof/>
        </w:rPr>
        <w:t xml:space="preserve"> </w:t>
      </w:r>
    </w:p>
    <w:p w14:paraId="64232FBB" w14:textId="4F261523" w:rsidR="00A71942" w:rsidRPr="002B0D84" w:rsidRDefault="00A71942" w:rsidP="00E276C8">
      <w:pPr>
        <w:spacing w:line="240" w:lineRule="auto"/>
        <w:rPr>
          <w:noProof/>
        </w:rPr>
      </w:pPr>
      <w:r>
        <w:rPr>
          <w:noProof/>
        </w:rPr>
        <w:t xml:space="preserve">For the policy options of the MSR a number of parameter changes have been determined based on the measure level analysis described in Annex 8. </w:t>
      </w:r>
      <w:r w:rsidR="00B77AEE">
        <w:rPr>
          <w:noProof/>
        </w:rPr>
        <w:t>These parameters</w:t>
      </w:r>
      <w:r>
        <w:rPr>
          <w:noProof/>
        </w:rPr>
        <w:t xml:space="preserve"> include the upper and lower threshold, the introduction of lower buffer, the intake and release rate, the invalidation mechanism as well some technical changes for the calculation of the TNAC. </w:t>
      </w:r>
    </w:p>
    <w:p w14:paraId="34EAF7DE" w14:textId="1014DBDC" w:rsidR="00A71942" w:rsidRPr="002B0D84" w:rsidRDefault="00A71942" w:rsidP="00E276C8">
      <w:pPr>
        <w:spacing w:line="240" w:lineRule="auto"/>
        <w:rPr>
          <w:noProof/>
        </w:rPr>
      </w:pPr>
      <w:r>
        <w:rPr>
          <w:noProof/>
        </w:rPr>
        <w:t xml:space="preserve">For the policy options, a distinction is made between PO1 which applies the static parameter changes from the MSR1 level measure assessment while PO 2 and PO 3 </w:t>
      </w:r>
      <w:r w:rsidR="000C6FF0">
        <w:rPr>
          <w:noProof/>
        </w:rPr>
        <w:t xml:space="preserve">applies </w:t>
      </w:r>
      <w:r>
        <w:rPr>
          <w:noProof/>
        </w:rPr>
        <w:t>dynamic parameter</w:t>
      </w:r>
      <w:r w:rsidR="000B50F5">
        <w:rPr>
          <w:noProof/>
        </w:rPr>
        <w:t xml:space="preserve">s </w:t>
      </w:r>
      <w:r>
        <w:rPr>
          <w:noProof/>
        </w:rPr>
        <w:t xml:space="preserve">derived from MSR3 in the level measure assessment. </w:t>
      </w:r>
    </w:p>
    <w:p w14:paraId="3533DECF" w14:textId="77777777" w:rsidR="00A71942" w:rsidRPr="002B0D84" w:rsidRDefault="00A71942" w:rsidP="00E276C8">
      <w:pPr>
        <w:spacing w:line="240" w:lineRule="auto"/>
        <w:rPr>
          <w:noProof/>
        </w:rPr>
      </w:pPr>
      <w:r>
        <w:rPr>
          <w:noProof/>
        </w:rPr>
        <w:t>For PO1, the upper and lower threshold are respectively adjusted to 650 Mt and 310 Mt which remain static as from 2028. Furthermore, a lower buffer is introduced to address risk of a threshold effect close to the lower threshold. The intake rate is set at 24% constant over time and the release rate is maintained constant at 100 Mt and the invalidation mechanism is dropped after 2027 allowing more allowances to be held in the reserve. Some technical corrections are applied to the TNAC calculation.</w:t>
      </w:r>
    </w:p>
    <w:p w14:paraId="21F778E7" w14:textId="1BB9BF40" w:rsidR="00A71942" w:rsidRPr="002B0D84" w:rsidRDefault="00A71942" w:rsidP="00E276C8">
      <w:pPr>
        <w:spacing w:line="240" w:lineRule="auto"/>
        <w:rPr>
          <w:noProof/>
        </w:rPr>
      </w:pPr>
      <w:r>
        <w:rPr>
          <w:noProof/>
        </w:rPr>
        <w:t xml:space="preserve">For PO2 and PO2, the upper </w:t>
      </w:r>
      <w:r w:rsidR="009F5121">
        <w:rPr>
          <w:noProof/>
        </w:rPr>
        <w:t>and lower</w:t>
      </w:r>
      <w:r>
        <w:rPr>
          <w:noProof/>
        </w:rPr>
        <w:t xml:space="preserve"> threshold</w:t>
      </w:r>
      <w:r w:rsidR="009F5121">
        <w:rPr>
          <w:noProof/>
        </w:rPr>
        <w:t>s</w:t>
      </w:r>
      <w:r>
        <w:rPr>
          <w:noProof/>
        </w:rPr>
        <w:t xml:space="preserve"> </w:t>
      </w:r>
      <w:r w:rsidR="009F5121">
        <w:rPr>
          <w:noProof/>
        </w:rPr>
        <w:t xml:space="preserve">are </w:t>
      </w:r>
      <w:r w:rsidR="00A570F7">
        <w:rPr>
          <w:noProof/>
        </w:rPr>
        <w:t>maintained at 833Mt</w:t>
      </w:r>
      <w:r>
        <w:rPr>
          <w:noProof/>
        </w:rPr>
        <w:t xml:space="preserve"> </w:t>
      </w:r>
      <w:r w:rsidR="009F5121">
        <w:rPr>
          <w:noProof/>
        </w:rPr>
        <w:t xml:space="preserve">and </w:t>
      </w:r>
      <w:r w:rsidR="00D97A96">
        <w:rPr>
          <w:noProof/>
        </w:rPr>
        <w:t>at 400 Mt</w:t>
      </w:r>
      <w:r w:rsidR="005B4A21">
        <w:rPr>
          <w:noProof/>
        </w:rPr>
        <w:t xml:space="preserve"> </w:t>
      </w:r>
      <w:r>
        <w:rPr>
          <w:noProof/>
        </w:rPr>
        <w:t>in 2028</w:t>
      </w:r>
      <w:r w:rsidR="009F5121">
        <w:rPr>
          <w:noProof/>
        </w:rPr>
        <w:t xml:space="preserve"> respectively</w:t>
      </w:r>
      <w:r>
        <w:rPr>
          <w:noProof/>
        </w:rPr>
        <w:t xml:space="preserve">. The options also include the introduction of the lower buffer, </w:t>
      </w:r>
      <w:r w:rsidR="7FE94BFA">
        <w:rPr>
          <w:noProof/>
        </w:rPr>
        <w:t>changing</w:t>
      </w:r>
      <w:r>
        <w:rPr>
          <w:noProof/>
        </w:rPr>
        <w:t xml:space="preserve"> the intake rate at </w:t>
      </w:r>
      <w:r w:rsidR="5E0B45AF">
        <w:rPr>
          <w:noProof/>
        </w:rPr>
        <w:t>12</w:t>
      </w:r>
      <w:r>
        <w:rPr>
          <w:noProof/>
        </w:rPr>
        <w:t>%</w:t>
      </w:r>
      <w:r w:rsidR="4EB5F8DF">
        <w:rPr>
          <w:noProof/>
        </w:rPr>
        <w:t xml:space="preserve"> from 2028</w:t>
      </w:r>
      <w:r>
        <w:rPr>
          <w:noProof/>
        </w:rPr>
        <w:t xml:space="preserve"> and dropping the invalidation mechanism from 2027 and the introduction of technical corrections for the TNAC calculation. Furthermore, the key parameters are adjusted and decrease with 4% </w:t>
      </w:r>
      <w:r w:rsidR="004450D6">
        <w:rPr>
          <w:noProof/>
        </w:rPr>
        <w:t>as from 2028 to reflect the shrinking market of allowances</w:t>
      </w:r>
      <w:r>
        <w:rPr>
          <w:noProof/>
        </w:rPr>
        <w:t xml:space="preserve">. </w:t>
      </w:r>
    </w:p>
    <w:p w14:paraId="2DE5F742" w14:textId="3DDCAB47" w:rsidR="00A71942" w:rsidRPr="00500419" w:rsidRDefault="00A71942" w:rsidP="00E276C8">
      <w:pPr>
        <w:spacing w:line="240" w:lineRule="auto"/>
        <w:rPr>
          <w:noProof/>
        </w:rPr>
      </w:pPr>
      <w:r>
        <w:rPr>
          <w:noProof/>
        </w:rPr>
        <w:t xml:space="preserve">For all PO regarding the MSR, it should be noted that greater number of allowances to remain in the MSR rather than invalidating them could provide an essential liquidity buffer to manage future market tightness in the mid-2030s and beyond. For this reason, the invalidation of allowances in the </w:t>
      </w:r>
      <w:r w:rsidRPr="00500419">
        <w:rPr>
          <w:noProof/>
        </w:rPr>
        <w:t xml:space="preserve">reserve should be stopped in the short term to allow for a larger number of allowances to remain in the reserve. This will increase the firepower of the Market Stability Reserve for future releases in the next decade to balance the market. </w:t>
      </w:r>
    </w:p>
    <w:p w14:paraId="6A4B6170" w14:textId="77777777" w:rsidR="00A71942" w:rsidRPr="00500419" w:rsidRDefault="00A71942" w:rsidP="00E276C8">
      <w:pPr>
        <w:pStyle w:val="Tabletitle"/>
        <w:spacing w:after="120" w:line="240" w:lineRule="auto"/>
        <w:ind w:left="720"/>
        <w:rPr>
          <w:noProof/>
        </w:rPr>
      </w:pPr>
      <w:bookmarkStart w:id="561" w:name="_Toc232608942"/>
      <w:bookmarkStart w:id="562" w:name="_Toc232609678"/>
      <w:bookmarkStart w:id="563" w:name="_Toc232611553"/>
      <w:bookmarkStart w:id="564" w:name="_Toc232672612"/>
      <w:bookmarkStart w:id="565" w:name="_Toc232758464"/>
      <w:r w:rsidRPr="00500419">
        <w:rPr>
          <w:noProof/>
        </w:rPr>
        <w:t>Policy measures for MSR</w:t>
      </w:r>
      <w:bookmarkEnd w:id="561"/>
      <w:bookmarkEnd w:id="562"/>
      <w:bookmarkEnd w:id="563"/>
      <w:bookmarkEnd w:id="564"/>
      <w:bookmarkEnd w:id="565"/>
    </w:p>
    <w:tbl>
      <w:tblPr>
        <w:tblStyle w:val="Tablereporttemplate"/>
        <w:tblW w:w="8755" w:type="dxa"/>
        <w:tblInd w:w="0" w:type="dxa"/>
        <w:tblLook w:val="04A0" w:firstRow="1" w:lastRow="0" w:firstColumn="1" w:lastColumn="0" w:noHBand="0" w:noVBand="1"/>
      </w:tblPr>
      <w:tblGrid>
        <w:gridCol w:w="2365"/>
        <w:gridCol w:w="2910"/>
        <w:gridCol w:w="3480"/>
      </w:tblGrid>
      <w:tr w:rsidR="00A71942" w:rsidRPr="00500419" w14:paraId="4C278D33" w14:textId="77777777" w:rsidTr="1FC5E705">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365" w:type="dxa"/>
            <w:shd w:val="clear" w:color="auto" w:fill="auto"/>
          </w:tcPr>
          <w:p w14:paraId="68E5E3F2" w14:textId="77777777" w:rsidR="00A71942" w:rsidRPr="00500419" w:rsidRDefault="00A71942" w:rsidP="00E276C8">
            <w:pPr>
              <w:spacing w:after="120"/>
              <w:rPr>
                <w:noProof/>
                <w:color w:val="auto"/>
                <w:sz w:val="22"/>
                <w:szCs w:val="22"/>
              </w:rPr>
            </w:pPr>
          </w:p>
        </w:tc>
        <w:tc>
          <w:tcPr>
            <w:tcW w:w="2910" w:type="dxa"/>
            <w:shd w:val="clear" w:color="auto" w:fill="auto"/>
          </w:tcPr>
          <w:p w14:paraId="5666A815" w14:textId="77777777" w:rsidR="00A71942" w:rsidRPr="00500419" w:rsidRDefault="00A71942" w:rsidP="00E276C8">
            <w:pPr>
              <w:spacing w:after="120"/>
              <w:cnfStyle w:val="100000000000" w:firstRow="1" w:lastRow="0" w:firstColumn="0" w:lastColumn="0" w:oddVBand="0" w:evenVBand="0" w:oddHBand="0" w:evenHBand="0" w:firstRowFirstColumn="0" w:firstRowLastColumn="0" w:lastRowFirstColumn="0" w:lastRowLastColumn="0"/>
              <w:rPr>
                <w:noProof/>
                <w:color w:val="auto"/>
                <w:sz w:val="22"/>
                <w:szCs w:val="22"/>
              </w:rPr>
            </w:pPr>
            <w:r w:rsidRPr="00500419">
              <w:rPr>
                <w:noProof/>
                <w:color w:val="auto"/>
                <w:sz w:val="22"/>
                <w:szCs w:val="22"/>
              </w:rPr>
              <w:t>PO1</w:t>
            </w:r>
          </w:p>
        </w:tc>
        <w:tc>
          <w:tcPr>
            <w:tcW w:w="3480" w:type="dxa"/>
            <w:shd w:val="clear" w:color="auto" w:fill="auto"/>
          </w:tcPr>
          <w:p w14:paraId="3B4B206B" w14:textId="77777777" w:rsidR="00A71942" w:rsidRPr="00500419" w:rsidRDefault="00A71942" w:rsidP="00E276C8">
            <w:pPr>
              <w:spacing w:after="120"/>
              <w:cnfStyle w:val="100000000000" w:firstRow="1" w:lastRow="0" w:firstColumn="0" w:lastColumn="0" w:oddVBand="0" w:evenVBand="0" w:oddHBand="0" w:evenHBand="0" w:firstRowFirstColumn="0" w:firstRowLastColumn="0" w:lastRowFirstColumn="0" w:lastRowLastColumn="0"/>
              <w:rPr>
                <w:noProof/>
                <w:color w:val="auto"/>
                <w:sz w:val="22"/>
                <w:szCs w:val="22"/>
              </w:rPr>
            </w:pPr>
            <w:r w:rsidRPr="00500419">
              <w:rPr>
                <w:noProof/>
                <w:color w:val="auto"/>
                <w:sz w:val="22"/>
                <w:szCs w:val="22"/>
              </w:rPr>
              <w:t>PO2/PO3</w:t>
            </w:r>
          </w:p>
        </w:tc>
      </w:tr>
      <w:tr w:rsidR="00A71942" w:rsidRPr="00500419" w14:paraId="42CED58B" w14:textId="77777777" w:rsidTr="1FC5E7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2460BFAF" w14:textId="77777777" w:rsidR="00A71942" w:rsidRPr="00500419" w:rsidRDefault="00A71942" w:rsidP="00E276C8">
            <w:pPr>
              <w:spacing w:after="120"/>
              <w:rPr>
                <w:noProof/>
                <w:sz w:val="22"/>
                <w:szCs w:val="22"/>
              </w:rPr>
            </w:pPr>
            <w:r w:rsidRPr="00500419">
              <w:rPr>
                <w:noProof/>
                <w:sz w:val="22"/>
                <w:szCs w:val="22"/>
              </w:rPr>
              <w:t>UB: upper buffer</w:t>
            </w:r>
          </w:p>
        </w:tc>
        <w:tc>
          <w:tcPr>
            <w:tcW w:w="6390" w:type="dxa"/>
            <w:gridSpan w:val="2"/>
          </w:tcPr>
          <w:p w14:paraId="2EA67477" w14:textId="77777777" w:rsidR="00A71942" w:rsidRPr="00500419" w:rsidRDefault="00A71942" w:rsidP="00E276C8">
            <w:pPr>
              <w:spacing w:after="120"/>
              <w:cnfStyle w:val="000000100000" w:firstRow="0" w:lastRow="0" w:firstColumn="0" w:lastColumn="0" w:oddVBand="0" w:evenVBand="0" w:oddHBand="1" w:evenHBand="0" w:firstRowFirstColumn="0" w:firstRowLastColumn="0" w:lastRowFirstColumn="0" w:lastRowLastColumn="0"/>
              <w:rPr>
                <w:noProof/>
                <w:sz w:val="22"/>
                <w:szCs w:val="22"/>
                <w:lang w:val="en-IE"/>
              </w:rPr>
            </w:pPr>
            <w:r w:rsidRPr="00500419">
              <w:rPr>
                <w:noProof/>
                <w:sz w:val="22"/>
                <w:szCs w:val="22"/>
                <w:lang w:val="en-IE"/>
              </w:rPr>
              <w:t xml:space="preserve">Implied by UT and IR: </w:t>
            </w:r>
            <m:oMath>
              <m:r>
                <w:rPr>
                  <w:rFonts w:ascii="Cambria Math" w:hAnsi="Cambria Math"/>
                  <w:noProof/>
                  <w:sz w:val="22"/>
                  <w:szCs w:val="22"/>
                </w:rPr>
                <m:t>UB</m:t>
              </m:r>
              <m:r>
                <w:rPr>
                  <w:rFonts w:ascii="Cambria Math" w:hAnsi="Cambria Math"/>
                  <w:noProof/>
                  <w:sz w:val="22"/>
                  <w:szCs w:val="22"/>
                  <w:lang w:val="en-IE"/>
                </w:rPr>
                <m:t>(</m:t>
              </m:r>
              <m:r>
                <w:rPr>
                  <w:rFonts w:ascii="Cambria Math" w:hAnsi="Cambria Math"/>
                  <w:noProof/>
                  <w:sz w:val="22"/>
                  <w:szCs w:val="22"/>
                </w:rPr>
                <m:t>y</m:t>
              </m:r>
              <m:r>
                <w:rPr>
                  <w:rFonts w:ascii="Cambria Math" w:hAnsi="Cambria Math"/>
                  <w:noProof/>
                  <w:sz w:val="22"/>
                  <w:szCs w:val="22"/>
                  <w:lang w:val="en-IE"/>
                </w:rPr>
                <m:t>)=</m:t>
              </m:r>
              <m:f>
                <m:fPr>
                  <m:ctrlPr>
                    <w:rPr>
                      <w:rFonts w:ascii="Cambria Math" w:hAnsi="Cambria Math"/>
                      <w:noProof/>
                      <w:sz w:val="22"/>
                      <w:szCs w:val="22"/>
                    </w:rPr>
                  </m:ctrlPr>
                </m:fPr>
                <m:num>
                  <m:r>
                    <w:rPr>
                      <w:rFonts w:ascii="Cambria Math" w:hAnsi="Cambria Math"/>
                      <w:noProof/>
                      <w:sz w:val="22"/>
                      <w:szCs w:val="22"/>
                    </w:rPr>
                    <m:t>UT</m:t>
                  </m:r>
                  <m:r>
                    <w:rPr>
                      <w:rFonts w:ascii="Cambria Math" w:hAnsi="Cambria Math"/>
                      <w:noProof/>
                      <w:sz w:val="22"/>
                      <w:szCs w:val="22"/>
                      <w:lang w:val="en-IE"/>
                    </w:rPr>
                    <m:t>(</m:t>
                  </m:r>
                  <m:r>
                    <w:rPr>
                      <w:rFonts w:ascii="Cambria Math" w:hAnsi="Cambria Math"/>
                      <w:noProof/>
                      <w:sz w:val="22"/>
                      <w:szCs w:val="22"/>
                    </w:rPr>
                    <m:t>y</m:t>
                  </m:r>
                  <m:r>
                    <w:rPr>
                      <w:rFonts w:ascii="Cambria Math" w:hAnsi="Cambria Math"/>
                      <w:noProof/>
                      <w:sz w:val="22"/>
                      <w:szCs w:val="22"/>
                      <w:lang w:val="en-IE"/>
                    </w:rPr>
                    <m:t>)</m:t>
                  </m:r>
                </m:num>
                <m:den>
                  <m:r>
                    <w:rPr>
                      <w:rFonts w:ascii="Cambria Math" w:hAnsi="Cambria Math"/>
                      <w:noProof/>
                      <w:sz w:val="22"/>
                      <w:szCs w:val="22"/>
                      <w:lang w:val="en-IE"/>
                    </w:rPr>
                    <m:t>1-</m:t>
                  </m:r>
                  <m:r>
                    <w:rPr>
                      <w:rFonts w:ascii="Cambria Math" w:hAnsi="Cambria Math"/>
                      <w:noProof/>
                      <w:sz w:val="22"/>
                      <w:szCs w:val="22"/>
                    </w:rPr>
                    <m:t>IR</m:t>
                  </m:r>
                  <m:r>
                    <w:rPr>
                      <w:rFonts w:ascii="Cambria Math" w:hAnsi="Cambria Math"/>
                      <w:noProof/>
                      <w:sz w:val="22"/>
                      <w:szCs w:val="22"/>
                      <w:lang w:val="en-IE"/>
                    </w:rPr>
                    <m:t>(</m:t>
                  </m:r>
                  <m:r>
                    <w:rPr>
                      <w:rFonts w:ascii="Cambria Math" w:hAnsi="Cambria Math"/>
                      <w:noProof/>
                      <w:sz w:val="22"/>
                      <w:szCs w:val="22"/>
                    </w:rPr>
                    <m:t>y</m:t>
                  </m:r>
                  <m:r>
                    <w:rPr>
                      <w:rFonts w:ascii="Cambria Math" w:hAnsi="Cambria Math"/>
                      <w:noProof/>
                      <w:sz w:val="22"/>
                      <w:szCs w:val="22"/>
                      <w:lang w:val="en-IE"/>
                    </w:rPr>
                    <m:t>)</m:t>
                  </m:r>
                </m:den>
              </m:f>
            </m:oMath>
          </w:p>
        </w:tc>
      </w:tr>
      <w:tr w:rsidR="00A71942" w:rsidRPr="00500419" w14:paraId="77413494" w14:textId="77777777" w:rsidTr="1FC5E7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13E306F2" w14:textId="77777777" w:rsidR="00A71942" w:rsidRPr="00500419" w:rsidRDefault="00A71942" w:rsidP="00E276C8">
            <w:pPr>
              <w:spacing w:after="120"/>
              <w:rPr>
                <w:noProof/>
                <w:sz w:val="22"/>
                <w:szCs w:val="22"/>
              </w:rPr>
            </w:pPr>
            <w:r w:rsidRPr="00500419">
              <w:rPr>
                <w:noProof/>
                <w:sz w:val="22"/>
                <w:szCs w:val="22"/>
              </w:rPr>
              <w:t>UT: upper threshold</w:t>
            </w:r>
          </w:p>
        </w:tc>
        <w:tc>
          <w:tcPr>
            <w:tcW w:w="2910" w:type="dxa"/>
          </w:tcPr>
          <w:p w14:paraId="078E3667" w14:textId="77777777"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rPr>
            </w:pPr>
            <w:r w:rsidRPr="00500419">
              <w:rPr>
                <w:noProof/>
                <w:sz w:val="22"/>
                <w:szCs w:val="22"/>
              </w:rPr>
              <w:t>650 Mt constant from 2028</w:t>
            </w:r>
          </w:p>
        </w:tc>
        <w:tc>
          <w:tcPr>
            <w:tcW w:w="3480" w:type="dxa"/>
          </w:tcPr>
          <w:p w14:paraId="75C9C1A4" w14:textId="2F43EE60" w:rsidR="00A71942" w:rsidRPr="00500419" w:rsidRDefault="2A808793"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833</w:t>
            </w:r>
            <w:r w:rsidR="00A71942" w:rsidRPr="00500419">
              <w:rPr>
                <w:noProof/>
                <w:sz w:val="22"/>
                <w:szCs w:val="22"/>
                <w:lang w:val="en-IE"/>
              </w:rPr>
              <w:t xml:space="preserve"> Mt in 2028</w:t>
            </w:r>
          </w:p>
          <w:p w14:paraId="5816A192" w14:textId="4E578779"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Decreases at 4.</w:t>
            </w:r>
            <w:r w:rsidR="0E953980" w:rsidRPr="00500419">
              <w:rPr>
                <w:noProof/>
                <w:sz w:val="22"/>
                <w:szCs w:val="22"/>
                <w:lang w:val="en-IE"/>
              </w:rPr>
              <w:t>0</w:t>
            </w:r>
            <w:r w:rsidRPr="00500419">
              <w:rPr>
                <w:noProof/>
                <w:sz w:val="22"/>
                <w:szCs w:val="22"/>
                <w:lang w:val="en-IE"/>
              </w:rPr>
              <w:t>%/year after</w:t>
            </w:r>
          </w:p>
        </w:tc>
      </w:tr>
      <w:tr w:rsidR="00A71942" w:rsidRPr="00500419" w14:paraId="277611D1" w14:textId="77777777" w:rsidTr="00C9393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1B8B0A1A" w14:textId="77777777" w:rsidR="00A71942" w:rsidRPr="00500419" w:rsidRDefault="00A71942" w:rsidP="00E276C8">
            <w:pPr>
              <w:spacing w:after="120"/>
              <w:rPr>
                <w:noProof/>
                <w:sz w:val="22"/>
                <w:szCs w:val="22"/>
              </w:rPr>
            </w:pPr>
            <w:r w:rsidRPr="00500419">
              <w:rPr>
                <w:noProof/>
                <w:sz w:val="22"/>
                <w:szCs w:val="22"/>
              </w:rPr>
              <w:t>IR: intake rate</w:t>
            </w:r>
          </w:p>
        </w:tc>
        <w:tc>
          <w:tcPr>
            <w:tcW w:w="2910" w:type="dxa"/>
          </w:tcPr>
          <w:p w14:paraId="5F90BF4E" w14:textId="77777777" w:rsidR="00C93930" w:rsidRPr="00500419" w:rsidRDefault="00C93930" w:rsidP="00E276C8">
            <w:pPr>
              <w:spacing w:after="120"/>
              <w:cnfStyle w:val="000000100000" w:firstRow="0" w:lastRow="0" w:firstColumn="0" w:lastColumn="0" w:oddVBand="0" w:evenVBand="0" w:oddHBand="1" w:evenHBand="0" w:firstRowFirstColumn="0" w:firstRowLastColumn="0" w:lastRowFirstColumn="0" w:lastRowLastColumn="0"/>
              <w:rPr>
                <w:noProof/>
                <w:sz w:val="22"/>
                <w:szCs w:val="22"/>
              </w:rPr>
            </w:pPr>
            <w:r w:rsidRPr="00500419">
              <w:rPr>
                <w:noProof/>
                <w:sz w:val="22"/>
                <w:szCs w:val="22"/>
              </w:rPr>
              <w:t>24% constant</w:t>
            </w:r>
          </w:p>
        </w:tc>
        <w:tc>
          <w:tcPr>
            <w:tcW w:w="3480" w:type="dxa"/>
          </w:tcPr>
          <w:p w14:paraId="400F567F" w14:textId="3451FCE3" w:rsidR="00A71942" w:rsidRPr="00500419" w:rsidRDefault="00643A40" w:rsidP="00E276C8">
            <w:pPr>
              <w:spacing w:after="120"/>
              <w:cnfStyle w:val="000000100000" w:firstRow="0" w:lastRow="0" w:firstColumn="0" w:lastColumn="0" w:oddVBand="0" w:evenVBand="0" w:oddHBand="1" w:evenHBand="0" w:firstRowFirstColumn="0" w:firstRowLastColumn="0" w:lastRowFirstColumn="0" w:lastRowLastColumn="0"/>
              <w:rPr>
                <w:noProof/>
                <w:sz w:val="22"/>
                <w:szCs w:val="22"/>
              </w:rPr>
            </w:pPr>
            <w:r w:rsidRPr="00500419">
              <w:rPr>
                <w:noProof/>
                <w:sz w:val="22"/>
                <w:szCs w:val="22"/>
              </w:rPr>
              <w:t>12%</w:t>
            </w:r>
            <w:r w:rsidR="00A71942" w:rsidRPr="00500419">
              <w:rPr>
                <w:noProof/>
                <w:sz w:val="22"/>
                <w:szCs w:val="22"/>
              </w:rPr>
              <w:t xml:space="preserve"> constant</w:t>
            </w:r>
            <w:r w:rsidRPr="00500419">
              <w:rPr>
                <w:noProof/>
                <w:sz w:val="22"/>
                <w:szCs w:val="22"/>
              </w:rPr>
              <w:t xml:space="preserve"> from 2028</w:t>
            </w:r>
          </w:p>
        </w:tc>
      </w:tr>
      <w:tr w:rsidR="00A71942" w:rsidRPr="00500419" w14:paraId="679FC221" w14:textId="77777777" w:rsidTr="1FC5E7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779643EF" w14:textId="77777777" w:rsidR="00A71942" w:rsidRPr="00500419" w:rsidRDefault="00A71942" w:rsidP="00E276C8">
            <w:pPr>
              <w:spacing w:after="120"/>
              <w:rPr>
                <w:noProof/>
                <w:sz w:val="22"/>
                <w:szCs w:val="22"/>
              </w:rPr>
            </w:pPr>
            <w:r w:rsidRPr="00500419">
              <w:rPr>
                <w:noProof/>
                <w:sz w:val="22"/>
                <w:szCs w:val="22"/>
              </w:rPr>
              <w:t>LT: Lower threshold</w:t>
            </w:r>
          </w:p>
        </w:tc>
        <w:tc>
          <w:tcPr>
            <w:tcW w:w="2910" w:type="dxa"/>
          </w:tcPr>
          <w:p w14:paraId="5AB90CD4" w14:textId="77777777"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rPr>
            </w:pPr>
            <w:r w:rsidRPr="00500419">
              <w:rPr>
                <w:noProof/>
                <w:sz w:val="22"/>
                <w:szCs w:val="22"/>
              </w:rPr>
              <w:t>310 Mt constant from 2028</w:t>
            </w:r>
          </w:p>
        </w:tc>
        <w:tc>
          <w:tcPr>
            <w:tcW w:w="3480" w:type="dxa"/>
          </w:tcPr>
          <w:p w14:paraId="082DF52A" w14:textId="77777777"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400 Mt in 2028</w:t>
            </w:r>
          </w:p>
          <w:p w14:paraId="6622FF0F" w14:textId="71318DAA"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Decreases at 4.</w:t>
            </w:r>
            <w:r w:rsidR="0E953980" w:rsidRPr="00500419">
              <w:rPr>
                <w:noProof/>
                <w:sz w:val="22"/>
                <w:szCs w:val="22"/>
                <w:lang w:val="en-IE"/>
              </w:rPr>
              <w:t>0</w:t>
            </w:r>
            <w:r w:rsidRPr="00500419">
              <w:rPr>
                <w:noProof/>
                <w:sz w:val="22"/>
                <w:szCs w:val="22"/>
                <w:lang w:val="en-IE"/>
              </w:rPr>
              <w:t>%/year after</w:t>
            </w:r>
          </w:p>
        </w:tc>
      </w:tr>
      <w:tr w:rsidR="00A71942" w:rsidRPr="00500419" w14:paraId="51A428EF" w14:textId="77777777" w:rsidTr="1FC5E7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76E76A77" w14:textId="77777777" w:rsidR="00A71942" w:rsidRPr="00500419" w:rsidRDefault="00A71942" w:rsidP="00E276C8">
            <w:pPr>
              <w:spacing w:after="120"/>
              <w:rPr>
                <w:noProof/>
                <w:sz w:val="22"/>
                <w:szCs w:val="22"/>
              </w:rPr>
            </w:pPr>
            <w:r w:rsidRPr="00500419">
              <w:rPr>
                <w:noProof/>
                <w:sz w:val="22"/>
                <w:szCs w:val="22"/>
              </w:rPr>
              <w:t>LB: Lower buffer</w:t>
            </w:r>
          </w:p>
        </w:tc>
        <w:tc>
          <w:tcPr>
            <w:tcW w:w="6390" w:type="dxa"/>
            <w:gridSpan w:val="2"/>
          </w:tcPr>
          <w:p w14:paraId="26EC4873" w14:textId="77777777" w:rsidR="00A71942" w:rsidRPr="00500419" w:rsidRDefault="00A71942" w:rsidP="00E276C8">
            <w:pPr>
              <w:spacing w:after="120"/>
              <w:cnfStyle w:val="000000100000" w:firstRow="0" w:lastRow="0" w:firstColumn="0" w:lastColumn="0" w:oddVBand="0" w:evenVBand="0" w:oddHBand="1" w:evenHBand="0" w:firstRowFirstColumn="0" w:firstRowLastColumn="0" w:lastRowFirstColumn="0" w:lastRowLastColumn="0"/>
              <w:rPr>
                <w:noProof/>
                <w:sz w:val="22"/>
                <w:szCs w:val="22"/>
                <w:lang w:val="en-IE"/>
              </w:rPr>
            </w:pPr>
            <w:r w:rsidRPr="00500419">
              <w:rPr>
                <w:noProof/>
                <w:sz w:val="22"/>
                <w:szCs w:val="22"/>
                <w:lang w:val="en-IE"/>
              </w:rPr>
              <w:t xml:space="preserve">Implied by LT and RR: </w:t>
            </w:r>
            <m:oMath>
              <m:r>
                <w:rPr>
                  <w:rFonts w:ascii="Cambria Math" w:hAnsi="Cambria Math"/>
                  <w:noProof/>
                  <w:sz w:val="22"/>
                  <w:szCs w:val="22"/>
                </w:rPr>
                <m:t>LB</m:t>
              </m:r>
              <m:d>
                <m:dPr>
                  <m:ctrlPr>
                    <w:rPr>
                      <w:rFonts w:ascii="Cambria Math" w:hAnsi="Cambria Math"/>
                      <w:noProof/>
                      <w:sz w:val="22"/>
                      <w:szCs w:val="22"/>
                    </w:rPr>
                  </m:ctrlPr>
                </m:dPr>
                <m:e>
                  <m:r>
                    <w:rPr>
                      <w:rFonts w:ascii="Cambria Math" w:hAnsi="Cambria Math"/>
                      <w:noProof/>
                      <w:sz w:val="22"/>
                      <w:szCs w:val="22"/>
                    </w:rPr>
                    <m:t>y</m:t>
                  </m:r>
                </m:e>
              </m:d>
              <m:r>
                <w:rPr>
                  <w:rFonts w:ascii="Cambria Math" w:hAnsi="Cambria Math"/>
                  <w:noProof/>
                  <w:sz w:val="22"/>
                  <w:szCs w:val="22"/>
                  <w:lang w:val="en-IE"/>
                </w:rPr>
                <m:t>=</m:t>
              </m:r>
              <m:r>
                <w:rPr>
                  <w:rFonts w:ascii="Cambria Math" w:hAnsi="Cambria Math"/>
                  <w:noProof/>
                  <w:sz w:val="22"/>
                  <w:szCs w:val="22"/>
                </w:rPr>
                <m:t>LT</m:t>
              </m:r>
              <m:d>
                <m:dPr>
                  <m:ctrlPr>
                    <w:rPr>
                      <w:rFonts w:ascii="Cambria Math" w:hAnsi="Cambria Math"/>
                      <w:noProof/>
                      <w:sz w:val="22"/>
                      <w:szCs w:val="22"/>
                    </w:rPr>
                  </m:ctrlPr>
                </m:dPr>
                <m:e>
                  <m:r>
                    <w:rPr>
                      <w:rFonts w:ascii="Cambria Math" w:hAnsi="Cambria Math"/>
                      <w:noProof/>
                      <w:sz w:val="22"/>
                      <w:szCs w:val="22"/>
                    </w:rPr>
                    <m:t>y</m:t>
                  </m:r>
                </m:e>
              </m:d>
              <m:r>
                <w:rPr>
                  <w:rFonts w:ascii="Cambria Math" w:hAnsi="Cambria Math"/>
                  <w:noProof/>
                  <w:sz w:val="22"/>
                  <w:szCs w:val="22"/>
                  <w:lang w:val="en-IE"/>
                </w:rPr>
                <m:t>-</m:t>
              </m:r>
              <m:r>
                <w:rPr>
                  <w:rFonts w:ascii="Cambria Math" w:hAnsi="Cambria Math"/>
                  <w:noProof/>
                  <w:sz w:val="22"/>
                  <w:szCs w:val="22"/>
                </w:rPr>
                <m:t>RR</m:t>
              </m:r>
              <m:r>
                <w:rPr>
                  <w:rFonts w:ascii="Cambria Math" w:hAnsi="Cambria Math"/>
                  <w:noProof/>
                  <w:sz w:val="22"/>
                  <w:szCs w:val="22"/>
                  <w:lang w:val="en-IE"/>
                </w:rPr>
                <m:t>(</m:t>
              </m:r>
              <m:r>
                <w:rPr>
                  <w:rFonts w:ascii="Cambria Math" w:hAnsi="Cambria Math"/>
                  <w:noProof/>
                  <w:sz w:val="22"/>
                  <w:szCs w:val="22"/>
                </w:rPr>
                <m:t>y</m:t>
              </m:r>
              <m:r>
                <w:rPr>
                  <w:rFonts w:ascii="Cambria Math" w:hAnsi="Cambria Math"/>
                  <w:noProof/>
                  <w:sz w:val="22"/>
                  <w:szCs w:val="22"/>
                  <w:lang w:val="en-IE"/>
                </w:rPr>
                <m:t>)</m:t>
              </m:r>
            </m:oMath>
          </w:p>
        </w:tc>
      </w:tr>
      <w:tr w:rsidR="00A71942" w:rsidRPr="00500419" w14:paraId="00CCE61B" w14:textId="77777777" w:rsidTr="1FC5E7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21C34BC4" w14:textId="77777777" w:rsidR="00A71942" w:rsidRPr="00500419" w:rsidRDefault="00A71942" w:rsidP="00E276C8">
            <w:pPr>
              <w:spacing w:after="120"/>
              <w:rPr>
                <w:noProof/>
                <w:sz w:val="22"/>
                <w:szCs w:val="22"/>
              </w:rPr>
            </w:pPr>
            <w:r w:rsidRPr="00500419">
              <w:rPr>
                <w:noProof/>
                <w:sz w:val="22"/>
                <w:szCs w:val="22"/>
              </w:rPr>
              <w:t>RR: Release rate</w:t>
            </w:r>
          </w:p>
        </w:tc>
        <w:tc>
          <w:tcPr>
            <w:tcW w:w="2910" w:type="dxa"/>
          </w:tcPr>
          <w:p w14:paraId="5C3E6A1B" w14:textId="77777777"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rPr>
            </w:pPr>
            <w:r w:rsidRPr="00500419">
              <w:rPr>
                <w:noProof/>
                <w:sz w:val="22"/>
                <w:szCs w:val="22"/>
              </w:rPr>
              <w:t>100 Mt constant</w:t>
            </w:r>
          </w:p>
        </w:tc>
        <w:tc>
          <w:tcPr>
            <w:tcW w:w="3480" w:type="dxa"/>
          </w:tcPr>
          <w:p w14:paraId="617967B9" w14:textId="77777777"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100 Mt in 2028</w:t>
            </w:r>
          </w:p>
          <w:p w14:paraId="098CFCDA" w14:textId="5C045746" w:rsidR="00A71942" w:rsidRPr="00500419"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lang w:val="en-IE"/>
              </w:rPr>
            </w:pPr>
            <w:r w:rsidRPr="00500419">
              <w:rPr>
                <w:noProof/>
                <w:sz w:val="22"/>
                <w:szCs w:val="22"/>
                <w:lang w:val="en-IE"/>
              </w:rPr>
              <w:t>Decreases with 4</w:t>
            </w:r>
            <w:r w:rsidR="0E953980" w:rsidRPr="00500419">
              <w:rPr>
                <w:noProof/>
                <w:sz w:val="22"/>
                <w:szCs w:val="22"/>
                <w:lang w:val="en-IE"/>
              </w:rPr>
              <w:t>.0</w:t>
            </w:r>
            <w:r w:rsidRPr="00500419">
              <w:rPr>
                <w:noProof/>
                <w:sz w:val="22"/>
                <w:szCs w:val="22"/>
                <w:lang w:val="en-IE"/>
              </w:rPr>
              <w:t>%/ year after</w:t>
            </w:r>
          </w:p>
        </w:tc>
      </w:tr>
      <w:tr w:rsidR="00A71942" w:rsidRPr="00500419" w14:paraId="2419200F" w14:textId="77777777" w:rsidTr="1FC5E7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4FA4420B" w14:textId="77777777" w:rsidR="00A71942" w:rsidRPr="00500419" w:rsidRDefault="00A71942" w:rsidP="00E276C8">
            <w:pPr>
              <w:spacing w:after="120"/>
              <w:rPr>
                <w:noProof/>
                <w:sz w:val="22"/>
                <w:szCs w:val="22"/>
              </w:rPr>
            </w:pPr>
            <w:r w:rsidRPr="00500419">
              <w:rPr>
                <w:noProof/>
                <w:sz w:val="22"/>
                <w:szCs w:val="22"/>
              </w:rPr>
              <w:t>Invalidation mechanism</w:t>
            </w:r>
          </w:p>
        </w:tc>
        <w:tc>
          <w:tcPr>
            <w:tcW w:w="6390" w:type="dxa"/>
            <w:gridSpan w:val="2"/>
          </w:tcPr>
          <w:p w14:paraId="6B868E97" w14:textId="77777777" w:rsidR="00A71942" w:rsidRPr="00500419" w:rsidRDefault="00A71942" w:rsidP="00E276C8">
            <w:pPr>
              <w:spacing w:after="120"/>
              <w:cnfStyle w:val="000000100000" w:firstRow="0" w:lastRow="0" w:firstColumn="0" w:lastColumn="0" w:oddVBand="0" w:evenVBand="0" w:oddHBand="1" w:evenHBand="0" w:firstRowFirstColumn="0" w:firstRowLastColumn="0" w:lastRowFirstColumn="0" w:lastRowLastColumn="0"/>
              <w:rPr>
                <w:noProof/>
                <w:sz w:val="22"/>
                <w:szCs w:val="22"/>
              </w:rPr>
            </w:pPr>
            <w:r w:rsidRPr="00500419">
              <w:rPr>
                <w:noProof/>
                <w:sz w:val="22"/>
                <w:szCs w:val="22"/>
              </w:rPr>
              <w:t>Dropped after 2027</w:t>
            </w:r>
          </w:p>
        </w:tc>
      </w:tr>
      <w:tr w:rsidR="00A71942" w:rsidRPr="002B0D84" w14:paraId="5E87D8CB" w14:textId="77777777" w:rsidTr="1FC5E7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5" w:type="dxa"/>
          </w:tcPr>
          <w:p w14:paraId="72EF93D2" w14:textId="77777777" w:rsidR="00A71942" w:rsidRPr="00500419" w:rsidRDefault="00A71942" w:rsidP="00E276C8">
            <w:pPr>
              <w:spacing w:after="120"/>
              <w:rPr>
                <w:noProof/>
                <w:sz w:val="22"/>
                <w:szCs w:val="22"/>
              </w:rPr>
            </w:pPr>
            <w:r w:rsidRPr="00500419">
              <w:rPr>
                <w:noProof/>
                <w:sz w:val="22"/>
                <w:szCs w:val="22"/>
              </w:rPr>
              <w:t>TNAC calculation</w:t>
            </w:r>
          </w:p>
        </w:tc>
        <w:tc>
          <w:tcPr>
            <w:tcW w:w="6390" w:type="dxa"/>
            <w:gridSpan w:val="2"/>
          </w:tcPr>
          <w:p w14:paraId="6C06DE37" w14:textId="4AB216A1" w:rsidR="00A71942" w:rsidRPr="002B0D84" w:rsidRDefault="00A71942" w:rsidP="00E276C8">
            <w:pPr>
              <w:spacing w:after="120"/>
              <w:cnfStyle w:val="000000010000" w:firstRow="0" w:lastRow="0" w:firstColumn="0" w:lastColumn="0" w:oddVBand="0" w:evenVBand="0" w:oddHBand="0" w:evenHBand="1" w:firstRowFirstColumn="0" w:firstRowLastColumn="0" w:lastRowFirstColumn="0" w:lastRowLastColumn="0"/>
              <w:rPr>
                <w:noProof/>
                <w:sz w:val="22"/>
                <w:szCs w:val="22"/>
              </w:rPr>
            </w:pPr>
            <w:r w:rsidRPr="00500419">
              <w:rPr>
                <w:noProof/>
                <w:sz w:val="22"/>
                <w:szCs w:val="22"/>
              </w:rPr>
              <w:t>Technical correction for 2027 TNAC</w:t>
            </w:r>
          </w:p>
        </w:tc>
      </w:tr>
    </w:tbl>
    <w:p w14:paraId="12426945" w14:textId="77777777" w:rsidR="00A71942" w:rsidRPr="002B0D84" w:rsidRDefault="00A71942" w:rsidP="00E276C8">
      <w:pPr>
        <w:pStyle w:val="Heading2COM"/>
        <w:spacing w:before="120" w:after="120" w:line="240" w:lineRule="auto"/>
        <w:outlineLvl w:val="2"/>
        <w15:collapsed w:val="0"/>
        <w:rPr>
          <w:noProof/>
          <w:lang w:eastAsia="en-GB"/>
        </w:rPr>
      </w:pPr>
      <w:bookmarkStart w:id="566" w:name="_Toc219466677"/>
      <w:bookmarkStart w:id="567" w:name="_Toc232611530"/>
      <w:bookmarkStart w:id="568" w:name="_Toc232758215"/>
      <w:r>
        <w:rPr>
          <w:noProof/>
        </w:rPr>
        <w:t>Instruments to support investments</w:t>
      </w:r>
      <w:bookmarkEnd w:id="566"/>
      <w:bookmarkEnd w:id="567"/>
      <w:bookmarkEnd w:id="568"/>
    </w:p>
    <w:p w14:paraId="18CD3397" w14:textId="77777777" w:rsidR="00A71942" w:rsidRPr="002B0D84" w:rsidRDefault="00A71942" w:rsidP="00E276C8">
      <w:pPr>
        <w:pStyle w:val="Heading3COM"/>
        <w:spacing w:before="120" w:after="120" w:line="240" w:lineRule="auto"/>
        <w:outlineLvl w:val="3"/>
        <w:rPr>
          <w:noProof/>
        </w:rPr>
      </w:pPr>
      <w:bookmarkStart w:id="569" w:name="_Toc232611531"/>
      <w:bookmarkStart w:id="570" w:name="_Toc232758216"/>
      <w:r>
        <w:rPr>
          <w:noProof/>
        </w:rPr>
        <w:t>Industrial Decarbonisation Bank</w:t>
      </w:r>
      <w:bookmarkEnd w:id="569"/>
      <w:bookmarkEnd w:id="570"/>
    </w:p>
    <w:p w14:paraId="1340F230" w14:textId="77777777" w:rsidR="00A71942" w:rsidRPr="002B0D84" w:rsidRDefault="00A71942" w:rsidP="00E276C8">
      <w:pPr>
        <w:spacing w:line="240" w:lineRule="auto"/>
        <w:rPr>
          <w:noProof/>
        </w:rPr>
      </w:pPr>
      <w:r w:rsidRPr="002B0D84">
        <w:rPr>
          <w:noProof/>
        </w:rPr>
        <w:t>The Clean Industrial Deal announced the Industrial Decarbonisation Bank (IDB), with a budget of EUR 100 bn ‘based on funds in the Innovation Fund, additional revenues resulting from parts of the ETS as well as the revision of InvestEU.’ The objective of the IDB is to make a sizable impact on the industrial decarbonisation of the EIIs. Additionally, the Innovation Fund (IF) is set to be continued for the period 2031-40 using the existing instruments (‘regular’ grants and auctions</w:t>
      </w:r>
      <w:r w:rsidRPr="1FC5E705">
        <w:rPr>
          <w:noProof/>
          <w:vertAlign w:val="superscript"/>
        </w:rPr>
        <w:footnoteReference w:id="63"/>
      </w:r>
      <w:r w:rsidRPr="002B0D84">
        <w:rPr>
          <w:noProof/>
        </w:rPr>
        <w:t xml:space="preserve">) and providing existing type of support (‘classic grants’ with lump sum payments or fixed premium linked to the low-carbon product output and, to smaller extent, financial instruments) to a board range of innovative decarbonisation technologies in all sectors covered by the EU ETS, including ETS 2. </w:t>
      </w:r>
    </w:p>
    <w:p w14:paraId="3D97D61B" w14:textId="77777777" w:rsidR="00A71942" w:rsidRPr="002B0D84" w:rsidRDefault="00A71942" w:rsidP="00E276C8">
      <w:pPr>
        <w:spacing w:line="240" w:lineRule="auto"/>
        <w:rPr>
          <w:noProof/>
        </w:rPr>
      </w:pPr>
      <w:r>
        <w:rPr>
          <w:noProof/>
        </w:rPr>
        <w:t xml:space="preserve">The IDB should focus on addressing the scale-up and roll-out of decarbonisation technologies in the EIIs while the IF would continue to focus on addressing technical and early commercial risks of innovative technologies. The Bank will be placed within the governance of the future Competitiveness Fund. The different scopes of the IDB and IF are proposed in the figure below. </w:t>
      </w:r>
    </w:p>
    <w:p w14:paraId="04FDAC45" w14:textId="77777777" w:rsidR="00A71942" w:rsidRPr="002B0D84" w:rsidRDefault="00A71942" w:rsidP="00E276C8">
      <w:pPr>
        <w:pStyle w:val="Figuretitle"/>
        <w:keepNext/>
        <w:spacing w:after="120" w:line="240" w:lineRule="auto"/>
        <w:ind w:left="709"/>
        <w:rPr>
          <w:noProof/>
          <w:lang w:eastAsia="en-GB"/>
        </w:rPr>
      </w:pPr>
      <w:bookmarkStart w:id="571" w:name="_Toc232609702"/>
      <w:bookmarkStart w:id="572" w:name="_Toc232609919"/>
      <w:bookmarkStart w:id="573" w:name="_Toc232672653"/>
      <w:bookmarkStart w:id="574" w:name="_Toc232758493"/>
      <w:bookmarkStart w:id="575" w:name="_Toc234931469"/>
      <w:r>
        <w:rPr>
          <w:noProof/>
        </w:rPr>
        <w:t>Scope of the Industrial Decarbonisation Bank and Innovation Fund</w:t>
      </w:r>
      <w:bookmarkEnd w:id="571"/>
      <w:bookmarkEnd w:id="572"/>
      <w:bookmarkEnd w:id="573"/>
      <w:bookmarkEnd w:id="574"/>
      <w:bookmarkEnd w:id="575"/>
    </w:p>
    <w:p w14:paraId="12C67A1B" w14:textId="77777777" w:rsidR="00A71942" w:rsidRPr="002B0D84" w:rsidRDefault="00A71942" w:rsidP="00E276C8">
      <w:pPr>
        <w:spacing w:line="240" w:lineRule="auto"/>
        <w:rPr>
          <w:rFonts w:eastAsia="MS Mincho"/>
          <w:noProof/>
          <w:lang w:eastAsia="en-GB"/>
        </w:rPr>
      </w:pPr>
      <w:r>
        <w:rPr>
          <w:noProof/>
          <w:lang w:eastAsia="en-GB"/>
        </w:rPr>
        <w:drawing>
          <wp:inline distT="0" distB="0" distL="0" distR="0" wp14:anchorId="40AD37F2" wp14:editId="79433D85">
            <wp:extent cx="5563235" cy="3164840"/>
            <wp:effectExtent l="0" t="0" r="0" b="0"/>
            <wp:docPr id="2523778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77862" name="Picture 1" descr="A screenshot of a computer screen&#10;&#10;AI-generated content may be incorrect."/>
                    <pic:cNvPicPr/>
                  </pic:nvPicPr>
                  <pic:blipFill>
                    <a:blip r:embed="rId59"/>
                    <a:stretch>
                      <a:fillRect/>
                    </a:stretch>
                  </pic:blipFill>
                  <pic:spPr>
                    <a:xfrm>
                      <a:off x="0" y="0"/>
                      <a:ext cx="5563235" cy="3164840"/>
                    </a:xfrm>
                    <a:prstGeom prst="rect">
                      <a:avLst/>
                    </a:prstGeom>
                  </pic:spPr>
                </pic:pic>
              </a:graphicData>
            </a:graphic>
          </wp:inline>
        </w:drawing>
      </w:r>
    </w:p>
    <w:p w14:paraId="634729A2" w14:textId="77777777" w:rsidR="00A71942" w:rsidRPr="002B0D84" w:rsidRDefault="00A71942" w:rsidP="00E276C8">
      <w:pPr>
        <w:spacing w:line="240" w:lineRule="auto"/>
        <w:rPr>
          <w:rFonts w:eastAsia="MS Mincho"/>
          <w:noProof/>
          <w:color w:val="000000"/>
          <w:lang w:eastAsia="en-GB"/>
        </w:rPr>
      </w:pPr>
      <w:r w:rsidRPr="1FC5E705">
        <w:rPr>
          <w:rFonts w:eastAsia="MS Mincho"/>
          <w:noProof/>
        </w:rPr>
        <w:t xml:space="preserve">The policy measures assessed in this Impact Assessment, examine the possible approaches for allocating support through the IDB, the different forms that such support could take, </w:t>
      </w:r>
      <w:r w:rsidRPr="1FC5E705">
        <w:rPr>
          <w:rFonts w:eastAsia="Times New Roman"/>
          <w:noProof/>
        </w:rPr>
        <w:t>and the mechanisms available to ensure geographical balance in its distribution</w:t>
      </w:r>
      <w:r w:rsidRPr="1FC5E705">
        <w:rPr>
          <w:rFonts w:eastAsia="MS Mincho"/>
          <w:noProof/>
        </w:rPr>
        <w:t>.</w:t>
      </w:r>
    </w:p>
    <w:p w14:paraId="3C152529" w14:textId="77777777" w:rsidR="00A71942" w:rsidRPr="002B0D84" w:rsidRDefault="00A71942" w:rsidP="00E276C8">
      <w:pPr>
        <w:spacing w:line="240" w:lineRule="auto"/>
        <w:rPr>
          <w:i/>
          <w:iCs/>
          <w:noProof/>
        </w:rPr>
      </w:pPr>
      <w:r w:rsidRPr="1FC5E705">
        <w:rPr>
          <w:i/>
          <w:iCs/>
          <w:noProof/>
        </w:rPr>
        <w:t>Options on how the support should be allocated (allocation mechanism)</w:t>
      </w:r>
    </w:p>
    <w:p w14:paraId="123F72A9" w14:textId="77777777" w:rsidR="00A71942" w:rsidRPr="002B0D84" w:rsidRDefault="00A71942" w:rsidP="00E276C8">
      <w:pPr>
        <w:spacing w:line="240" w:lineRule="auto"/>
        <w:rPr>
          <w:rFonts w:eastAsia="MS Mincho"/>
          <w:noProof/>
          <w:color w:val="000000"/>
          <w:lang w:eastAsia="en-GB"/>
        </w:rPr>
      </w:pPr>
      <w:r w:rsidRPr="1FC5E705">
        <w:rPr>
          <w:rFonts w:eastAsia="MS Mincho"/>
          <w:noProof/>
        </w:rPr>
        <w:t>There is a number of allocation mechanisms that can be deployed, and in most of the cases these can be selected independently of type of support being provided. The options presented below reflect the most commonly used instruments, based on the experience from the Innovation Fund, and national support schemes for the industrial decarbonisation. These allocation mechanisms are not necessarily mutually exclusive, for example auctions may be designed as very similar to multicriteria processes (i.e. by including non-price criteria).</w:t>
      </w:r>
    </w:p>
    <w:p w14:paraId="271E6BED" w14:textId="77777777" w:rsidR="00A71942" w:rsidRPr="002B0D84" w:rsidRDefault="00A71942" w:rsidP="00E276C8">
      <w:pPr>
        <w:pStyle w:val="Tabletitle"/>
        <w:spacing w:after="120" w:line="240" w:lineRule="auto"/>
        <w:ind w:left="720"/>
        <w:rPr>
          <w:noProof/>
        </w:rPr>
      </w:pPr>
      <w:bookmarkStart w:id="576" w:name="_Toc232608943"/>
      <w:bookmarkStart w:id="577" w:name="_Toc232609679"/>
      <w:bookmarkStart w:id="578" w:name="_Toc232611554"/>
      <w:bookmarkStart w:id="579" w:name="_Toc232672613"/>
      <w:bookmarkStart w:id="580" w:name="_Toc232758465"/>
      <w:r>
        <w:rPr>
          <w:noProof/>
        </w:rPr>
        <w:t>Policy measures for IDB allocation mechanism</w:t>
      </w:r>
      <w:bookmarkEnd w:id="576"/>
      <w:bookmarkEnd w:id="577"/>
      <w:bookmarkEnd w:id="578"/>
      <w:bookmarkEnd w:id="579"/>
      <w:bookmarkEnd w:id="580"/>
    </w:p>
    <w:tbl>
      <w:tblPr>
        <w:tblW w:w="7896" w:type="dxa"/>
        <w:jc w:val="center"/>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Look w:val="04A0" w:firstRow="1" w:lastRow="0" w:firstColumn="1" w:lastColumn="0" w:noHBand="0" w:noVBand="1"/>
      </w:tblPr>
      <w:tblGrid>
        <w:gridCol w:w="1644"/>
        <w:gridCol w:w="6252"/>
      </w:tblGrid>
      <w:tr w:rsidR="00A71942" w:rsidRPr="002B0D84" w14:paraId="0413FA94" w14:textId="77777777" w:rsidTr="1FC5E705">
        <w:trPr>
          <w:jc w:val="center"/>
        </w:trPr>
        <w:tc>
          <w:tcPr>
            <w:tcW w:w="1644" w:type="dxa"/>
          </w:tcPr>
          <w:p w14:paraId="551F3538"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AM.1</w:t>
            </w:r>
          </w:p>
        </w:tc>
        <w:tc>
          <w:tcPr>
            <w:tcW w:w="6252" w:type="dxa"/>
          </w:tcPr>
          <w:p w14:paraId="2949822E"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 xml:space="preserve">Multi-criteria call for proposals </w:t>
            </w:r>
          </w:p>
        </w:tc>
      </w:tr>
      <w:tr w:rsidR="00A71942" w:rsidRPr="002B0D84" w14:paraId="5602B3D4" w14:textId="77777777" w:rsidTr="1FC5E705">
        <w:trPr>
          <w:jc w:val="center"/>
        </w:trPr>
        <w:tc>
          <w:tcPr>
            <w:tcW w:w="1644" w:type="dxa"/>
          </w:tcPr>
          <w:p w14:paraId="0D80A768"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AM.2</w:t>
            </w:r>
          </w:p>
        </w:tc>
        <w:tc>
          <w:tcPr>
            <w:tcW w:w="6252" w:type="dxa"/>
          </w:tcPr>
          <w:p w14:paraId="1BA2F7A2"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 xml:space="preserve">Auctions </w:t>
            </w:r>
          </w:p>
        </w:tc>
      </w:tr>
      <w:tr w:rsidR="00A71942" w:rsidRPr="002B0D84" w14:paraId="442A222F" w14:textId="77777777" w:rsidTr="1FC5E705">
        <w:trPr>
          <w:jc w:val="center"/>
        </w:trPr>
        <w:tc>
          <w:tcPr>
            <w:tcW w:w="1644" w:type="dxa"/>
          </w:tcPr>
          <w:p w14:paraId="40B9ABC6"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AM.3</w:t>
            </w:r>
          </w:p>
        </w:tc>
        <w:tc>
          <w:tcPr>
            <w:tcW w:w="6252" w:type="dxa"/>
          </w:tcPr>
          <w:p w14:paraId="2DFFAA04" w14:textId="77777777" w:rsidR="00A71942" w:rsidRPr="00894632" w:rsidRDefault="00A71942" w:rsidP="00E276C8">
            <w:pPr>
              <w:pStyle w:val="Heading5"/>
              <w:numPr>
                <w:ilvl w:val="0"/>
                <w:numId w:val="0"/>
              </w:numPr>
              <w:spacing w:before="120" w:line="240" w:lineRule="auto"/>
              <w:ind w:left="1009" w:hanging="1009"/>
              <w:rPr>
                <w:rFonts w:ascii="Times New Roman" w:eastAsia="MS Mincho" w:hAnsi="Times New Roman"/>
                <w:noProof/>
                <w:color w:val="000000"/>
                <w:sz w:val="22"/>
                <w:szCs w:val="22"/>
                <w:lang w:eastAsia="en-GB"/>
              </w:rPr>
            </w:pPr>
            <w:r w:rsidRPr="1FC5E705">
              <w:rPr>
                <w:rFonts w:ascii="Times New Roman" w:eastAsia="MS Mincho" w:hAnsi="Times New Roman"/>
                <w:noProof/>
                <w:color w:val="242828" w:themeColor="text1"/>
                <w:sz w:val="22"/>
                <w:szCs w:val="22"/>
              </w:rPr>
              <w:t xml:space="preserve">First-in, first served administrative schemes </w:t>
            </w:r>
          </w:p>
        </w:tc>
      </w:tr>
    </w:tbl>
    <w:p w14:paraId="1F6E50E6" w14:textId="77777777" w:rsidR="00A71942" w:rsidRPr="002B0D84" w:rsidRDefault="00A71942" w:rsidP="00E276C8">
      <w:pPr>
        <w:spacing w:line="240" w:lineRule="auto"/>
        <w:rPr>
          <w:i/>
          <w:iCs/>
          <w:noProof/>
        </w:rPr>
      </w:pPr>
      <w:bookmarkStart w:id="581" w:name="_Toc211963082"/>
      <w:r w:rsidRPr="1FC5E705">
        <w:rPr>
          <w:i/>
          <w:iCs/>
          <w:noProof/>
        </w:rPr>
        <w:t>Measures on what form the support should take</w:t>
      </w:r>
    </w:p>
    <w:p w14:paraId="662249A4" w14:textId="77777777" w:rsidR="00A71942" w:rsidRPr="002B0D84" w:rsidRDefault="00A71942" w:rsidP="00E276C8">
      <w:pPr>
        <w:spacing w:line="240" w:lineRule="auto"/>
        <w:rPr>
          <w:rFonts w:eastAsia="MS Mincho"/>
          <w:noProof/>
          <w:lang w:eastAsia="en-GB"/>
        </w:rPr>
      </w:pPr>
      <w:r w:rsidRPr="1FC5E705">
        <w:rPr>
          <w:rFonts w:eastAsia="MS Mincho"/>
          <w:noProof/>
        </w:rPr>
        <w:t>Public support can take a number of forms and, in most cases, the choice of support can be made independently of the allocation mechanism. The options presented are not exhaustive but represent the most common types of support, reflecting the experience from the Innovation Fund and national support schemes for the industrial decarbonisation.</w:t>
      </w:r>
    </w:p>
    <w:p w14:paraId="4C6FFA5C" w14:textId="77777777" w:rsidR="00A71942" w:rsidRPr="002B0D84" w:rsidRDefault="00A71942" w:rsidP="00E276C8">
      <w:pPr>
        <w:pStyle w:val="Tabletitle"/>
        <w:spacing w:after="120" w:line="240" w:lineRule="auto"/>
        <w:ind w:left="720"/>
        <w:rPr>
          <w:noProof/>
        </w:rPr>
      </w:pPr>
      <w:bookmarkStart w:id="582" w:name="_Toc232608944"/>
      <w:bookmarkStart w:id="583" w:name="_Toc232609680"/>
      <w:bookmarkStart w:id="584" w:name="_Toc232611555"/>
      <w:bookmarkStart w:id="585" w:name="_Toc232672614"/>
      <w:bookmarkStart w:id="586" w:name="_Toc232758466"/>
      <w:r>
        <w:rPr>
          <w:noProof/>
        </w:rPr>
        <w:t>Policy measures for IDB type of support</w:t>
      </w:r>
      <w:bookmarkEnd w:id="582"/>
      <w:bookmarkEnd w:id="583"/>
      <w:bookmarkEnd w:id="584"/>
      <w:bookmarkEnd w:id="585"/>
      <w:bookmarkEnd w:id="586"/>
    </w:p>
    <w:tbl>
      <w:tblPr>
        <w:tblW w:w="7613" w:type="dxa"/>
        <w:jc w:val="center"/>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Look w:val="04A0" w:firstRow="1" w:lastRow="0" w:firstColumn="1" w:lastColumn="0" w:noHBand="0" w:noVBand="1"/>
      </w:tblPr>
      <w:tblGrid>
        <w:gridCol w:w="1575"/>
        <w:gridCol w:w="6038"/>
      </w:tblGrid>
      <w:tr w:rsidR="00A71942" w:rsidRPr="002B0D84" w14:paraId="798AC541" w14:textId="77777777" w:rsidTr="1FC5E705">
        <w:trPr>
          <w:jc w:val="center"/>
        </w:trPr>
        <w:tc>
          <w:tcPr>
            <w:tcW w:w="1575" w:type="dxa"/>
          </w:tcPr>
          <w:p w14:paraId="7EE476D5"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FS.1</w:t>
            </w:r>
          </w:p>
        </w:tc>
        <w:tc>
          <w:tcPr>
            <w:tcW w:w="6038" w:type="dxa"/>
          </w:tcPr>
          <w:p w14:paraId="1DAFBA4C"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 xml:space="preserve">Regular’ grants covering the funding gap </w:t>
            </w:r>
          </w:p>
        </w:tc>
      </w:tr>
      <w:tr w:rsidR="00A71942" w:rsidRPr="002B0D84" w14:paraId="47394503" w14:textId="77777777" w:rsidTr="1FC5E705">
        <w:trPr>
          <w:jc w:val="center"/>
        </w:trPr>
        <w:tc>
          <w:tcPr>
            <w:tcW w:w="1575" w:type="dxa"/>
          </w:tcPr>
          <w:p w14:paraId="5BBE5209"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FS.2</w:t>
            </w:r>
          </w:p>
        </w:tc>
        <w:tc>
          <w:tcPr>
            <w:tcW w:w="6038" w:type="dxa"/>
          </w:tcPr>
          <w:p w14:paraId="2F5E1430"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Carbon Fixed Premium (CFP)</w:t>
            </w:r>
          </w:p>
        </w:tc>
      </w:tr>
      <w:tr w:rsidR="00A71942" w:rsidRPr="002B0D84" w14:paraId="67E95435" w14:textId="77777777" w:rsidTr="1FC5E705">
        <w:trPr>
          <w:jc w:val="center"/>
        </w:trPr>
        <w:tc>
          <w:tcPr>
            <w:tcW w:w="1575" w:type="dxa"/>
          </w:tcPr>
          <w:p w14:paraId="7B195A2E"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FS.3</w:t>
            </w:r>
          </w:p>
        </w:tc>
        <w:tc>
          <w:tcPr>
            <w:tcW w:w="6038" w:type="dxa"/>
          </w:tcPr>
          <w:p w14:paraId="16A58B9A" w14:textId="77777777" w:rsidR="00A71942" w:rsidRPr="00894632" w:rsidRDefault="00A71942" w:rsidP="00E276C8">
            <w:pPr>
              <w:pStyle w:val="Heading5"/>
              <w:numPr>
                <w:ilvl w:val="0"/>
                <w:numId w:val="0"/>
              </w:numPr>
              <w:spacing w:before="120" w:line="240" w:lineRule="auto"/>
              <w:ind w:left="1009" w:hanging="1009"/>
              <w:rPr>
                <w:rFonts w:ascii="Times New Roman" w:eastAsia="MS Mincho" w:hAnsi="Times New Roman"/>
                <w:noProof/>
                <w:color w:val="000000"/>
                <w:sz w:val="22"/>
                <w:szCs w:val="22"/>
                <w:lang w:eastAsia="en-GB"/>
              </w:rPr>
            </w:pPr>
            <w:r w:rsidRPr="1FC5E705">
              <w:rPr>
                <w:rFonts w:ascii="Times New Roman" w:eastAsia="MS Mincho" w:hAnsi="Times New Roman"/>
                <w:noProof/>
                <w:color w:val="242828" w:themeColor="text1"/>
                <w:sz w:val="22"/>
                <w:szCs w:val="22"/>
              </w:rPr>
              <w:t>Carbon Contracts for Difference (CCfD)</w:t>
            </w:r>
          </w:p>
        </w:tc>
      </w:tr>
    </w:tbl>
    <w:p w14:paraId="7D50571B" w14:textId="77777777" w:rsidR="00A71942" w:rsidRPr="002B0D84" w:rsidRDefault="00A71942" w:rsidP="00E276C8">
      <w:pPr>
        <w:spacing w:line="240" w:lineRule="auto"/>
        <w:rPr>
          <w:i/>
          <w:iCs/>
          <w:noProof/>
        </w:rPr>
      </w:pPr>
      <w:r w:rsidRPr="1FC5E705">
        <w:rPr>
          <w:i/>
          <w:iCs/>
          <w:noProof/>
        </w:rPr>
        <w:t xml:space="preserve">Measures on ensuring geographical balance in IDB </w:t>
      </w:r>
    </w:p>
    <w:p w14:paraId="0E2AAF8E" w14:textId="77777777" w:rsidR="00A71942" w:rsidRPr="002B0D84" w:rsidRDefault="00A71942" w:rsidP="00E276C8">
      <w:pPr>
        <w:spacing w:line="240" w:lineRule="auto"/>
        <w:rPr>
          <w:rFonts w:eastAsia="MS Mincho"/>
          <w:noProof/>
          <w:lang w:eastAsia="en-GB"/>
        </w:rPr>
      </w:pPr>
      <w:r w:rsidRPr="1FC5E705">
        <w:rPr>
          <w:rFonts w:eastAsia="MS Mincho"/>
          <w:noProof/>
        </w:rPr>
        <w:t xml:space="preserve">The IDB design requires balancing between two partially conflicting objectives: directing EU-funding to the most cost-effective projects (typically low-risk, mature ones, located in the optimal locations of the EU); and, supporting industry decarbonisation across all Member States to ensure that all MS decarbonise their industrial base, benefit from spillover effects and, in the long-term no opportunities are missed (countries/regions that are not successful in the EU-level competition might be hampered by lack of administrative capacity/lack of innovation ecosystem rather than structural factors of their industry/economy). . </w:t>
      </w:r>
    </w:p>
    <w:p w14:paraId="169DA119" w14:textId="77777777" w:rsidR="00A71942" w:rsidRPr="002B0D84" w:rsidRDefault="00A71942" w:rsidP="00E276C8">
      <w:pPr>
        <w:spacing w:line="240" w:lineRule="auto"/>
        <w:rPr>
          <w:rFonts w:eastAsia="MS Mincho"/>
          <w:noProof/>
          <w:lang w:eastAsia="en-GB"/>
        </w:rPr>
      </w:pPr>
      <w:r w:rsidRPr="1FC5E705">
        <w:rPr>
          <w:rFonts w:eastAsia="MS Mincho"/>
          <w:noProof/>
        </w:rPr>
        <w:t xml:space="preserve">The Clean Industrial Deal highlights a fair geographical distribution of support needs to be ensured. Several options to achieve this balance: </w:t>
      </w:r>
    </w:p>
    <w:p w14:paraId="3839ECA3" w14:textId="77777777" w:rsidR="00A71942" w:rsidRPr="002B0D84" w:rsidRDefault="00A71942" w:rsidP="00E276C8">
      <w:pPr>
        <w:pStyle w:val="Tabletitle"/>
        <w:spacing w:after="120" w:line="240" w:lineRule="auto"/>
        <w:ind w:left="720"/>
        <w:rPr>
          <w:noProof/>
          <w:lang w:eastAsia="en-GB"/>
        </w:rPr>
      </w:pPr>
      <w:bookmarkStart w:id="587" w:name="_Toc232608945"/>
      <w:bookmarkStart w:id="588" w:name="_Toc232609681"/>
      <w:bookmarkStart w:id="589" w:name="_Toc232611556"/>
      <w:bookmarkStart w:id="590" w:name="_Toc232672615"/>
      <w:bookmarkStart w:id="591" w:name="_Toc232758467"/>
      <w:r>
        <w:rPr>
          <w:noProof/>
        </w:rPr>
        <w:t>Policy measures for IDB geographical distribution</w:t>
      </w:r>
      <w:bookmarkEnd w:id="587"/>
      <w:bookmarkEnd w:id="588"/>
      <w:bookmarkEnd w:id="589"/>
      <w:bookmarkEnd w:id="590"/>
      <w:bookmarkEnd w:id="591"/>
    </w:p>
    <w:tbl>
      <w:tblPr>
        <w:tblW w:w="7755" w:type="dxa"/>
        <w:jc w:val="center"/>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Look w:val="04A0" w:firstRow="1" w:lastRow="0" w:firstColumn="1" w:lastColumn="0" w:noHBand="0" w:noVBand="1"/>
      </w:tblPr>
      <w:tblGrid>
        <w:gridCol w:w="1503"/>
        <w:gridCol w:w="6252"/>
      </w:tblGrid>
      <w:tr w:rsidR="00A71942" w:rsidRPr="002B0D84" w14:paraId="58B3697C" w14:textId="77777777" w:rsidTr="1FC5E705">
        <w:trPr>
          <w:jc w:val="center"/>
        </w:trPr>
        <w:tc>
          <w:tcPr>
            <w:tcW w:w="1503" w:type="dxa"/>
          </w:tcPr>
          <w:p w14:paraId="2137F7AB"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GB.1</w:t>
            </w:r>
          </w:p>
        </w:tc>
        <w:tc>
          <w:tcPr>
            <w:tcW w:w="6252" w:type="dxa"/>
          </w:tcPr>
          <w:p w14:paraId="7B251569"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EU-level competition, no geographical balance measures</w:t>
            </w:r>
          </w:p>
        </w:tc>
      </w:tr>
      <w:tr w:rsidR="00A71942" w:rsidRPr="002B0D84" w14:paraId="5387C114" w14:textId="77777777" w:rsidTr="1FC5E705">
        <w:trPr>
          <w:jc w:val="center"/>
        </w:trPr>
        <w:tc>
          <w:tcPr>
            <w:tcW w:w="1503" w:type="dxa"/>
          </w:tcPr>
          <w:p w14:paraId="75E29C20"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GB.2</w:t>
            </w:r>
          </w:p>
        </w:tc>
        <w:tc>
          <w:tcPr>
            <w:tcW w:w="6252" w:type="dxa"/>
          </w:tcPr>
          <w:p w14:paraId="118C6EEA"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 xml:space="preserve">National allocations earmarked for MS </w:t>
            </w:r>
          </w:p>
        </w:tc>
      </w:tr>
      <w:tr w:rsidR="00A71942" w:rsidRPr="002B0D84" w14:paraId="27F451DE" w14:textId="77777777" w:rsidTr="1FC5E705">
        <w:trPr>
          <w:jc w:val="center"/>
        </w:trPr>
        <w:tc>
          <w:tcPr>
            <w:tcW w:w="1503" w:type="dxa"/>
          </w:tcPr>
          <w:p w14:paraId="1A06ED57" w14:textId="77777777" w:rsidR="00A71942" w:rsidRPr="00894632" w:rsidRDefault="00A71942" w:rsidP="00E276C8">
            <w:pPr>
              <w:spacing w:line="240" w:lineRule="auto"/>
              <w:rPr>
                <w:rFonts w:eastAsia="MS Mincho"/>
                <w:noProof/>
                <w:color w:val="000000"/>
                <w:sz w:val="22"/>
                <w:szCs w:val="22"/>
                <w:lang w:eastAsia="en-GB"/>
              </w:rPr>
            </w:pPr>
            <w:r w:rsidRPr="1FC5E705">
              <w:rPr>
                <w:rFonts w:eastAsia="MS Mincho"/>
                <w:noProof/>
                <w:sz w:val="22"/>
                <w:szCs w:val="22"/>
              </w:rPr>
              <w:t>GB.3</w:t>
            </w:r>
          </w:p>
        </w:tc>
        <w:tc>
          <w:tcPr>
            <w:tcW w:w="6252" w:type="dxa"/>
          </w:tcPr>
          <w:p w14:paraId="16CBEA9D" w14:textId="77777777" w:rsidR="00A71942" w:rsidRPr="00AE1B03" w:rsidRDefault="00A71942" w:rsidP="00E276C8">
            <w:pPr>
              <w:pStyle w:val="Heading5"/>
              <w:numPr>
                <w:ilvl w:val="0"/>
                <w:numId w:val="0"/>
              </w:numPr>
              <w:spacing w:before="120" w:line="240" w:lineRule="auto"/>
              <w:ind w:left="1009" w:hanging="1009"/>
              <w:rPr>
                <w:rFonts w:ascii="Times New Roman" w:eastAsia="MS Mincho" w:hAnsi="Times New Roman"/>
                <w:noProof/>
                <w:color w:val="242828" w:themeColor="text1"/>
                <w:sz w:val="22"/>
                <w:szCs w:val="22"/>
                <w:lang w:eastAsia="en-GB"/>
              </w:rPr>
            </w:pPr>
            <w:r w:rsidRPr="1FC5E705">
              <w:rPr>
                <w:rFonts w:ascii="Times New Roman" w:eastAsia="MS Mincho" w:hAnsi="Times New Roman"/>
                <w:noProof/>
                <w:color w:val="242828" w:themeColor="text1"/>
                <w:sz w:val="22"/>
                <w:szCs w:val="22"/>
              </w:rPr>
              <w:t xml:space="preserve">Combing EU-level competition with national allocations </w:t>
            </w:r>
          </w:p>
        </w:tc>
      </w:tr>
    </w:tbl>
    <w:p w14:paraId="62F57A67" w14:textId="77777777" w:rsidR="00A71942" w:rsidRPr="00674D9F" w:rsidRDefault="00A71942" w:rsidP="00E276C8">
      <w:pPr>
        <w:spacing w:line="240" w:lineRule="auto"/>
        <w:rPr>
          <w:rFonts w:eastAsia="MS Mincho"/>
          <w:noProof/>
          <w:lang w:eastAsia="en-GB"/>
        </w:rPr>
      </w:pPr>
      <w:r w:rsidRPr="1FC5E705">
        <w:rPr>
          <w:rFonts w:eastAsia="MS Mincho"/>
          <w:noProof/>
        </w:rPr>
        <w:t>The measures are grouped into policy packages reflecting different degrees of change compared to the current ways to allocate the support provided under the Innovation Fund, with:</w:t>
      </w:r>
    </w:p>
    <w:p w14:paraId="7E65A991" w14:textId="77777777" w:rsidR="00A71942" w:rsidRPr="00AE1B03" w:rsidRDefault="00A71942" w:rsidP="00E276C8">
      <w:pPr>
        <w:pStyle w:val="ListParagraph"/>
        <w:numPr>
          <w:ilvl w:val="3"/>
          <w:numId w:val="21"/>
        </w:numPr>
        <w:spacing w:after="120" w:line="240" w:lineRule="auto"/>
        <w:ind w:left="851"/>
        <w:rPr>
          <w:rFonts w:eastAsia="MS Mincho"/>
          <w:noProof/>
          <w:lang w:eastAsia="en-GB"/>
        </w:rPr>
      </w:pPr>
      <w:r w:rsidRPr="1FC5E705">
        <w:rPr>
          <w:rFonts w:eastAsia="MS Mincho"/>
          <w:noProof/>
        </w:rPr>
        <w:t xml:space="preserve">PO1 replicating the current forms of support in the Innovation Fund, </w:t>
      </w:r>
    </w:p>
    <w:p w14:paraId="1D270BF3" w14:textId="77777777" w:rsidR="00A71942" w:rsidRPr="00AE1B03" w:rsidRDefault="00A71942" w:rsidP="00E276C8">
      <w:pPr>
        <w:pStyle w:val="ListParagraph"/>
        <w:numPr>
          <w:ilvl w:val="3"/>
          <w:numId w:val="21"/>
        </w:numPr>
        <w:spacing w:after="120" w:line="240" w:lineRule="auto"/>
        <w:ind w:left="851"/>
        <w:rPr>
          <w:rFonts w:eastAsia="MS Mincho"/>
          <w:noProof/>
          <w:lang w:eastAsia="en-GB"/>
        </w:rPr>
      </w:pPr>
      <w:r w:rsidRPr="1FC5E705">
        <w:rPr>
          <w:rFonts w:eastAsia="MS Mincho"/>
          <w:noProof/>
        </w:rPr>
        <w:t xml:space="preserve">PO3 focusing primarily on novel forms of support that would work well with mature regulatory framework and strong carbon price signal and </w:t>
      </w:r>
    </w:p>
    <w:p w14:paraId="7E022EE2" w14:textId="77777777" w:rsidR="00A71942" w:rsidRDefault="00A71942" w:rsidP="00E276C8">
      <w:pPr>
        <w:pStyle w:val="ListParagraph"/>
        <w:numPr>
          <w:ilvl w:val="3"/>
          <w:numId w:val="21"/>
        </w:numPr>
        <w:spacing w:after="120" w:line="240" w:lineRule="auto"/>
        <w:ind w:left="851"/>
        <w:rPr>
          <w:rFonts w:eastAsia="MS Mincho"/>
          <w:noProof/>
          <w:lang w:eastAsia="en-GB"/>
        </w:rPr>
      </w:pPr>
      <w:r w:rsidRPr="1FC5E705">
        <w:rPr>
          <w:rFonts w:eastAsia="MS Mincho"/>
          <w:noProof/>
        </w:rPr>
        <w:t>PO2 being a combination of the current and new ways of support.</w:t>
      </w:r>
    </w:p>
    <w:p w14:paraId="4FE56470" w14:textId="77777777" w:rsidR="00A71942" w:rsidRPr="002B0D84" w:rsidRDefault="00A71942" w:rsidP="00E276C8">
      <w:pPr>
        <w:pStyle w:val="Tabletitle"/>
        <w:spacing w:after="120" w:line="240" w:lineRule="auto"/>
        <w:ind w:left="720"/>
        <w:rPr>
          <w:noProof/>
          <w:lang w:eastAsia="en-GB"/>
        </w:rPr>
      </w:pPr>
      <w:bookmarkStart w:id="592" w:name="_Toc232608946"/>
      <w:bookmarkStart w:id="593" w:name="_Toc232609682"/>
      <w:bookmarkStart w:id="594" w:name="_Toc232611557"/>
      <w:bookmarkStart w:id="595" w:name="_Toc232672616"/>
      <w:bookmarkStart w:id="596" w:name="_Toc232758468"/>
      <w:r>
        <w:rPr>
          <w:noProof/>
        </w:rPr>
        <w:t>Policy measures for IDB in the policy options</w:t>
      </w:r>
      <w:bookmarkEnd w:id="592"/>
      <w:bookmarkEnd w:id="593"/>
      <w:bookmarkEnd w:id="594"/>
      <w:bookmarkEnd w:id="595"/>
      <w:bookmarkEnd w:id="596"/>
    </w:p>
    <w:tbl>
      <w:tblPr>
        <w:tblW w:w="0" w:type="auto"/>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Look w:val="04A0" w:firstRow="1" w:lastRow="0" w:firstColumn="1" w:lastColumn="0" w:noHBand="0" w:noVBand="1"/>
      </w:tblPr>
      <w:tblGrid>
        <w:gridCol w:w="3189"/>
        <w:gridCol w:w="3770"/>
        <w:gridCol w:w="697"/>
        <w:gridCol w:w="697"/>
        <w:gridCol w:w="697"/>
      </w:tblGrid>
      <w:tr w:rsidR="00A71942" w:rsidRPr="002B0D84" w14:paraId="5B8BECE0" w14:textId="77777777" w:rsidTr="1FC5E705">
        <w:trPr>
          <w:trHeight w:val="288"/>
        </w:trPr>
        <w:tc>
          <w:tcPr>
            <w:tcW w:w="0" w:type="auto"/>
            <w:gridSpan w:val="2"/>
          </w:tcPr>
          <w:p w14:paraId="2E4B0690" w14:textId="77777777" w:rsidR="00A71942" w:rsidRPr="00343936" w:rsidRDefault="00A71942" w:rsidP="00E276C8">
            <w:pPr>
              <w:spacing w:line="240" w:lineRule="auto"/>
              <w:jc w:val="center"/>
              <w:rPr>
                <w:rFonts w:eastAsia="Times New Roman"/>
                <w:noProof/>
                <w:sz w:val="22"/>
                <w:szCs w:val="22"/>
                <w:lang w:val="en-IE" w:eastAsia="en-IE"/>
              </w:rPr>
            </w:pPr>
            <w:r w:rsidRPr="1FC5E705">
              <w:rPr>
                <w:rFonts w:eastAsia="Times New Roman"/>
                <w:b/>
                <w:bCs/>
                <w:noProof/>
                <w:sz w:val="22"/>
                <w:szCs w:val="22"/>
              </w:rPr>
              <w:t>Policy measure</w:t>
            </w:r>
          </w:p>
        </w:tc>
        <w:tc>
          <w:tcPr>
            <w:tcW w:w="0" w:type="auto"/>
          </w:tcPr>
          <w:p w14:paraId="0F478F0B" w14:textId="77777777" w:rsidR="00A71942" w:rsidRPr="00343936" w:rsidRDefault="00A71942" w:rsidP="00E276C8">
            <w:pPr>
              <w:spacing w:line="240" w:lineRule="auto"/>
              <w:jc w:val="center"/>
              <w:rPr>
                <w:rFonts w:eastAsia="Times New Roman"/>
                <w:noProof/>
                <w:sz w:val="22"/>
                <w:szCs w:val="22"/>
                <w:lang w:val="en-IE" w:eastAsia="en-IE"/>
              </w:rPr>
            </w:pPr>
            <w:r w:rsidRPr="1FC5E705">
              <w:rPr>
                <w:rFonts w:eastAsia="Times New Roman"/>
                <w:b/>
                <w:bCs/>
                <w:noProof/>
                <w:sz w:val="22"/>
                <w:szCs w:val="22"/>
              </w:rPr>
              <w:t>PO1</w:t>
            </w:r>
          </w:p>
        </w:tc>
        <w:tc>
          <w:tcPr>
            <w:tcW w:w="0" w:type="auto"/>
          </w:tcPr>
          <w:p w14:paraId="47474C79" w14:textId="77777777" w:rsidR="00A71942" w:rsidRPr="00343936" w:rsidRDefault="00A71942" w:rsidP="00E276C8">
            <w:pPr>
              <w:spacing w:line="240" w:lineRule="auto"/>
              <w:jc w:val="center"/>
              <w:rPr>
                <w:rFonts w:eastAsia="Times New Roman"/>
                <w:noProof/>
                <w:sz w:val="22"/>
                <w:szCs w:val="22"/>
                <w:lang w:val="en-IE" w:eastAsia="en-IE"/>
              </w:rPr>
            </w:pPr>
            <w:r w:rsidRPr="1FC5E705">
              <w:rPr>
                <w:rFonts w:eastAsia="Times New Roman"/>
                <w:b/>
                <w:bCs/>
                <w:noProof/>
                <w:sz w:val="22"/>
                <w:szCs w:val="22"/>
              </w:rPr>
              <w:t>PO2</w:t>
            </w:r>
          </w:p>
        </w:tc>
        <w:tc>
          <w:tcPr>
            <w:tcW w:w="0" w:type="auto"/>
          </w:tcPr>
          <w:p w14:paraId="154D8FA2" w14:textId="77777777" w:rsidR="00A71942" w:rsidRPr="00343936" w:rsidRDefault="00A71942" w:rsidP="00E276C8">
            <w:pPr>
              <w:spacing w:line="240" w:lineRule="auto"/>
              <w:jc w:val="center"/>
              <w:rPr>
                <w:rFonts w:eastAsia="Times New Roman"/>
                <w:noProof/>
                <w:sz w:val="22"/>
                <w:szCs w:val="22"/>
                <w:lang w:val="en-IE" w:eastAsia="en-IE"/>
              </w:rPr>
            </w:pPr>
            <w:r w:rsidRPr="1FC5E705">
              <w:rPr>
                <w:rFonts w:eastAsia="Times New Roman"/>
                <w:b/>
                <w:bCs/>
                <w:noProof/>
                <w:sz w:val="22"/>
                <w:szCs w:val="22"/>
              </w:rPr>
              <w:t>PO3</w:t>
            </w:r>
          </w:p>
        </w:tc>
      </w:tr>
      <w:tr w:rsidR="00A71942" w:rsidRPr="002B0D84" w14:paraId="2778F486" w14:textId="77777777" w:rsidTr="1FC5E705">
        <w:trPr>
          <w:trHeight w:val="300"/>
        </w:trPr>
        <w:tc>
          <w:tcPr>
            <w:tcW w:w="0" w:type="auto"/>
            <w:vMerge w:val="restart"/>
            <w:tcBorders>
              <w:right w:val="single" w:sz="4" w:space="0" w:color="auto"/>
            </w:tcBorders>
            <w:vAlign w:val="center"/>
          </w:tcPr>
          <w:p w14:paraId="220B41F7" w14:textId="77777777" w:rsidR="00A71942" w:rsidRPr="00343936" w:rsidRDefault="00A71942" w:rsidP="00E276C8">
            <w:pPr>
              <w:spacing w:line="240" w:lineRule="auto"/>
              <w:jc w:val="left"/>
              <w:rPr>
                <w:rFonts w:eastAsia="Times New Roman"/>
                <w:b/>
                <w:bCs/>
                <w:noProof/>
                <w:sz w:val="22"/>
                <w:szCs w:val="22"/>
                <w:lang w:val="en-IE" w:eastAsia="en-IE"/>
              </w:rPr>
            </w:pPr>
            <w:r w:rsidRPr="1FC5E705">
              <w:rPr>
                <w:rFonts w:eastAsia="Times New Roman"/>
                <w:b/>
                <w:bCs/>
                <w:noProof/>
                <w:sz w:val="22"/>
                <w:szCs w:val="22"/>
              </w:rPr>
              <w:t xml:space="preserve">How the support should be allocated (allocation mechanism) </w:t>
            </w:r>
          </w:p>
        </w:tc>
        <w:tc>
          <w:tcPr>
            <w:tcW w:w="0" w:type="auto"/>
            <w:tcBorders>
              <w:top w:val="single" w:sz="4" w:space="0" w:color="auto"/>
              <w:left w:val="single" w:sz="4" w:space="0" w:color="auto"/>
              <w:bottom w:val="single" w:sz="4" w:space="0" w:color="auto"/>
              <w:right w:val="single" w:sz="4" w:space="0" w:color="auto"/>
            </w:tcBorders>
            <w:vAlign w:val="center"/>
          </w:tcPr>
          <w:p w14:paraId="24EE6C7C" w14:textId="77777777" w:rsidR="00A71942" w:rsidRPr="00343936" w:rsidRDefault="00A71942" w:rsidP="00E276C8">
            <w:pPr>
              <w:spacing w:line="240" w:lineRule="auto"/>
              <w:rPr>
                <w:rFonts w:eastAsia="Times New Roman"/>
                <w:noProof/>
                <w:sz w:val="22"/>
                <w:szCs w:val="22"/>
                <w:lang w:val="en-IE" w:eastAsia="en-IE"/>
              </w:rPr>
            </w:pPr>
            <w:r w:rsidRPr="1FC5E705">
              <w:rPr>
                <w:rFonts w:eastAsia="Times New Roman"/>
                <w:noProof/>
                <w:sz w:val="22"/>
                <w:szCs w:val="22"/>
              </w:rPr>
              <w:t>AM1: Multi-criteria call for proposals</w:t>
            </w:r>
          </w:p>
        </w:tc>
        <w:tc>
          <w:tcPr>
            <w:tcW w:w="0" w:type="auto"/>
            <w:tcBorders>
              <w:top w:val="single" w:sz="4" w:space="0" w:color="auto"/>
              <w:left w:val="single" w:sz="4" w:space="0" w:color="auto"/>
              <w:bottom w:val="single" w:sz="4" w:space="0" w:color="auto"/>
              <w:right w:val="single" w:sz="4" w:space="0" w:color="auto"/>
            </w:tcBorders>
            <w:vAlign w:val="center"/>
          </w:tcPr>
          <w:p w14:paraId="69C49D06"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36C8D010" w14:textId="77777777" w:rsidR="00A71942" w:rsidRPr="00343936" w:rsidRDefault="00A71942" w:rsidP="00E276C8">
            <w:pPr>
              <w:spacing w:line="240" w:lineRule="auto"/>
              <w:jc w:val="center"/>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50E2CA55" w14:textId="77777777" w:rsidR="00A71942" w:rsidRPr="00343936" w:rsidRDefault="00A71942" w:rsidP="00E276C8">
            <w:pPr>
              <w:spacing w:line="240" w:lineRule="auto"/>
              <w:jc w:val="center"/>
              <w:rPr>
                <w:rFonts w:eastAsia="Times New Roman"/>
                <w:noProof/>
                <w:color w:val="242828"/>
                <w:sz w:val="22"/>
                <w:szCs w:val="22"/>
                <w:lang w:val="en-IE" w:eastAsia="en-IE"/>
              </w:rPr>
            </w:pPr>
          </w:p>
        </w:tc>
      </w:tr>
      <w:tr w:rsidR="00A71942" w:rsidRPr="002B0D84" w14:paraId="3BC6C991" w14:textId="77777777" w:rsidTr="1FC5E705">
        <w:trPr>
          <w:trHeight w:val="300"/>
        </w:trPr>
        <w:tc>
          <w:tcPr>
            <w:tcW w:w="0" w:type="auto"/>
            <w:vMerge/>
          </w:tcPr>
          <w:p w14:paraId="664983C1"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2D508378" w14:textId="77777777" w:rsidR="00A71942" w:rsidRPr="00343936" w:rsidRDefault="00A71942" w:rsidP="00E276C8">
            <w:pPr>
              <w:spacing w:line="240" w:lineRule="auto"/>
              <w:rPr>
                <w:rFonts w:eastAsia="Times New Roman"/>
                <w:noProof/>
                <w:sz w:val="22"/>
                <w:szCs w:val="22"/>
                <w:lang w:val="en-IE" w:eastAsia="en-IE"/>
              </w:rPr>
            </w:pPr>
            <w:r w:rsidRPr="1FC5E705">
              <w:rPr>
                <w:rFonts w:eastAsia="Times New Roman"/>
                <w:noProof/>
                <w:sz w:val="22"/>
                <w:szCs w:val="22"/>
              </w:rPr>
              <w:t>AM2: Auctions</w:t>
            </w:r>
          </w:p>
        </w:tc>
        <w:tc>
          <w:tcPr>
            <w:tcW w:w="0" w:type="auto"/>
            <w:tcBorders>
              <w:top w:val="single" w:sz="4" w:space="0" w:color="auto"/>
              <w:left w:val="single" w:sz="4" w:space="0" w:color="auto"/>
              <w:bottom w:val="single" w:sz="4" w:space="0" w:color="auto"/>
              <w:right w:val="single" w:sz="4" w:space="0" w:color="auto"/>
            </w:tcBorders>
            <w:vAlign w:val="center"/>
          </w:tcPr>
          <w:p w14:paraId="04D04BD8" w14:textId="77777777" w:rsidR="00A71942" w:rsidRPr="00343936" w:rsidRDefault="00A71942" w:rsidP="00E276C8">
            <w:pPr>
              <w:spacing w:line="240" w:lineRule="auto"/>
              <w:jc w:val="center"/>
              <w:rPr>
                <w:rFonts w:eastAsia="Times New Roman"/>
                <w:noProof/>
                <w:color w:val="242828"/>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45FA4841" w14:textId="77777777" w:rsidR="00A71942" w:rsidRPr="00343936" w:rsidRDefault="00A71942" w:rsidP="00E276C8">
            <w:pPr>
              <w:spacing w:line="240" w:lineRule="auto"/>
              <w:jc w:val="center"/>
              <w:rPr>
                <w:noProof/>
                <w:sz w:val="22"/>
                <w:szCs w:val="22"/>
              </w:rPr>
            </w:pPr>
            <w:r w:rsidRPr="1FC5E705">
              <w:rPr>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2DB2B497"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r>
      <w:tr w:rsidR="00A71942" w:rsidRPr="002B0D84" w14:paraId="0CCDBC13" w14:textId="77777777" w:rsidTr="1FC5E705">
        <w:trPr>
          <w:trHeight w:val="300"/>
        </w:trPr>
        <w:tc>
          <w:tcPr>
            <w:tcW w:w="0" w:type="auto"/>
            <w:vMerge/>
          </w:tcPr>
          <w:p w14:paraId="542F88CE"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3EA02B77" w14:textId="77777777" w:rsidR="00A71942" w:rsidRPr="00343936" w:rsidRDefault="00A71942" w:rsidP="00E276C8">
            <w:pPr>
              <w:pStyle w:val="Heading5"/>
              <w:numPr>
                <w:ilvl w:val="0"/>
                <w:numId w:val="0"/>
              </w:numPr>
              <w:spacing w:before="120" w:line="240" w:lineRule="auto"/>
              <w:rPr>
                <w:rFonts w:ascii="Times New Roman" w:eastAsia="Times New Roman" w:hAnsi="Times New Roman"/>
                <w:noProof/>
                <w:sz w:val="22"/>
                <w:szCs w:val="22"/>
                <w:lang w:val="en-IE" w:eastAsia="en-IE"/>
              </w:rPr>
            </w:pPr>
            <w:r w:rsidRPr="1FC5E705">
              <w:rPr>
                <w:rFonts w:ascii="Times New Roman" w:eastAsia="Times New Roman" w:hAnsi="Times New Roman"/>
                <w:noProof/>
                <w:sz w:val="22"/>
                <w:szCs w:val="22"/>
              </w:rPr>
              <w:t>AM3: First-in, first served administrative schemes</w:t>
            </w:r>
          </w:p>
        </w:tc>
        <w:tc>
          <w:tcPr>
            <w:tcW w:w="0" w:type="auto"/>
            <w:tcBorders>
              <w:top w:val="single" w:sz="4" w:space="0" w:color="auto"/>
              <w:left w:val="single" w:sz="4" w:space="0" w:color="auto"/>
              <w:bottom w:val="single" w:sz="4" w:space="0" w:color="auto"/>
              <w:right w:val="single" w:sz="4" w:space="0" w:color="auto"/>
            </w:tcBorders>
            <w:vAlign w:val="center"/>
          </w:tcPr>
          <w:p w14:paraId="21B04BE6" w14:textId="77777777" w:rsidR="00A71942" w:rsidRPr="00343936" w:rsidRDefault="00A71942" w:rsidP="00E276C8">
            <w:pPr>
              <w:spacing w:line="240" w:lineRule="auto"/>
              <w:jc w:val="center"/>
              <w:rPr>
                <w:rFonts w:eastAsia="Times New Roman"/>
                <w:noProof/>
                <w:color w:val="242828"/>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035C7DF7"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0E59242E" w14:textId="77777777" w:rsidR="00A71942" w:rsidRPr="00343936" w:rsidRDefault="00A71942" w:rsidP="00E276C8">
            <w:pPr>
              <w:spacing w:line="240" w:lineRule="auto"/>
              <w:jc w:val="center"/>
              <w:rPr>
                <w:noProof/>
                <w:sz w:val="22"/>
                <w:szCs w:val="22"/>
              </w:rPr>
            </w:pPr>
          </w:p>
        </w:tc>
      </w:tr>
      <w:tr w:rsidR="00A71942" w:rsidRPr="002B0D84" w14:paraId="29EEF9D4" w14:textId="77777777" w:rsidTr="1FC5E705">
        <w:tblPrEx>
          <w:tblBorders>
            <w:top w:val="outset" w:sz="6" w:space="0" w:color="auto"/>
            <w:left w:val="outset" w:sz="6" w:space="0" w:color="auto"/>
            <w:bottom w:val="outset" w:sz="6" w:space="0" w:color="auto"/>
            <w:right w:val="outset" w:sz="6" w:space="0" w:color="auto"/>
          </w:tblBorders>
        </w:tblPrEx>
        <w:trPr>
          <w:trHeight w:val="615"/>
        </w:trPr>
        <w:tc>
          <w:tcPr>
            <w:tcW w:w="0" w:type="auto"/>
            <w:vMerge w:val="restart"/>
            <w:tcBorders>
              <w:top w:val="outset" w:sz="6" w:space="0" w:color="auto"/>
              <w:left w:val="outset" w:sz="6" w:space="0" w:color="auto"/>
              <w:bottom w:val="outset" w:sz="6" w:space="0" w:color="auto"/>
              <w:right w:val="single" w:sz="4" w:space="0" w:color="auto"/>
            </w:tcBorders>
            <w:vAlign w:val="center"/>
          </w:tcPr>
          <w:p w14:paraId="4BB4E3B1" w14:textId="77777777" w:rsidR="00A71942" w:rsidRPr="00343936" w:rsidRDefault="00A71942" w:rsidP="00E276C8">
            <w:pPr>
              <w:spacing w:line="240" w:lineRule="auto"/>
              <w:jc w:val="left"/>
              <w:rPr>
                <w:rFonts w:eastAsia="Times New Roman"/>
                <w:b/>
                <w:bCs/>
                <w:noProof/>
                <w:sz w:val="22"/>
                <w:szCs w:val="22"/>
                <w:lang w:eastAsia="en-IE"/>
              </w:rPr>
            </w:pPr>
            <w:r w:rsidRPr="1FC5E705">
              <w:rPr>
                <w:rFonts w:eastAsia="Times New Roman"/>
                <w:b/>
                <w:bCs/>
                <w:noProof/>
                <w:sz w:val="22"/>
                <w:szCs w:val="22"/>
              </w:rPr>
              <w:t>What form the support should take</w:t>
            </w:r>
          </w:p>
        </w:tc>
        <w:tc>
          <w:tcPr>
            <w:tcW w:w="0" w:type="auto"/>
            <w:tcBorders>
              <w:top w:val="single" w:sz="4" w:space="0" w:color="auto"/>
              <w:left w:val="single" w:sz="4" w:space="0" w:color="auto"/>
              <w:bottom w:val="single" w:sz="4" w:space="0" w:color="auto"/>
              <w:right w:val="single" w:sz="4" w:space="0" w:color="auto"/>
            </w:tcBorders>
            <w:vAlign w:val="center"/>
          </w:tcPr>
          <w:p w14:paraId="758FDF61" w14:textId="77777777" w:rsidR="00A71942" w:rsidRPr="00343936" w:rsidRDefault="00A71942" w:rsidP="00E276C8">
            <w:pPr>
              <w:spacing w:line="240" w:lineRule="auto"/>
              <w:rPr>
                <w:rFonts w:eastAsia="MS Mincho"/>
                <w:noProof/>
                <w:sz w:val="22"/>
                <w:szCs w:val="22"/>
                <w:lang w:eastAsia="en-GB"/>
              </w:rPr>
            </w:pPr>
            <w:r w:rsidRPr="1FC5E705">
              <w:rPr>
                <w:rFonts w:eastAsia="MS Mincho"/>
                <w:noProof/>
                <w:sz w:val="22"/>
                <w:szCs w:val="22"/>
              </w:rPr>
              <w:t>FS1: Regular’ grants covering the funding gap</w:t>
            </w:r>
          </w:p>
        </w:tc>
        <w:tc>
          <w:tcPr>
            <w:tcW w:w="0" w:type="auto"/>
            <w:tcBorders>
              <w:top w:val="single" w:sz="4" w:space="0" w:color="auto"/>
              <w:left w:val="single" w:sz="4" w:space="0" w:color="auto"/>
              <w:bottom w:val="single" w:sz="4" w:space="0" w:color="auto"/>
              <w:right w:val="single" w:sz="4" w:space="0" w:color="auto"/>
            </w:tcBorders>
            <w:vAlign w:val="center"/>
          </w:tcPr>
          <w:p w14:paraId="2B798387"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6FB78C1C" w14:textId="77777777" w:rsidR="00A71942" w:rsidRPr="00343936" w:rsidRDefault="00A71942" w:rsidP="00E276C8">
            <w:pPr>
              <w:spacing w:line="240" w:lineRule="auto"/>
              <w:jc w:val="center"/>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6F87059B" w14:textId="77777777" w:rsidR="00A71942" w:rsidRPr="00343936" w:rsidRDefault="00A71942" w:rsidP="00E276C8">
            <w:pPr>
              <w:spacing w:line="240" w:lineRule="auto"/>
              <w:jc w:val="center"/>
              <w:rPr>
                <w:rFonts w:eastAsia="Times New Roman"/>
                <w:noProof/>
                <w:color w:val="242828"/>
                <w:sz w:val="22"/>
                <w:szCs w:val="22"/>
                <w:lang w:val="en-IE" w:eastAsia="en-IE"/>
              </w:rPr>
            </w:pPr>
          </w:p>
        </w:tc>
      </w:tr>
      <w:tr w:rsidR="00A71942" w:rsidRPr="002B0D84" w14:paraId="2DD9B692" w14:textId="77777777" w:rsidTr="1FC5E705">
        <w:trPr>
          <w:trHeight w:val="300"/>
        </w:trPr>
        <w:tc>
          <w:tcPr>
            <w:tcW w:w="0" w:type="auto"/>
            <w:vMerge/>
          </w:tcPr>
          <w:p w14:paraId="4FF310DB"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3ADA8F67" w14:textId="77777777" w:rsidR="00A71942" w:rsidRPr="00343936" w:rsidRDefault="00A71942" w:rsidP="00E276C8">
            <w:pPr>
              <w:spacing w:line="240" w:lineRule="auto"/>
              <w:rPr>
                <w:rFonts w:eastAsia="MS Mincho"/>
                <w:noProof/>
                <w:sz w:val="22"/>
                <w:szCs w:val="22"/>
                <w:lang w:eastAsia="en-GB"/>
              </w:rPr>
            </w:pPr>
            <w:r w:rsidRPr="1FC5E705">
              <w:rPr>
                <w:rFonts w:eastAsia="MS Mincho"/>
                <w:noProof/>
                <w:sz w:val="22"/>
                <w:szCs w:val="22"/>
              </w:rPr>
              <w:t>FS2: Carbon Fixed Premium (CFP)</w:t>
            </w:r>
          </w:p>
        </w:tc>
        <w:tc>
          <w:tcPr>
            <w:tcW w:w="0" w:type="auto"/>
            <w:tcBorders>
              <w:top w:val="single" w:sz="4" w:space="0" w:color="auto"/>
              <w:left w:val="single" w:sz="4" w:space="0" w:color="auto"/>
              <w:bottom w:val="single" w:sz="4" w:space="0" w:color="auto"/>
              <w:right w:val="single" w:sz="4" w:space="0" w:color="auto"/>
            </w:tcBorders>
            <w:vAlign w:val="center"/>
          </w:tcPr>
          <w:p w14:paraId="6DBC4732" w14:textId="77777777" w:rsidR="00A71942" w:rsidRPr="00343936" w:rsidRDefault="00A71942" w:rsidP="00E276C8">
            <w:pPr>
              <w:spacing w:line="240" w:lineRule="auto"/>
              <w:jc w:val="center"/>
              <w:rPr>
                <w:rFonts w:eastAsia="Times New Roman"/>
                <w:noProof/>
                <w:color w:val="242828"/>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6B042EC4"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1A82FABC" w14:textId="77777777" w:rsidR="00A71942" w:rsidRPr="00343936" w:rsidRDefault="00A71942" w:rsidP="00E276C8">
            <w:pPr>
              <w:spacing w:line="240" w:lineRule="auto"/>
              <w:jc w:val="center"/>
              <w:rPr>
                <w:rFonts w:eastAsia="Times New Roman"/>
                <w:noProof/>
                <w:color w:val="242828"/>
                <w:sz w:val="22"/>
                <w:szCs w:val="22"/>
                <w:lang w:val="en-IE" w:eastAsia="en-IE"/>
              </w:rPr>
            </w:pPr>
          </w:p>
        </w:tc>
      </w:tr>
      <w:tr w:rsidR="00A71942" w:rsidRPr="002B0D84" w14:paraId="6F972E69" w14:textId="77777777" w:rsidTr="1FC5E705">
        <w:trPr>
          <w:trHeight w:val="300"/>
        </w:trPr>
        <w:tc>
          <w:tcPr>
            <w:tcW w:w="0" w:type="auto"/>
            <w:vMerge/>
          </w:tcPr>
          <w:p w14:paraId="143DC254"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2054C857" w14:textId="77777777" w:rsidR="00A71942" w:rsidRPr="00343936" w:rsidRDefault="00A71942" w:rsidP="00E276C8">
            <w:pPr>
              <w:pStyle w:val="Heading5"/>
              <w:numPr>
                <w:ilvl w:val="0"/>
                <w:numId w:val="0"/>
              </w:numPr>
              <w:spacing w:before="120" w:line="240" w:lineRule="auto"/>
              <w:rPr>
                <w:rFonts w:ascii="Times New Roman" w:eastAsia="MS Mincho" w:hAnsi="Times New Roman"/>
                <w:noProof/>
                <w:color w:val="242828" w:themeColor="text1"/>
                <w:sz w:val="22"/>
                <w:szCs w:val="22"/>
                <w:lang w:eastAsia="en-GB"/>
              </w:rPr>
            </w:pPr>
            <w:r w:rsidRPr="1FC5E705">
              <w:rPr>
                <w:rFonts w:ascii="Times New Roman" w:eastAsia="MS Mincho" w:hAnsi="Times New Roman"/>
                <w:noProof/>
                <w:color w:val="242828" w:themeColor="text1"/>
                <w:sz w:val="22"/>
                <w:szCs w:val="22"/>
              </w:rPr>
              <w:t>FS3: Carbon Contracts for Difference (CCfD)</w:t>
            </w:r>
          </w:p>
        </w:tc>
        <w:tc>
          <w:tcPr>
            <w:tcW w:w="0" w:type="auto"/>
            <w:tcBorders>
              <w:top w:val="single" w:sz="4" w:space="0" w:color="auto"/>
              <w:left w:val="single" w:sz="4" w:space="0" w:color="auto"/>
              <w:bottom w:val="single" w:sz="4" w:space="0" w:color="auto"/>
              <w:right w:val="single" w:sz="4" w:space="0" w:color="auto"/>
            </w:tcBorders>
            <w:vAlign w:val="center"/>
          </w:tcPr>
          <w:p w14:paraId="6F967171" w14:textId="77777777" w:rsidR="00A71942" w:rsidRPr="00343936" w:rsidRDefault="00A71942" w:rsidP="00E276C8">
            <w:pPr>
              <w:spacing w:line="240" w:lineRule="auto"/>
              <w:jc w:val="center"/>
              <w:rPr>
                <w:rFonts w:eastAsia="MS Mincho"/>
                <w:noProof/>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98AF2F5" w14:textId="77777777" w:rsidR="00A71942" w:rsidRPr="00343936" w:rsidRDefault="00A71942" w:rsidP="00E276C8">
            <w:pPr>
              <w:spacing w:line="240" w:lineRule="auto"/>
              <w:jc w:val="center"/>
              <w:rPr>
                <w:rFonts w:eastAsia="Times New Roman"/>
                <w:noProof/>
                <w:color w:val="242828"/>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6297AB65"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r>
      <w:tr w:rsidR="00A71942" w:rsidRPr="002B0D84" w14:paraId="3B4A0E30" w14:textId="77777777" w:rsidTr="1FC5E705">
        <w:tblPrEx>
          <w:tblBorders>
            <w:top w:val="outset" w:sz="6" w:space="0" w:color="auto"/>
            <w:left w:val="outset" w:sz="6" w:space="0" w:color="auto"/>
            <w:bottom w:val="outset" w:sz="6" w:space="0" w:color="auto"/>
            <w:right w:val="outset" w:sz="6" w:space="0" w:color="auto"/>
          </w:tblBorders>
        </w:tblPrEx>
        <w:trPr>
          <w:trHeight w:val="480"/>
        </w:trPr>
        <w:tc>
          <w:tcPr>
            <w:tcW w:w="0" w:type="auto"/>
            <w:vMerge w:val="restart"/>
            <w:tcBorders>
              <w:top w:val="outset" w:sz="6" w:space="0" w:color="auto"/>
              <w:left w:val="outset" w:sz="6" w:space="0" w:color="auto"/>
              <w:bottom w:val="outset" w:sz="6" w:space="0" w:color="auto"/>
              <w:right w:val="single" w:sz="4" w:space="0" w:color="auto"/>
            </w:tcBorders>
            <w:vAlign w:val="center"/>
          </w:tcPr>
          <w:p w14:paraId="15DC617E" w14:textId="77777777" w:rsidR="00A71942" w:rsidRPr="00343936" w:rsidRDefault="00A71942" w:rsidP="00E276C8">
            <w:pPr>
              <w:spacing w:line="240" w:lineRule="auto"/>
              <w:jc w:val="left"/>
              <w:rPr>
                <w:rFonts w:eastAsia="Times New Roman"/>
                <w:b/>
                <w:bCs/>
                <w:noProof/>
                <w:sz w:val="22"/>
                <w:szCs w:val="22"/>
                <w:lang w:val="en-IE" w:eastAsia="en-IE"/>
              </w:rPr>
            </w:pPr>
            <w:r w:rsidRPr="1FC5E705">
              <w:rPr>
                <w:rFonts w:eastAsia="Times New Roman"/>
                <w:b/>
                <w:bCs/>
                <w:noProof/>
                <w:sz w:val="22"/>
                <w:szCs w:val="22"/>
              </w:rPr>
              <w:t xml:space="preserve">Ensuring geographical balance in IDB </w:t>
            </w:r>
          </w:p>
        </w:tc>
        <w:tc>
          <w:tcPr>
            <w:tcW w:w="0" w:type="auto"/>
            <w:tcBorders>
              <w:top w:val="single" w:sz="4" w:space="0" w:color="auto"/>
              <w:left w:val="single" w:sz="4" w:space="0" w:color="auto"/>
              <w:bottom w:val="single" w:sz="4" w:space="0" w:color="auto"/>
              <w:right w:val="single" w:sz="4" w:space="0" w:color="auto"/>
            </w:tcBorders>
            <w:vAlign w:val="center"/>
          </w:tcPr>
          <w:p w14:paraId="4294CF41" w14:textId="77777777" w:rsidR="00A71942" w:rsidRPr="00343936" w:rsidRDefault="00A71942" w:rsidP="00E276C8">
            <w:pPr>
              <w:spacing w:line="240" w:lineRule="auto"/>
              <w:rPr>
                <w:rFonts w:eastAsia="MS Mincho"/>
                <w:noProof/>
                <w:sz w:val="22"/>
                <w:szCs w:val="22"/>
                <w:lang w:eastAsia="en-GB"/>
              </w:rPr>
            </w:pPr>
            <w:r w:rsidRPr="1FC5E705">
              <w:rPr>
                <w:rFonts w:eastAsia="Times New Roman"/>
                <w:noProof/>
                <w:sz w:val="22"/>
                <w:szCs w:val="22"/>
              </w:rPr>
              <w:t xml:space="preserve">GB1: </w:t>
            </w:r>
            <w:r w:rsidRPr="1FC5E705">
              <w:rPr>
                <w:rFonts w:eastAsia="MS Mincho"/>
                <w:noProof/>
                <w:sz w:val="22"/>
                <w:szCs w:val="22"/>
              </w:rPr>
              <w:t>EU-level competition, no geographical balance measures</w:t>
            </w:r>
          </w:p>
        </w:tc>
        <w:tc>
          <w:tcPr>
            <w:tcW w:w="0" w:type="auto"/>
            <w:tcBorders>
              <w:top w:val="single" w:sz="4" w:space="0" w:color="auto"/>
              <w:left w:val="single" w:sz="4" w:space="0" w:color="auto"/>
              <w:bottom w:val="single" w:sz="4" w:space="0" w:color="auto"/>
              <w:right w:val="single" w:sz="4" w:space="0" w:color="auto"/>
            </w:tcBorders>
            <w:vAlign w:val="center"/>
          </w:tcPr>
          <w:p w14:paraId="61DFB818" w14:textId="77777777" w:rsidR="00A71942" w:rsidRPr="00343936" w:rsidRDefault="00A71942" w:rsidP="00E276C8">
            <w:pPr>
              <w:spacing w:line="240" w:lineRule="auto"/>
              <w:jc w:val="center"/>
              <w:rPr>
                <w:rFonts w:eastAsia="MS Mincho"/>
                <w:noProof/>
                <w:sz w:val="22"/>
                <w:szCs w:val="22"/>
                <w:lang w:eastAsia="en-GB"/>
              </w:rPr>
            </w:pPr>
            <w:r w:rsidRPr="1FC5E705">
              <w:rPr>
                <w:rFonts w:eastAsia="MS Mincho"/>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5EA6557F" w14:textId="77777777" w:rsidR="00A71942" w:rsidRPr="00343936" w:rsidRDefault="00A71942" w:rsidP="00E276C8">
            <w:pPr>
              <w:spacing w:line="240" w:lineRule="auto"/>
              <w:jc w:val="center"/>
              <w:rPr>
                <w:rFonts w:eastAsia="Times New Roman"/>
                <w:noProof/>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2E2ACEBE" w14:textId="77777777" w:rsidR="00A71942" w:rsidRPr="00343936" w:rsidRDefault="00A71942" w:rsidP="00E276C8">
            <w:pPr>
              <w:spacing w:line="240" w:lineRule="auto"/>
              <w:jc w:val="center"/>
              <w:rPr>
                <w:rFonts w:eastAsia="Times New Roman"/>
                <w:noProof/>
                <w:sz w:val="22"/>
                <w:szCs w:val="22"/>
                <w:lang w:val="en-IE" w:eastAsia="en-IE"/>
              </w:rPr>
            </w:pPr>
          </w:p>
        </w:tc>
      </w:tr>
      <w:tr w:rsidR="00A71942" w:rsidRPr="002B0D84" w14:paraId="653A5ED7" w14:textId="77777777" w:rsidTr="1FC5E705">
        <w:trPr>
          <w:trHeight w:val="300"/>
        </w:trPr>
        <w:tc>
          <w:tcPr>
            <w:tcW w:w="0" w:type="auto"/>
            <w:vMerge/>
          </w:tcPr>
          <w:p w14:paraId="230F2600"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17318A52" w14:textId="77777777" w:rsidR="00A71942" w:rsidRPr="00343936" w:rsidRDefault="00A71942" w:rsidP="00E276C8">
            <w:pPr>
              <w:spacing w:line="240" w:lineRule="auto"/>
              <w:rPr>
                <w:rFonts w:eastAsia="MS Mincho"/>
                <w:noProof/>
                <w:sz w:val="22"/>
                <w:szCs w:val="22"/>
                <w:lang w:eastAsia="en-GB"/>
              </w:rPr>
            </w:pPr>
            <w:r w:rsidRPr="1FC5E705">
              <w:rPr>
                <w:rFonts w:eastAsia="Times New Roman"/>
                <w:noProof/>
                <w:sz w:val="22"/>
                <w:szCs w:val="22"/>
              </w:rPr>
              <w:t xml:space="preserve">GB2: </w:t>
            </w:r>
            <w:r w:rsidRPr="1FC5E705">
              <w:rPr>
                <w:rFonts w:eastAsia="MS Mincho"/>
                <w:noProof/>
                <w:sz w:val="22"/>
                <w:szCs w:val="22"/>
              </w:rPr>
              <w:t>National allocations earmarked for MS</w:t>
            </w:r>
          </w:p>
        </w:tc>
        <w:tc>
          <w:tcPr>
            <w:tcW w:w="0" w:type="auto"/>
            <w:tcBorders>
              <w:top w:val="single" w:sz="4" w:space="0" w:color="auto"/>
              <w:left w:val="single" w:sz="4" w:space="0" w:color="auto"/>
              <w:bottom w:val="single" w:sz="4" w:space="0" w:color="auto"/>
              <w:right w:val="single" w:sz="4" w:space="0" w:color="auto"/>
            </w:tcBorders>
            <w:vAlign w:val="center"/>
          </w:tcPr>
          <w:p w14:paraId="629427BB" w14:textId="77777777" w:rsidR="00A71942" w:rsidRPr="00343936" w:rsidRDefault="00A71942" w:rsidP="00E276C8">
            <w:pPr>
              <w:pStyle w:val="Heading5"/>
              <w:spacing w:before="120" w:line="240" w:lineRule="auto"/>
              <w:jc w:val="center"/>
              <w:rPr>
                <w:rFonts w:ascii="Times New Roman" w:eastAsia="MS Mincho" w:hAnsi="Times New Roman"/>
                <w:noProof/>
                <w:color w:val="242828" w:themeColor="text1"/>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68C516C2" w14:textId="77777777" w:rsidR="00A71942" w:rsidRPr="00343936" w:rsidRDefault="00A71942" w:rsidP="00E276C8">
            <w:pPr>
              <w:spacing w:line="240" w:lineRule="auto"/>
              <w:jc w:val="center"/>
              <w:rPr>
                <w:rFonts w:eastAsia="Times New Roman"/>
                <w:noProof/>
                <w:color w:val="242828"/>
                <w:sz w:val="22"/>
                <w:szCs w:val="22"/>
                <w:lang w:val="en-IE" w:eastAsia="en-IE"/>
              </w:rPr>
            </w:pPr>
          </w:p>
        </w:tc>
        <w:tc>
          <w:tcPr>
            <w:tcW w:w="0" w:type="auto"/>
            <w:tcBorders>
              <w:top w:val="single" w:sz="4" w:space="0" w:color="auto"/>
              <w:left w:val="single" w:sz="4" w:space="0" w:color="auto"/>
              <w:bottom w:val="single" w:sz="4" w:space="0" w:color="auto"/>
              <w:right w:val="single" w:sz="4" w:space="0" w:color="auto"/>
            </w:tcBorders>
            <w:vAlign w:val="center"/>
          </w:tcPr>
          <w:p w14:paraId="6C070AE8" w14:textId="77777777" w:rsidR="00A71942" w:rsidRPr="00343936" w:rsidRDefault="00A71942" w:rsidP="00E276C8">
            <w:pPr>
              <w:spacing w:line="240" w:lineRule="auto"/>
              <w:jc w:val="center"/>
              <w:rPr>
                <w:rFonts w:eastAsia="Times New Roman"/>
                <w:noProof/>
                <w:color w:val="242828"/>
                <w:sz w:val="22"/>
                <w:szCs w:val="22"/>
                <w:lang w:val="en-IE" w:eastAsia="en-IE"/>
              </w:rPr>
            </w:pPr>
            <w:r w:rsidRPr="1FC5E705">
              <w:rPr>
                <w:rFonts w:eastAsia="Times New Roman"/>
                <w:noProof/>
                <w:sz w:val="22"/>
                <w:szCs w:val="22"/>
              </w:rPr>
              <w:t>X</w:t>
            </w:r>
          </w:p>
        </w:tc>
      </w:tr>
      <w:tr w:rsidR="00A71942" w:rsidRPr="002B0D84" w14:paraId="4E597D82" w14:textId="77777777" w:rsidTr="1FC5E705">
        <w:trPr>
          <w:trHeight w:val="300"/>
        </w:trPr>
        <w:tc>
          <w:tcPr>
            <w:tcW w:w="0" w:type="auto"/>
            <w:vMerge/>
          </w:tcPr>
          <w:p w14:paraId="0B5541FD" w14:textId="77777777" w:rsidR="00A71942" w:rsidRPr="00343936" w:rsidRDefault="00A71942" w:rsidP="00E276C8">
            <w:pPr>
              <w:spacing w:line="240" w:lineRule="auto"/>
              <w:rPr>
                <w:noProof/>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60D13F41" w14:textId="77777777" w:rsidR="00A71942" w:rsidRPr="00343936" w:rsidRDefault="00A71942" w:rsidP="00E276C8">
            <w:pPr>
              <w:spacing w:line="240" w:lineRule="auto"/>
              <w:rPr>
                <w:rFonts w:eastAsia="MS Mincho"/>
                <w:noProof/>
                <w:sz w:val="22"/>
                <w:szCs w:val="22"/>
                <w:lang w:eastAsia="en-GB"/>
              </w:rPr>
            </w:pPr>
            <w:r w:rsidRPr="1FC5E705">
              <w:rPr>
                <w:rFonts w:eastAsia="Times New Roman"/>
                <w:noProof/>
                <w:sz w:val="22"/>
                <w:szCs w:val="22"/>
              </w:rPr>
              <w:t xml:space="preserve">GB3: </w:t>
            </w:r>
            <w:r w:rsidRPr="1FC5E705">
              <w:rPr>
                <w:rFonts w:eastAsia="MS Mincho"/>
                <w:noProof/>
                <w:sz w:val="22"/>
                <w:szCs w:val="22"/>
              </w:rPr>
              <w:t>Combing EU-level competition with national allocations</w:t>
            </w:r>
          </w:p>
        </w:tc>
        <w:tc>
          <w:tcPr>
            <w:tcW w:w="0" w:type="auto"/>
            <w:tcBorders>
              <w:top w:val="single" w:sz="4" w:space="0" w:color="auto"/>
              <w:left w:val="single" w:sz="4" w:space="0" w:color="auto"/>
              <w:bottom w:val="single" w:sz="4" w:space="0" w:color="auto"/>
              <w:right w:val="single" w:sz="4" w:space="0" w:color="auto"/>
            </w:tcBorders>
            <w:vAlign w:val="center"/>
          </w:tcPr>
          <w:p w14:paraId="5674913B" w14:textId="77777777" w:rsidR="00A71942" w:rsidRPr="00343936" w:rsidRDefault="00A71942" w:rsidP="00E276C8">
            <w:pPr>
              <w:pStyle w:val="Heading5"/>
              <w:spacing w:before="120" w:line="240" w:lineRule="auto"/>
              <w:jc w:val="center"/>
              <w:rPr>
                <w:rFonts w:ascii="Times New Roman" w:eastAsia="MS Mincho" w:hAnsi="Times New Roman"/>
                <w:noProof/>
                <w:color w:val="242828" w:themeColor="text1"/>
                <w:sz w:val="22"/>
                <w:szCs w:val="22"/>
                <w:lang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0F45E7F" w14:textId="77777777" w:rsidR="00A71942" w:rsidRPr="00343936" w:rsidRDefault="00A71942" w:rsidP="00E276C8">
            <w:pPr>
              <w:spacing w:line="240" w:lineRule="auto"/>
              <w:jc w:val="center"/>
              <w:rPr>
                <w:rFonts w:eastAsia="Times New Roman"/>
                <w:noProof/>
                <w:sz w:val="22"/>
                <w:szCs w:val="22"/>
                <w:lang w:val="en-IE" w:eastAsia="en-IE"/>
              </w:rPr>
            </w:pPr>
            <w:r w:rsidRPr="1FC5E705">
              <w:rPr>
                <w:rFonts w:eastAsia="Times New Roman"/>
                <w:noProof/>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14:paraId="49DA14B7" w14:textId="77777777" w:rsidR="00A71942" w:rsidRPr="00343936" w:rsidRDefault="00A71942" w:rsidP="00E276C8">
            <w:pPr>
              <w:spacing w:line="240" w:lineRule="auto"/>
              <w:jc w:val="center"/>
              <w:rPr>
                <w:rFonts w:eastAsia="Times New Roman"/>
                <w:noProof/>
                <w:sz w:val="22"/>
                <w:szCs w:val="22"/>
                <w:lang w:val="en-IE" w:eastAsia="en-IE"/>
              </w:rPr>
            </w:pPr>
          </w:p>
        </w:tc>
      </w:tr>
      <w:tr w:rsidR="00A71942" w:rsidRPr="002B0D84" w14:paraId="214289EB" w14:textId="77777777" w:rsidTr="1FC5E705">
        <w:trPr>
          <w:trHeight w:val="1888"/>
        </w:trPr>
        <w:tc>
          <w:tcPr>
            <w:tcW w:w="0" w:type="auto"/>
            <w:vAlign w:val="center"/>
          </w:tcPr>
          <w:p w14:paraId="5A30B393" w14:textId="77777777" w:rsidR="00A71942" w:rsidRPr="00343936" w:rsidRDefault="00A71942" w:rsidP="00E276C8">
            <w:pPr>
              <w:spacing w:line="240" w:lineRule="auto"/>
              <w:jc w:val="left"/>
              <w:rPr>
                <w:rFonts w:eastAsia="Times New Roman"/>
                <w:b/>
                <w:bCs/>
                <w:noProof/>
                <w:sz w:val="22"/>
                <w:szCs w:val="22"/>
                <w:lang w:val="en-IE" w:eastAsia="en-IE"/>
              </w:rPr>
            </w:pPr>
            <w:r w:rsidRPr="1FC5E705">
              <w:rPr>
                <w:rFonts w:eastAsia="Times New Roman"/>
                <w:b/>
                <w:bCs/>
                <w:noProof/>
                <w:sz w:val="22"/>
                <w:szCs w:val="22"/>
              </w:rPr>
              <w:t>Stable design elements across measures</w:t>
            </w:r>
          </w:p>
        </w:tc>
        <w:tc>
          <w:tcPr>
            <w:tcW w:w="0" w:type="auto"/>
            <w:gridSpan w:val="4"/>
            <w:tcBorders>
              <w:top w:val="single" w:sz="4" w:space="0" w:color="auto"/>
            </w:tcBorders>
            <w:vAlign w:val="center"/>
          </w:tcPr>
          <w:p w14:paraId="1965F5F5" w14:textId="77777777" w:rsidR="00A71942" w:rsidRPr="00343936" w:rsidRDefault="00A71942" w:rsidP="00E276C8">
            <w:pPr>
              <w:pStyle w:val="ListParagraph"/>
              <w:numPr>
                <w:ilvl w:val="0"/>
                <w:numId w:val="19"/>
              </w:numPr>
              <w:spacing w:after="120" w:line="240" w:lineRule="auto"/>
              <w:rPr>
                <w:rFonts w:eastAsia="Times New Roman"/>
                <w:noProof/>
                <w:sz w:val="22"/>
                <w:szCs w:val="22"/>
                <w:lang w:eastAsia="en-IE"/>
              </w:rPr>
            </w:pPr>
            <w:r w:rsidRPr="1FC5E705">
              <w:rPr>
                <w:rFonts w:eastAsia="Times New Roman"/>
                <w:noProof/>
                <w:sz w:val="22"/>
                <w:szCs w:val="22"/>
              </w:rPr>
              <w:t>IDB budget of EUR 100 bn as announced in the Clean Industrial Deal</w:t>
            </w:r>
          </w:p>
          <w:p w14:paraId="77996C87" w14:textId="77777777" w:rsidR="00A71942" w:rsidRPr="00343936" w:rsidRDefault="00A71942" w:rsidP="00E276C8">
            <w:pPr>
              <w:pStyle w:val="ListParagraph"/>
              <w:numPr>
                <w:ilvl w:val="0"/>
                <w:numId w:val="19"/>
              </w:numPr>
              <w:spacing w:after="120" w:line="240" w:lineRule="auto"/>
              <w:rPr>
                <w:noProof/>
                <w:sz w:val="22"/>
                <w:szCs w:val="22"/>
              </w:rPr>
            </w:pPr>
            <w:r w:rsidRPr="1FC5E705">
              <w:rPr>
                <w:rFonts w:eastAsia="Times New Roman"/>
                <w:noProof/>
                <w:sz w:val="22"/>
                <w:szCs w:val="22"/>
              </w:rPr>
              <w:t xml:space="preserve">IDB scope on </w:t>
            </w:r>
            <w:r w:rsidRPr="1FC5E705">
              <w:rPr>
                <w:noProof/>
                <w:sz w:val="22"/>
                <w:szCs w:val="22"/>
              </w:rPr>
              <w:t>scale-up and roll-out of decarbonisation technologies in the EIIs</w:t>
            </w:r>
          </w:p>
          <w:p w14:paraId="53E55D8B" w14:textId="77777777" w:rsidR="00A71942" w:rsidRPr="00343936" w:rsidRDefault="00A71942" w:rsidP="00E276C8">
            <w:pPr>
              <w:pStyle w:val="ListParagraph"/>
              <w:numPr>
                <w:ilvl w:val="0"/>
                <w:numId w:val="19"/>
              </w:numPr>
              <w:spacing w:after="120" w:line="240" w:lineRule="auto"/>
              <w:rPr>
                <w:rFonts w:eastAsia="Times New Roman"/>
                <w:noProof/>
                <w:sz w:val="22"/>
                <w:szCs w:val="22"/>
                <w:lang w:eastAsia="en-IE"/>
              </w:rPr>
            </w:pPr>
            <w:r w:rsidRPr="1FC5E705">
              <w:rPr>
                <w:rFonts w:eastAsia="Times New Roman"/>
                <w:noProof/>
                <w:sz w:val="22"/>
                <w:szCs w:val="22"/>
              </w:rPr>
              <w:t>IF to be continued using the existing instruments (‘regular’ calls for proposals and ‘regular’ grants)</w:t>
            </w:r>
          </w:p>
        </w:tc>
      </w:tr>
    </w:tbl>
    <w:p w14:paraId="10B1CFD8" w14:textId="77777777" w:rsidR="00A71942" w:rsidRPr="002B0D84" w:rsidRDefault="00A71942" w:rsidP="00E276C8">
      <w:pPr>
        <w:pStyle w:val="Heading3COM"/>
        <w:spacing w:before="120" w:after="120" w:line="240" w:lineRule="auto"/>
        <w:outlineLvl w:val="3"/>
        <w:rPr>
          <w:noProof/>
        </w:rPr>
      </w:pPr>
      <w:bookmarkStart w:id="597" w:name="_Toc232611532"/>
      <w:bookmarkStart w:id="598" w:name="_Toc232758217"/>
      <w:bookmarkEnd w:id="581"/>
      <w:r>
        <w:rPr>
          <w:noProof/>
        </w:rPr>
        <w:t>Modernisation Fund</w:t>
      </w:r>
      <w:bookmarkEnd w:id="597"/>
      <w:bookmarkEnd w:id="598"/>
    </w:p>
    <w:p w14:paraId="107F5249" w14:textId="77777777" w:rsidR="00A71942" w:rsidRPr="002B0D84" w:rsidRDefault="00A71942" w:rsidP="00E276C8">
      <w:pPr>
        <w:spacing w:line="240" w:lineRule="auto"/>
        <w:textAlignment w:val="baseline"/>
        <w:rPr>
          <w:rFonts w:eastAsia="Times New Roman"/>
          <w:noProof/>
          <w:color w:val="000000"/>
          <w:lang w:val="en-IE" w:eastAsia="en-IE"/>
        </w:rPr>
      </w:pPr>
      <w:r w:rsidRPr="1FC5E705">
        <w:rPr>
          <w:rFonts w:eastAsia="Times New Roman"/>
          <w:noProof/>
        </w:rPr>
        <w:t>As evidenced in the evaluation on its operating rules, the Fund demonstrates a degree of relevance, effectiveness, efficiency and EU added value which warrant its continuation after 2030, in volumes comparable with current situation so as to continue supporting lower income Member States in reaching EU climate and energy objectives. All policy measures presented below therefore maintain the Funde.</w:t>
      </w:r>
    </w:p>
    <w:p w14:paraId="7F847290" w14:textId="77777777" w:rsidR="00A71942" w:rsidRPr="002B0D84" w:rsidRDefault="00A71942" w:rsidP="00E276C8">
      <w:pPr>
        <w:spacing w:line="240" w:lineRule="auto"/>
        <w:textAlignment w:val="baseline"/>
        <w:rPr>
          <w:rFonts w:eastAsia="Times New Roman"/>
          <w:noProof/>
          <w:lang w:val="en-IE" w:eastAsia="en-IE"/>
        </w:rPr>
      </w:pPr>
      <w:r w:rsidRPr="1FC5E705">
        <w:rPr>
          <w:rFonts w:eastAsia="Times New Roman"/>
          <w:noProof/>
        </w:rPr>
        <w:t> Coherence of the Fund with EU climate and energy objectives, and in particular the 2050 carbon neutrality objective can however be better addressed through increased climate ambition of the Fund, through better targeting of investments. In this context, all measures presented open the scope of priority investments (PI) to technologies relevant for industrial decarbonation such as CCS and direct electrification of industry, while making support to gas and waste-to-energy ineligible under PI.</w:t>
      </w:r>
    </w:p>
    <w:p w14:paraId="172BF96C" w14:textId="77777777" w:rsidR="00A71942" w:rsidRPr="002B0D84" w:rsidRDefault="00A71942" w:rsidP="00E276C8">
      <w:pPr>
        <w:spacing w:line="240" w:lineRule="auto"/>
        <w:textAlignment w:val="baseline"/>
        <w:rPr>
          <w:rFonts w:eastAsia="Times New Roman"/>
          <w:noProof/>
          <w:lang w:val="en-US" w:eastAsia="en-IE"/>
        </w:rPr>
      </w:pPr>
      <w:r w:rsidRPr="1FC5E705">
        <w:rPr>
          <w:rFonts w:eastAsia="Times New Roman"/>
          <w:noProof/>
        </w:rPr>
        <w:t>In addition, three different measures are explored, related to 1) the eligibility of investments involving gas and waste-to-energy; 2) the share dedicated to priority investments and 3) governance of the priority investment confirmation process.</w:t>
      </w:r>
    </w:p>
    <w:p w14:paraId="301195D2" w14:textId="77777777" w:rsidR="00A71942" w:rsidRPr="002B0D84" w:rsidRDefault="00A71942" w:rsidP="00E276C8">
      <w:pPr>
        <w:spacing w:line="240" w:lineRule="auto"/>
        <w:textAlignment w:val="baseline"/>
        <w:rPr>
          <w:rFonts w:eastAsia="Times New Roman"/>
          <w:noProof/>
          <w:lang w:val="en-US" w:eastAsia="en-IE"/>
        </w:rPr>
      </w:pPr>
      <w:r w:rsidRPr="1FC5E705">
        <w:rPr>
          <w:rFonts w:eastAsia="Times New Roman"/>
          <w:noProof/>
        </w:rPr>
        <w:t>The</w:t>
      </w:r>
      <w:r w:rsidRPr="1FC5E705">
        <w:rPr>
          <w:rFonts w:eastAsia="Times New Roman"/>
          <w:b/>
          <w:bCs/>
          <w:noProof/>
        </w:rPr>
        <w:t xml:space="preserve"> Policy Option (PO1)</w:t>
      </w:r>
      <w:r w:rsidRPr="1FC5E705">
        <w:rPr>
          <w:rFonts w:eastAsia="Times New Roman"/>
          <w:noProof/>
        </w:rPr>
        <w:t xml:space="preserve"> maintains the status quo with regards to the eligibility of gas and waste-to-energy as non-priority investments. It also brings the share of non-priority investments to 10% across all three pots of money making up the Fund, down from the current 10% or 20% depending on the pot. This simplifies the current set-up while also recognizing the low resort to non-priority investments on the side of Member States (de facto less than 10% of supported investments currently). In terms of governance, this option opens up the possibility for confirmation of priority investments by the European Investment Bank on a rolling basis, without cut-off date (without any link to the timing of Investment Committee meetings). The actual disbursement of funds to the Member States would however remain limited to two disbursements decisions per year.</w:t>
      </w:r>
    </w:p>
    <w:p w14:paraId="2DAD7048" w14:textId="77777777" w:rsidR="00A71942" w:rsidRPr="002B0D84" w:rsidRDefault="00A71942" w:rsidP="00E276C8">
      <w:pPr>
        <w:spacing w:line="240" w:lineRule="auto"/>
        <w:textAlignment w:val="baseline"/>
        <w:rPr>
          <w:rFonts w:eastAsia="Times New Roman"/>
          <w:noProof/>
          <w:lang w:val="en-US" w:eastAsia="en-IE"/>
        </w:rPr>
      </w:pPr>
      <w:r w:rsidRPr="1FC5E705">
        <w:rPr>
          <w:rFonts w:eastAsia="Times New Roman"/>
          <w:noProof/>
        </w:rPr>
        <w:t xml:space="preserve">The </w:t>
      </w:r>
      <w:r w:rsidRPr="1FC5E705">
        <w:rPr>
          <w:rFonts w:eastAsia="Times New Roman"/>
          <w:b/>
          <w:bCs/>
          <w:noProof/>
        </w:rPr>
        <w:t>Policy Option (PO2)</w:t>
      </w:r>
      <w:r w:rsidRPr="1FC5E705">
        <w:rPr>
          <w:rFonts w:eastAsia="Times New Roman"/>
          <w:noProof/>
        </w:rPr>
        <w:t xml:space="preserve"> limits the eligibility of non-priority investments of gas to energy efficiency-type investments (fuel switch from coal/lignite to gas) while excluding gas infrastructure. In a similar vein, non-priority investments may only support waste-to-energy in the conditions of high efficiency co-generation of heat and power and would concern only residual, non-recyclable waste. Concomitantly, the share of NPI would be brought down to 5% across all pots of Modernisation Fund allowances. Governance would maintain its status quo. </w:t>
      </w:r>
    </w:p>
    <w:p w14:paraId="71B94F92" w14:textId="77777777" w:rsidR="00A71942" w:rsidRPr="00031A22" w:rsidRDefault="00A71942" w:rsidP="00E276C8">
      <w:pPr>
        <w:spacing w:line="240" w:lineRule="auto"/>
        <w:textAlignment w:val="baseline"/>
        <w:rPr>
          <w:rFonts w:eastAsia="Times New Roman"/>
          <w:noProof/>
          <w:lang w:val="en-US" w:eastAsia="en-IE"/>
        </w:rPr>
      </w:pPr>
      <w:r w:rsidRPr="1FC5E705">
        <w:rPr>
          <w:rFonts w:eastAsia="Times New Roman"/>
          <w:noProof/>
        </w:rPr>
        <w:t xml:space="preserve">The </w:t>
      </w:r>
      <w:r w:rsidRPr="1FC5E705">
        <w:rPr>
          <w:rFonts w:eastAsia="Times New Roman"/>
          <w:b/>
          <w:bCs/>
          <w:noProof/>
        </w:rPr>
        <w:t>Policy Option</w:t>
      </w:r>
      <w:r w:rsidRPr="1FC5E705">
        <w:rPr>
          <w:rFonts w:eastAsia="Times New Roman"/>
          <w:noProof/>
        </w:rPr>
        <w:t xml:space="preserve"> (PO3) excludes any support to gas or waste-to-energy, including as non-priority investment. The share of non-priority investment is brought down to 0. Approval process of priority investments becomes more stringent through the Investment Committee acquiring a vetting power over them.</w:t>
      </w:r>
    </w:p>
    <w:p w14:paraId="6D2E96F0" w14:textId="77777777" w:rsidR="00A71942" w:rsidRPr="002B0D84" w:rsidRDefault="00A71942" w:rsidP="00E276C8">
      <w:pPr>
        <w:pStyle w:val="Tabletitle"/>
        <w:spacing w:after="120" w:line="240" w:lineRule="auto"/>
        <w:ind w:left="720"/>
        <w:rPr>
          <w:noProof/>
          <w:lang w:val="en-IE" w:eastAsia="en-IE"/>
        </w:rPr>
      </w:pPr>
      <w:bookmarkStart w:id="599" w:name="_Toc232608947"/>
      <w:bookmarkStart w:id="600" w:name="_Toc232609683"/>
      <w:bookmarkStart w:id="601" w:name="_Toc232611558"/>
      <w:bookmarkStart w:id="602" w:name="_Toc232672617"/>
      <w:bookmarkStart w:id="603" w:name="_Toc232758469"/>
      <w:r w:rsidRPr="1FC5E705">
        <w:rPr>
          <w:rFonts w:eastAsia="Times New Roman"/>
          <w:noProof/>
        </w:rPr>
        <w:t>Policy measures for Modernisation Fund</w:t>
      </w:r>
      <w:bookmarkEnd w:id="599"/>
      <w:bookmarkEnd w:id="600"/>
      <w:bookmarkEnd w:id="601"/>
      <w:bookmarkEnd w:id="602"/>
      <w:bookmarkEnd w:id="603"/>
    </w:p>
    <w:tbl>
      <w:tblPr>
        <w:tblW w:w="8806" w:type="dxa"/>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1950"/>
        <w:gridCol w:w="3413"/>
        <w:gridCol w:w="1155"/>
        <w:gridCol w:w="1075"/>
        <w:gridCol w:w="1213"/>
      </w:tblGrid>
      <w:tr w:rsidR="00A71942" w:rsidRPr="002B0D84" w14:paraId="5ECB4A9B" w14:textId="77777777" w:rsidTr="1FC5E705">
        <w:trPr>
          <w:trHeight w:val="144"/>
        </w:trPr>
        <w:tc>
          <w:tcPr>
            <w:tcW w:w="5363" w:type="dxa"/>
            <w:gridSpan w:val="2"/>
            <w:tcBorders>
              <w:top w:val="single" w:sz="4" w:space="0" w:color="auto"/>
              <w:left w:val="single" w:sz="4" w:space="0" w:color="auto"/>
              <w:bottom w:val="single" w:sz="4" w:space="0" w:color="auto"/>
              <w:right w:val="single" w:sz="4" w:space="0" w:color="auto"/>
            </w:tcBorders>
            <w:hideMark/>
          </w:tcPr>
          <w:p w14:paraId="2F615B9E" w14:textId="77777777" w:rsidR="00A71942" w:rsidRPr="002B0D84" w:rsidRDefault="00A71942" w:rsidP="00E276C8">
            <w:pPr>
              <w:spacing w:line="240" w:lineRule="auto"/>
              <w:textAlignment w:val="baseline"/>
              <w:rPr>
                <w:rFonts w:eastAsia="Times New Roman"/>
                <w:noProof/>
                <w:sz w:val="22"/>
                <w:szCs w:val="22"/>
                <w:lang w:val="en-IE" w:eastAsia="en-IE"/>
              </w:rPr>
            </w:pPr>
            <w:r w:rsidRPr="1FC5E705">
              <w:rPr>
                <w:rFonts w:eastAsia="Times New Roman"/>
                <w:b/>
                <w:bCs/>
                <w:noProof/>
                <w:sz w:val="22"/>
                <w:szCs w:val="22"/>
              </w:rPr>
              <w:t xml:space="preserve">Policy measure </w:t>
            </w:r>
          </w:p>
        </w:tc>
        <w:tc>
          <w:tcPr>
            <w:tcW w:w="1155" w:type="dxa"/>
            <w:tcBorders>
              <w:top w:val="single" w:sz="4" w:space="0" w:color="auto"/>
              <w:left w:val="single" w:sz="4" w:space="0" w:color="auto"/>
              <w:bottom w:val="single" w:sz="4" w:space="0" w:color="auto"/>
              <w:right w:val="single" w:sz="4" w:space="0" w:color="auto"/>
            </w:tcBorders>
            <w:hideMark/>
          </w:tcPr>
          <w:p w14:paraId="45047B90"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b/>
                <w:bCs/>
                <w:noProof/>
                <w:sz w:val="22"/>
                <w:szCs w:val="22"/>
              </w:rPr>
              <w:t>PO1</w:t>
            </w:r>
          </w:p>
        </w:tc>
        <w:tc>
          <w:tcPr>
            <w:tcW w:w="1075" w:type="dxa"/>
            <w:tcBorders>
              <w:top w:val="single" w:sz="4" w:space="0" w:color="auto"/>
              <w:left w:val="single" w:sz="4" w:space="0" w:color="auto"/>
              <w:bottom w:val="single" w:sz="4" w:space="0" w:color="auto"/>
              <w:right w:val="single" w:sz="4" w:space="0" w:color="auto"/>
            </w:tcBorders>
            <w:hideMark/>
          </w:tcPr>
          <w:p w14:paraId="580521DF"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b/>
                <w:bCs/>
                <w:noProof/>
                <w:sz w:val="22"/>
                <w:szCs w:val="22"/>
              </w:rPr>
              <w:t>PO2</w:t>
            </w:r>
          </w:p>
        </w:tc>
        <w:tc>
          <w:tcPr>
            <w:tcW w:w="1213" w:type="dxa"/>
            <w:tcBorders>
              <w:top w:val="single" w:sz="4" w:space="0" w:color="auto"/>
              <w:left w:val="single" w:sz="4" w:space="0" w:color="auto"/>
              <w:bottom w:val="single" w:sz="4" w:space="0" w:color="auto"/>
              <w:right w:val="single" w:sz="4" w:space="0" w:color="auto"/>
            </w:tcBorders>
            <w:hideMark/>
          </w:tcPr>
          <w:p w14:paraId="57F14AB1"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b/>
                <w:bCs/>
                <w:noProof/>
                <w:sz w:val="22"/>
                <w:szCs w:val="22"/>
              </w:rPr>
              <w:t>PO3</w:t>
            </w:r>
          </w:p>
        </w:tc>
      </w:tr>
      <w:tr w:rsidR="00A71942" w:rsidRPr="002B0D84" w14:paraId="157C760F" w14:textId="77777777" w:rsidTr="1FC5E705">
        <w:trPr>
          <w:trHeight w:val="300"/>
        </w:trPr>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37FA0223" w14:textId="77777777" w:rsidR="00A71942" w:rsidRPr="002B0D84" w:rsidRDefault="00A71942" w:rsidP="00E276C8">
            <w:pPr>
              <w:spacing w:line="240" w:lineRule="auto"/>
              <w:jc w:val="left"/>
              <w:rPr>
                <w:rFonts w:eastAsia="Times New Roman"/>
                <w:b/>
                <w:bCs/>
                <w:noProof/>
                <w:sz w:val="22"/>
                <w:szCs w:val="22"/>
                <w:lang w:val="en-IE" w:eastAsia="en-IE"/>
              </w:rPr>
            </w:pPr>
            <w:r w:rsidRPr="1FC5E705">
              <w:rPr>
                <w:rFonts w:eastAsia="Times New Roman"/>
                <w:b/>
                <w:bCs/>
                <w:noProof/>
                <w:sz w:val="22"/>
                <w:szCs w:val="22"/>
              </w:rPr>
              <w:t>Eligibility of Gas / Waste-to-energy</w:t>
            </w:r>
          </w:p>
        </w:tc>
        <w:tc>
          <w:tcPr>
            <w:tcW w:w="3413" w:type="dxa"/>
            <w:tcBorders>
              <w:top w:val="single" w:sz="4" w:space="0" w:color="auto"/>
              <w:left w:val="single" w:sz="4" w:space="0" w:color="auto"/>
              <w:bottom w:val="single" w:sz="4" w:space="0" w:color="auto"/>
              <w:right w:val="single" w:sz="4" w:space="0" w:color="auto"/>
            </w:tcBorders>
            <w:vAlign w:val="center"/>
            <w:hideMark/>
          </w:tcPr>
          <w:p w14:paraId="0D30CCCA" w14:textId="77777777" w:rsidR="00A71942" w:rsidRPr="002B0D84" w:rsidRDefault="00A71942" w:rsidP="00E276C8">
            <w:pPr>
              <w:spacing w:line="240" w:lineRule="auto"/>
              <w:jc w:val="left"/>
              <w:textAlignment w:val="baseline"/>
              <w:rPr>
                <w:rFonts w:eastAsia="Times New Roman"/>
                <w:noProof/>
                <w:sz w:val="22"/>
                <w:szCs w:val="22"/>
                <w:lang w:val="fr-BE" w:eastAsia="en-IE"/>
              </w:rPr>
            </w:pPr>
            <w:r w:rsidRPr="1FC5E705">
              <w:rPr>
                <w:rFonts w:eastAsia="Times New Roman"/>
                <w:noProof/>
                <w:sz w:val="22"/>
                <w:szCs w:val="22"/>
              </w:rPr>
              <w:t>GAS/WtE1: PI: Exclusion. NPI: status quo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242D0D38" w14:textId="77777777" w:rsidR="00A71942" w:rsidRPr="002B0D84" w:rsidRDefault="00A71942" w:rsidP="00E276C8">
            <w:pPr>
              <w:spacing w:line="240" w:lineRule="auto"/>
              <w:jc w:val="center"/>
              <w:textAlignment w:val="baseline"/>
              <w:rPr>
                <w:rFonts w:eastAsia="Times New Roman"/>
                <w:noProof/>
                <w:sz w:val="22"/>
                <w:szCs w:val="22"/>
                <w:lang w:val="fr-BE" w:eastAsia="en-IE"/>
              </w:rPr>
            </w:pPr>
            <w:r w:rsidRPr="1FC5E705">
              <w:rPr>
                <w:rFonts w:eastAsia="Times New Roman"/>
                <w:noProof/>
                <w:sz w:val="22"/>
                <w:szCs w:val="22"/>
              </w:rPr>
              <w:t xml:space="preserve"> </w:t>
            </w:r>
          </w:p>
          <w:p w14:paraId="6F60DAC8"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xml:space="preserve"> X</w:t>
            </w:r>
          </w:p>
          <w:p w14:paraId="71B628C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xml:space="preserve">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74468F49" w14:textId="77777777" w:rsidR="00A71942" w:rsidRPr="002B0D84" w:rsidRDefault="00A71942" w:rsidP="00E276C8">
            <w:pPr>
              <w:spacing w:line="240" w:lineRule="auto"/>
              <w:jc w:val="center"/>
              <w:textAlignment w:val="baseline"/>
              <w:rPr>
                <w:rFonts w:eastAsia="Times New Roman"/>
                <w:noProof/>
                <w:sz w:val="22"/>
                <w:szCs w:val="22"/>
                <w:lang w:val="en-IE" w:eastAsia="en-IE"/>
              </w:rPr>
            </w:pPr>
          </w:p>
        </w:tc>
        <w:tc>
          <w:tcPr>
            <w:tcW w:w="1213" w:type="dxa"/>
            <w:tcBorders>
              <w:top w:val="single" w:sz="4" w:space="0" w:color="auto"/>
              <w:left w:val="single" w:sz="4" w:space="0" w:color="auto"/>
              <w:bottom w:val="single" w:sz="4" w:space="0" w:color="auto"/>
              <w:right w:val="single" w:sz="4" w:space="0" w:color="auto"/>
            </w:tcBorders>
            <w:vAlign w:val="center"/>
            <w:hideMark/>
          </w:tcPr>
          <w:p w14:paraId="51F3EA9D"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486ED7A9" w14:textId="77777777" w:rsidTr="1FC5E705">
        <w:trPr>
          <w:trHeight w:val="300"/>
        </w:trPr>
        <w:tc>
          <w:tcPr>
            <w:tcW w:w="1950" w:type="dxa"/>
            <w:vMerge/>
            <w:vAlign w:val="center"/>
            <w:hideMark/>
          </w:tcPr>
          <w:p w14:paraId="62C9DBF0"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750772C1"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GAS/WtE2: PI: Exclusion. NPI: Allowed under conditions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39CA5DE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X</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380860A" w14:textId="77777777" w:rsidR="00A71942" w:rsidRPr="002B0D84" w:rsidRDefault="00A71942" w:rsidP="00E276C8">
            <w:pPr>
              <w:spacing w:line="240" w:lineRule="auto"/>
              <w:jc w:val="center"/>
              <w:textAlignment w:val="baseline"/>
              <w:rPr>
                <w:rFonts w:eastAsia="Times New Roman"/>
                <w:noProof/>
                <w:sz w:val="22"/>
                <w:szCs w:val="22"/>
                <w:lang w:val="en-IE" w:eastAsia="en-IE"/>
              </w:rPr>
            </w:pPr>
          </w:p>
        </w:tc>
        <w:tc>
          <w:tcPr>
            <w:tcW w:w="1213" w:type="dxa"/>
            <w:tcBorders>
              <w:top w:val="single" w:sz="4" w:space="0" w:color="auto"/>
              <w:left w:val="single" w:sz="4" w:space="0" w:color="auto"/>
              <w:bottom w:val="single" w:sz="4" w:space="0" w:color="auto"/>
              <w:right w:val="single" w:sz="4" w:space="0" w:color="auto"/>
            </w:tcBorders>
            <w:vAlign w:val="center"/>
            <w:hideMark/>
          </w:tcPr>
          <w:p w14:paraId="14A2E66E"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2A1D3E3F" w14:textId="77777777" w:rsidTr="1FC5E705">
        <w:trPr>
          <w:trHeight w:val="300"/>
        </w:trPr>
        <w:tc>
          <w:tcPr>
            <w:tcW w:w="1950" w:type="dxa"/>
            <w:vMerge/>
            <w:vAlign w:val="center"/>
            <w:hideMark/>
          </w:tcPr>
          <w:p w14:paraId="5F545618"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4177BF8B"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GAS/WtE3: PI/NPI: Exclusion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29FC15C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46DB7A49"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6CEF0EF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p>
        </w:tc>
      </w:tr>
      <w:tr w:rsidR="00A71942" w:rsidRPr="002B0D84" w14:paraId="49BE3EA0" w14:textId="77777777" w:rsidTr="1FC5E705">
        <w:trPr>
          <w:trHeight w:val="300"/>
        </w:trPr>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3EE9B2C1"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b/>
                <w:bCs/>
                <w:noProof/>
                <w:sz w:val="22"/>
                <w:szCs w:val="22"/>
              </w:rPr>
              <w:t>Respective shares of Priority / Non-Priority Investments</w:t>
            </w:r>
            <w:r w:rsidRPr="1FC5E705">
              <w:rPr>
                <w:rFonts w:eastAsia="Times New Roman"/>
                <w:noProof/>
                <w:sz w:val="22"/>
                <w:szCs w:val="22"/>
              </w:rPr>
              <w:t> </w:t>
            </w:r>
          </w:p>
        </w:tc>
        <w:tc>
          <w:tcPr>
            <w:tcW w:w="3413" w:type="dxa"/>
            <w:tcBorders>
              <w:top w:val="single" w:sz="4" w:space="0" w:color="auto"/>
              <w:left w:val="single" w:sz="4" w:space="0" w:color="auto"/>
              <w:bottom w:val="single" w:sz="4" w:space="0" w:color="auto"/>
              <w:right w:val="single" w:sz="4" w:space="0" w:color="auto"/>
            </w:tcBorders>
            <w:vAlign w:val="center"/>
            <w:hideMark/>
          </w:tcPr>
          <w:p w14:paraId="267B74F9"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PI/NPI0: NPI share = 10%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9434CA5"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w:t>
            </w:r>
          </w:p>
        </w:tc>
        <w:tc>
          <w:tcPr>
            <w:tcW w:w="1075" w:type="dxa"/>
            <w:tcBorders>
              <w:top w:val="single" w:sz="4" w:space="0" w:color="auto"/>
              <w:left w:val="single" w:sz="4" w:space="0" w:color="auto"/>
              <w:bottom w:val="single" w:sz="4" w:space="0" w:color="auto"/>
              <w:right w:val="single" w:sz="4" w:space="0" w:color="auto"/>
            </w:tcBorders>
            <w:vAlign w:val="center"/>
            <w:hideMark/>
          </w:tcPr>
          <w:p w14:paraId="55E04E20" w14:textId="77777777" w:rsidR="00A71942" w:rsidRPr="002B0D84" w:rsidRDefault="00A71942" w:rsidP="00E276C8">
            <w:pPr>
              <w:spacing w:line="240" w:lineRule="auto"/>
              <w:jc w:val="center"/>
              <w:textAlignment w:val="baseline"/>
              <w:rPr>
                <w:rFonts w:eastAsia="Times New Roman"/>
                <w:noProof/>
                <w:sz w:val="22"/>
                <w:szCs w:val="22"/>
                <w:lang w:val="en-IE" w:eastAsia="en-IE"/>
              </w:rPr>
            </w:pPr>
          </w:p>
        </w:tc>
        <w:tc>
          <w:tcPr>
            <w:tcW w:w="1213" w:type="dxa"/>
            <w:tcBorders>
              <w:top w:val="single" w:sz="4" w:space="0" w:color="auto"/>
              <w:left w:val="single" w:sz="4" w:space="0" w:color="auto"/>
              <w:bottom w:val="single" w:sz="4" w:space="0" w:color="auto"/>
              <w:right w:val="single" w:sz="4" w:space="0" w:color="auto"/>
            </w:tcBorders>
            <w:vAlign w:val="center"/>
            <w:hideMark/>
          </w:tcPr>
          <w:p w14:paraId="192208F4"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77D91D53" w14:textId="77777777" w:rsidTr="1FC5E705">
        <w:trPr>
          <w:trHeight w:val="300"/>
        </w:trPr>
        <w:tc>
          <w:tcPr>
            <w:tcW w:w="1950" w:type="dxa"/>
            <w:vMerge/>
            <w:vAlign w:val="center"/>
            <w:hideMark/>
          </w:tcPr>
          <w:p w14:paraId="22754CA1"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0909816D"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PI/NPI1: NPI share = 5%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CB6EA45"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0463156"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FDF62AB"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46CE85F2" w14:textId="77777777" w:rsidTr="1FC5E705">
        <w:trPr>
          <w:trHeight w:val="300"/>
        </w:trPr>
        <w:tc>
          <w:tcPr>
            <w:tcW w:w="1950" w:type="dxa"/>
            <w:vMerge/>
            <w:vAlign w:val="center"/>
            <w:hideMark/>
          </w:tcPr>
          <w:p w14:paraId="5F46E5DF"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3DED8B6E"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PI/NPI2: No NPI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5D0AD89F"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0425278E"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206B134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 </w:t>
            </w:r>
          </w:p>
        </w:tc>
      </w:tr>
      <w:tr w:rsidR="00A71942" w:rsidRPr="002B0D84" w14:paraId="08A6D39C" w14:textId="77777777" w:rsidTr="1FC5E705">
        <w:trPr>
          <w:trHeight w:val="300"/>
        </w:trPr>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7BF56CE0"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b/>
                <w:bCs/>
                <w:noProof/>
                <w:sz w:val="22"/>
                <w:szCs w:val="22"/>
              </w:rPr>
              <w:t>Governance of the confirmation process of PI investments</w:t>
            </w:r>
            <w:r w:rsidRPr="1FC5E705">
              <w:rPr>
                <w:rFonts w:eastAsia="Times New Roman"/>
                <w:noProof/>
                <w:sz w:val="22"/>
                <w:szCs w:val="22"/>
              </w:rPr>
              <w:t> </w:t>
            </w:r>
          </w:p>
        </w:tc>
        <w:tc>
          <w:tcPr>
            <w:tcW w:w="3413" w:type="dxa"/>
            <w:tcBorders>
              <w:top w:val="single" w:sz="4" w:space="0" w:color="auto"/>
              <w:left w:val="single" w:sz="4" w:space="0" w:color="auto"/>
              <w:bottom w:val="single" w:sz="4" w:space="0" w:color="auto"/>
              <w:right w:val="single" w:sz="4" w:space="0" w:color="auto"/>
            </w:tcBorders>
            <w:vAlign w:val="center"/>
            <w:hideMark/>
          </w:tcPr>
          <w:p w14:paraId="115ED705"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GOV0: on rolling basis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E6BA837"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p w14:paraId="0321382D"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X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C74C2EE"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667013A"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3C167072" w14:textId="77777777" w:rsidTr="1FC5E705">
        <w:trPr>
          <w:trHeight w:val="300"/>
        </w:trPr>
        <w:tc>
          <w:tcPr>
            <w:tcW w:w="1950" w:type="dxa"/>
            <w:vMerge/>
            <w:vAlign w:val="center"/>
            <w:hideMark/>
          </w:tcPr>
          <w:p w14:paraId="0310AA5E"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31648F72"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GOV1: Status quo (as in current MF)</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9DFE433"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D427CEE"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ABF6871"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r>
      <w:tr w:rsidR="00A71942" w:rsidRPr="002B0D84" w14:paraId="281B6BB5" w14:textId="77777777" w:rsidTr="1FC5E705">
        <w:trPr>
          <w:trHeight w:val="300"/>
        </w:trPr>
        <w:tc>
          <w:tcPr>
            <w:tcW w:w="1950" w:type="dxa"/>
            <w:vMerge/>
            <w:vAlign w:val="center"/>
            <w:hideMark/>
          </w:tcPr>
          <w:p w14:paraId="43E4A480" w14:textId="77777777" w:rsidR="00A71942" w:rsidRPr="002B0D84" w:rsidRDefault="00A71942" w:rsidP="00E276C8">
            <w:pPr>
              <w:spacing w:line="240" w:lineRule="auto"/>
              <w:jc w:val="left"/>
              <w:rPr>
                <w:rFonts w:eastAsia="Times New Roman"/>
                <w:noProof/>
                <w:sz w:val="22"/>
                <w:szCs w:val="22"/>
                <w:lang w:val="en-IE" w:eastAsia="en-IE"/>
              </w:rPr>
            </w:pPr>
          </w:p>
        </w:tc>
        <w:tc>
          <w:tcPr>
            <w:tcW w:w="3413" w:type="dxa"/>
            <w:tcBorders>
              <w:top w:val="single" w:sz="4" w:space="0" w:color="auto"/>
              <w:left w:val="single" w:sz="4" w:space="0" w:color="auto"/>
              <w:bottom w:val="single" w:sz="4" w:space="0" w:color="auto"/>
              <w:right w:val="single" w:sz="4" w:space="0" w:color="auto"/>
            </w:tcBorders>
            <w:vAlign w:val="center"/>
            <w:hideMark/>
          </w:tcPr>
          <w:p w14:paraId="3587893C" w14:textId="77777777" w:rsidR="00A71942" w:rsidRPr="002B0D84" w:rsidRDefault="00A71942" w:rsidP="00E276C8">
            <w:pPr>
              <w:spacing w:line="240" w:lineRule="auto"/>
              <w:jc w:val="left"/>
              <w:textAlignment w:val="baseline"/>
              <w:rPr>
                <w:rFonts w:eastAsia="Times New Roman"/>
                <w:noProof/>
                <w:sz w:val="22"/>
                <w:szCs w:val="22"/>
                <w:lang w:val="en-IE" w:eastAsia="en-IE"/>
              </w:rPr>
            </w:pPr>
            <w:r w:rsidRPr="1FC5E705">
              <w:rPr>
                <w:rFonts w:eastAsia="Times New Roman"/>
                <w:noProof/>
                <w:sz w:val="22"/>
                <w:szCs w:val="22"/>
              </w:rPr>
              <w:t>GOV2: vetting by Investment Committee </w:t>
            </w:r>
          </w:p>
        </w:tc>
        <w:tc>
          <w:tcPr>
            <w:tcW w:w="1155" w:type="dxa"/>
            <w:tcBorders>
              <w:top w:val="single" w:sz="4" w:space="0" w:color="auto"/>
              <w:left w:val="single" w:sz="4" w:space="0" w:color="auto"/>
              <w:bottom w:val="single" w:sz="4" w:space="0" w:color="auto"/>
              <w:right w:val="single" w:sz="4" w:space="0" w:color="auto"/>
            </w:tcBorders>
            <w:vAlign w:val="center"/>
            <w:hideMark/>
          </w:tcPr>
          <w:p w14:paraId="2BA88842"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075" w:type="dxa"/>
            <w:tcBorders>
              <w:top w:val="single" w:sz="4" w:space="0" w:color="auto"/>
              <w:left w:val="single" w:sz="4" w:space="0" w:color="auto"/>
              <w:bottom w:val="single" w:sz="4" w:space="0" w:color="auto"/>
              <w:right w:val="single" w:sz="4" w:space="0" w:color="auto"/>
            </w:tcBorders>
            <w:vAlign w:val="center"/>
            <w:hideMark/>
          </w:tcPr>
          <w:p w14:paraId="7B800E0F"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AA85D97" w14:textId="77777777" w:rsidR="00A71942" w:rsidRPr="002B0D84" w:rsidRDefault="00A71942" w:rsidP="00E276C8">
            <w:pPr>
              <w:spacing w:line="240" w:lineRule="auto"/>
              <w:jc w:val="center"/>
              <w:textAlignment w:val="baseline"/>
              <w:rPr>
                <w:rFonts w:eastAsia="Times New Roman"/>
                <w:noProof/>
                <w:sz w:val="22"/>
                <w:szCs w:val="22"/>
                <w:lang w:val="en-IE" w:eastAsia="en-IE"/>
              </w:rPr>
            </w:pPr>
            <w:r w:rsidRPr="1FC5E705">
              <w:rPr>
                <w:rFonts w:eastAsia="Times New Roman"/>
                <w:noProof/>
                <w:sz w:val="22"/>
                <w:szCs w:val="22"/>
              </w:rPr>
              <w:t>X </w:t>
            </w:r>
          </w:p>
        </w:tc>
      </w:tr>
      <w:tr w:rsidR="00A71942" w:rsidRPr="002B0D84" w14:paraId="34ECC3E8" w14:textId="77777777" w:rsidTr="1FC5E705">
        <w:trPr>
          <w:trHeight w:val="1888"/>
        </w:trPr>
        <w:tc>
          <w:tcPr>
            <w:tcW w:w="1950" w:type="dxa"/>
            <w:tcBorders>
              <w:top w:val="single" w:sz="4" w:space="0" w:color="auto"/>
              <w:left w:val="single" w:sz="4" w:space="0" w:color="auto"/>
              <w:bottom w:val="single" w:sz="4" w:space="0" w:color="auto"/>
              <w:right w:val="single" w:sz="4" w:space="0" w:color="auto"/>
            </w:tcBorders>
            <w:vAlign w:val="center"/>
          </w:tcPr>
          <w:p w14:paraId="3EFFD05A" w14:textId="77777777" w:rsidR="00A71942" w:rsidRPr="002B0D84" w:rsidRDefault="00A71942" w:rsidP="00E276C8">
            <w:pPr>
              <w:spacing w:line="240" w:lineRule="auto"/>
              <w:jc w:val="left"/>
              <w:rPr>
                <w:rFonts w:eastAsia="Times New Roman"/>
                <w:b/>
                <w:bCs/>
                <w:noProof/>
                <w:sz w:val="22"/>
                <w:szCs w:val="22"/>
                <w:lang w:val="en-IE" w:eastAsia="en-IE"/>
              </w:rPr>
            </w:pPr>
            <w:r w:rsidRPr="1FC5E705">
              <w:rPr>
                <w:rFonts w:eastAsia="Times New Roman"/>
                <w:b/>
                <w:bCs/>
                <w:noProof/>
                <w:sz w:val="22"/>
                <w:szCs w:val="22"/>
              </w:rPr>
              <w:t>Stable design elements across policy options</w:t>
            </w:r>
          </w:p>
        </w:tc>
        <w:tc>
          <w:tcPr>
            <w:tcW w:w="6856" w:type="dxa"/>
            <w:gridSpan w:val="4"/>
            <w:tcBorders>
              <w:top w:val="single" w:sz="4" w:space="0" w:color="auto"/>
              <w:left w:val="single" w:sz="4" w:space="0" w:color="auto"/>
              <w:bottom w:val="single" w:sz="4" w:space="0" w:color="auto"/>
              <w:right w:val="single" w:sz="4" w:space="0" w:color="auto"/>
            </w:tcBorders>
            <w:vAlign w:val="center"/>
          </w:tcPr>
          <w:p w14:paraId="76E8DF1D" w14:textId="77777777" w:rsidR="00A71942" w:rsidRPr="002B0D84" w:rsidRDefault="00A71942" w:rsidP="00E276C8">
            <w:pPr>
              <w:pStyle w:val="ListParagraph"/>
              <w:numPr>
                <w:ilvl w:val="0"/>
                <w:numId w:val="18"/>
              </w:numPr>
              <w:spacing w:after="120" w:line="240" w:lineRule="auto"/>
              <w:jc w:val="left"/>
              <w:textAlignment w:val="baseline"/>
              <w:rPr>
                <w:rFonts w:eastAsia="Times New Roman"/>
                <w:noProof/>
                <w:sz w:val="22"/>
                <w:szCs w:val="22"/>
                <w:lang w:val="en-IE" w:eastAsia="en-IE"/>
              </w:rPr>
            </w:pPr>
            <w:r w:rsidRPr="1FC5E705">
              <w:rPr>
                <w:rFonts w:eastAsia="Times New Roman"/>
                <w:noProof/>
                <w:sz w:val="22"/>
                <w:szCs w:val="22"/>
              </w:rPr>
              <w:t>MF is maintained;</w:t>
            </w:r>
          </w:p>
          <w:p w14:paraId="5EC4543E" w14:textId="77777777" w:rsidR="00A71942" w:rsidRPr="002B0D84" w:rsidRDefault="00A71942" w:rsidP="00E276C8">
            <w:pPr>
              <w:pStyle w:val="ListParagraph"/>
              <w:numPr>
                <w:ilvl w:val="0"/>
                <w:numId w:val="18"/>
              </w:numPr>
              <w:spacing w:after="120" w:line="240" w:lineRule="auto"/>
              <w:textAlignment w:val="baseline"/>
              <w:rPr>
                <w:rFonts w:eastAsia="Times New Roman"/>
                <w:noProof/>
                <w:sz w:val="22"/>
                <w:szCs w:val="22"/>
                <w:lang w:val="en-IE" w:eastAsia="en-IE"/>
              </w:rPr>
            </w:pPr>
            <w:r w:rsidRPr="1FC5E705">
              <w:rPr>
                <w:rFonts w:eastAsia="Times New Roman"/>
                <w:noProof/>
                <w:sz w:val="22"/>
                <w:szCs w:val="22"/>
              </w:rPr>
              <w:t>The scope of priority investments is enlarged to include CCS and direct electrification for industry;</w:t>
            </w:r>
          </w:p>
          <w:p w14:paraId="2CE0C057" w14:textId="77777777" w:rsidR="00A71942" w:rsidRPr="002B0D84" w:rsidRDefault="00A71942" w:rsidP="00E276C8">
            <w:pPr>
              <w:pStyle w:val="ListParagraph"/>
              <w:numPr>
                <w:ilvl w:val="0"/>
                <w:numId w:val="18"/>
              </w:numPr>
              <w:spacing w:after="120" w:line="240" w:lineRule="auto"/>
              <w:textAlignment w:val="baseline"/>
              <w:rPr>
                <w:rFonts w:eastAsia="Times New Roman"/>
                <w:noProof/>
                <w:sz w:val="22"/>
                <w:szCs w:val="22"/>
                <w:lang w:val="en-IE" w:eastAsia="en-IE"/>
              </w:rPr>
            </w:pPr>
            <w:r w:rsidRPr="1FC5E705">
              <w:rPr>
                <w:rFonts w:eastAsia="Times New Roman"/>
                <w:noProof/>
                <w:sz w:val="22"/>
                <w:szCs w:val="22"/>
              </w:rPr>
              <w:t>Gas and waste-to-energy are ineligible as priority investments;</w:t>
            </w:r>
          </w:p>
          <w:p w14:paraId="453FA013" w14:textId="77777777" w:rsidR="00A71942" w:rsidRPr="002B0D84" w:rsidRDefault="00A71942" w:rsidP="00E276C8">
            <w:pPr>
              <w:pStyle w:val="ListParagraph"/>
              <w:numPr>
                <w:ilvl w:val="0"/>
                <w:numId w:val="18"/>
              </w:numPr>
              <w:spacing w:after="120" w:line="240" w:lineRule="auto"/>
              <w:textAlignment w:val="baseline"/>
              <w:rPr>
                <w:rFonts w:eastAsia="Times New Roman"/>
                <w:noProof/>
                <w:color w:val="242828"/>
                <w:sz w:val="22"/>
                <w:szCs w:val="22"/>
                <w:lang w:val="en-IE" w:eastAsia="en-IE"/>
              </w:rPr>
            </w:pPr>
            <w:r w:rsidRPr="1FC5E705">
              <w:rPr>
                <w:rFonts w:eastAsia="Times New Roman"/>
                <w:noProof/>
                <w:sz w:val="22"/>
                <w:szCs w:val="22"/>
              </w:rPr>
              <w:t>Two disbursement decisions per year.</w:t>
            </w:r>
          </w:p>
        </w:tc>
      </w:tr>
    </w:tbl>
    <w:p w14:paraId="7A246E4C" w14:textId="77777777" w:rsidR="00A71942" w:rsidRPr="002B0D84" w:rsidRDefault="00A71942" w:rsidP="00E276C8">
      <w:pPr>
        <w:pStyle w:val="Heading2COM"/>
        <w:spacing w:before="120" w:after="120" w:line="240" w:lineRule="auto"/>
        <w:outlineLvl w:val="2"/>
        <w15:collapsed w:val="0"/>
        <w:rPr>
          <w:noProof/>
        </w:rPr>
      </w:pPr>
      <w:bookmarkStart w:id="604" w:name="_Toc219466678"/>
      <w:bookmarkStart w:id="605" w:name="_Toc232611533"/>
      <w:bookmarkStart w:id="606" w:name="_Toc232758218"/>
      <w:r>
        <w:rPr>
          <w:noProof/>
        </w:rPr>
        <w:t>Aviation</w:t>
      </w:r>
      <w:bookmarkEnd w:id="604"/>
      <w:bookmarkEnd w:id="605"/>
      <w:bookmarkEnd w:id="606"/>
    </w:p>
    <w:p w14:paraId="62A863B3" w14:textId="77777777" w:rsidR="00A71942" w:rsidRPr="002B0D84" w:rsidRDefault="00A71942" w:rsidP="00E276C8">
      <w:pPr>
        <w:spacing w:line="240" w:lineRule="auto"/>
        <w:rPr>
          <w:noProof/>
        </w:rPr>
      </w:pPr>
      <w:bookmarkStart w:id="607" w:name="_Toc211963097"/>
      <w:r w:rsidRPr="002B0D84">
        <w:rPr>
          <w:noProof/>
        </w:rPr>
        <w:t xml:space="preserve">The measures for aviation addressing the above problems and drivers are set out in Table 8 below and in </w:t>
      </w:r>
      <w:r>
        <w:rPr>
          <w:noProof/>
        </w:rPr>
        <w:t xml:space="preserve">more detail in </w:t>
      </w:r>
      <w:r w:rsidRPr="002B0D84">
        <w:rPr>
          <w:noProof/>
        </w:rPr>
        <w:t xml:space="preserve">Annex 10. In addition, there are several elements which apply in a uniform manner across all options. On geographic scope of the EU ETS, the Directive as in force since 2023 permanently exempts flights to and from around </w:t>
      </w:r>
      <w:r w:rsidRPr="002B0D84">
        <w:rPr>
          <w:b/>
          <w:bCs/>
          <w:noProof/>
        </w:rPr>
        <w:t>75 Least Developed Countries and Small Island Developing States</w:t>
      </w:r>
      <w:r w:rsidRPr="1FC5E705">
        <w:rPr>
          <w:noProof/>
          <w:vertAlign w:val="superscript"/>
        </w:rPr>
        <w:footnoteReference w:id="64"/>
      </w:r>
      <w:r w:rsidRPr="002B0D84">
        <w:rPr>
          <w:noProof/>
        </w:rPr>
        <w:t xml:space="preserve">. This exemption is maintained across all measures. To ensure appropriate internalisation of the climate impacts (D2) of </w:t>
      </w:r>
      <w:r w:rsidRPr="002B0D84">
        <w:rPr>
          <w:b/>
          <w:bCs/>
          <w:noProof/>
        </w:rPr>
        <w:t>private and business aviation</w:t>
      </w:r>
      <w:r w:rsidRPr="002B0D84">
        <w:rPr>
          <w:noProof/>
        </w:rPr>
        <w:t>, all options include lowering the emissions threshold for all aircraft operators to 500t CO</w:t>
      </w:r>
      <w:r w:rsidRPr="002B0D84">
        <w:rPr>
          <w:noProof/>
          <w:vertAlign w:val="subscript"/>
        </w:rPr>
        <w:t>2</w:t>
      </w:r>
      <w:r w:rsidRPr="002B0D84">
        <w:rPr>
          <w:noProof/>
        </w:rPr>
        <w:t xml:space="preserve"> to increase the reach of carbon pricing. This would bring the majority of </w:t>
      </w:r>
      <w:r w:rsidRPr="002B0D84">
        <w:rPr>
          <w:b/>
          <w:bCs/>
          <w:noProof/>
        </w:rPr>
        <w:t>private and business aviation</w:t>
      </w:r>
      <w:r w:rsidRPr="002B0D84">
        <w:rPr>
          <w:noProof/>
        </w:rPr>
        <w:t xml:space="preserve"> into the ETS scope. All </w:t>
      </w:r>
      <w:r w:rsidRPr="002B0D84">
        <w:rPr>
          <w:b/>
          <w:bCs/>
          <w:noProof/>
        </w:rPr>
        <w:t xml:space="preserve">private and business jet flights </w:t>
      </w:r>
      <w:r w:rsidRPr="002B0D84">
        <w:rPr>
          <w:noProof/>
        </w:rPr>
        <w:t>departing EEA countries also come into the ETS</w:t>
      </w:r>
      <w:r w:rsidRPr="002B0D84" w:rsidDel="00C61F01">
        <w:rPr>
          <w:noProof/>
        </w:rPr>
        <w:t>.</w:t>
      </w:r>
      <w:r w:rsidRPr="002B0D84">
        <w:rPr>
          <w:noProof/>
        </w:rPr>
        <w:t xml:space="preserve"> This element is accompanied by a </w:t>
      </w:r>
      <w:r w:rsidRPr="002B0D84">
        <w:rPr>
          <w:b/>
          <w:bCs/>
          <w:noProof/>
        </w:rPr>
        <w:t>simplification</w:t>
      </w:r>
      <w:r w:rsidRPr="002B0D84">
        <w:rPr>
          <w:noProof/>
        </w:rPr>
        <w:t xml:space="preserve"> for monitoring, reporting and verification rules for all aviation small emitters limiting any increase in administrative effort for operators, Competent Authorities and the Commission (see Annex 10, section 7). In specific cases of </w:t>
      </w:r>
      <w:r w:rsidRPr="002B0D84">
        <w:rPr>
          <w:b/>
          <w:bCs/>
          <w:noProof/>
        </w:rPr>
        <w:t xml:space="preserve">hub carbon leakage, </w:t>
      </w:r>
      <w:r w:rsidRPr="002B0D84">
        <w:rPr>
          <w:noProof/>
        </w:rPr>
        <w:t>the ETS price would apply in both directions, on an equal-treatment-on-routes basis</w:t>
      </w:r>
      <w:r w:rsidRPr="1FC5E705">
        <w:rPr>
          <w:noProof/>
          <w:vertAlign w:val="superscript"/>
        </w:rPr>
        <w:footnoteReference w:id="65"/>
      </w:r>
      <w:r w:rsidRPr="002B0D84">
        <w:rPr>
          <w:noProof/>
        </w:rPr>
        <w:t xml:space="preserve"> to help level the playing field.</w:t>
      </w:r>
      <w:bookmarkEnd w:id="607"/>
      <w:r w:rsidRPr="002B0D84">
        <w:rPr>
          <w:noProof/>
        </w:rPr>
        <w:t xml:space="preserve"> In addition, the EU could provide “ETS-as-a-service” to interested third countries, which could receive a share of the revenues for climate purposes. However, this is not included in the modelling.</w:t>
      </w:r>
    </w:p>
    <w:p w14:paraId="7105C13C" w14:textId="77777777" w:rsidR="00A71942" w:rsidRPr="002B0D84" w:rsidRDefault="00A71942" w:rsidP="00E276C8">
      <w:pPr>
        <w:spacing w:line="240" w:lineRule="auto"/>
        <w:rPr>
          <w:noProof/>
        </w:rPr>
      </w:pPr>
      <w:bookmarkStart w:id="608" w:name="_Toc211963098"/>
      <w:r w:rsidRPr="002B0D84">
        <w:rPr>
          <w:b/>
          <w:bCs/>
          <w:noProof/>
        </w:rPr>
        <w:t xml:space="preserve">Policy Option 1 (PO1): </w:t>
      </w:r>
      <w:r w:rsidRPr="002B0D84">
        <w:rPr>
          <w:noProof/>
        </w:rPr>
        <w:t>The geographic scope of application of the EU ETS depends on the required assessment of CORSIA</w:t>
      </w:r>
      <w:bookmarkStart w:id="609" w:name="_Ref211526146"/>
      <w:r w:rsidRPr="1FC5E705">
        <w:rPr>
          <w:noProof/>
          <w:vertAlign w:val="superscript"/>
        </w:rPr>
        <w:footnoteReference w:id="66"/>
      </w:r>
      <w:bookmarkEnd w:id="609"/>
      <w:r w:rsidRPr="002B0D84">
        <w:rPr>
          <w:noProof/>
        </w:rPr>
        <w:t xml:space="preserve">. PO1 assumes this assessment is positive and States continue to effectively apply CORSIA. </w:t>
      </w:r>
      <w:r w:rsidRPr="002B0D84">
        <w:rPr>
          <w:noProof/>
          <w:lang w:val="en-IE"/>
        </w:rPr>
        <w:t xml:space="preserve">This </w:t>
      </w:r>
      <w:r w:rsidRPr="002B0D84">
        <w:rPr>
          <w:noProof/>
        </w:rPr>
        <w:t>assessment</w:t>
      </w:r>
      <w:r w:rsidRPr="002B0D84" w:rsidDel="005E28D0">
        <w:rPr>
          <w:noProof/>
          <w:lang w:val="en-IE"/>
        </w:rPr>
        <w:t xml:space="preserve"> </w:t>
      </w:r>
      <w:r w:rsidRPr="002B0D84">
        <w:rPr>
          <w:noProof/>
        </w:rPr>
        <w:t>would be</w:t>
      </w:r>
      <w:r w:rsidRPr="002B0D84">
        <w:rPr>
          <w:noProof/>
          <w:lang w:val="en-IE"/>
        </w:rPr>
        <w:t xml:space="preserve"> in line with SO1.3.1, ensuring effective action on the EU’s fair share of international aviation emissions because departing flights would be covered by a meaningful carbon price.</w:t>
      </w:r>
      <w:r w:rsidRPr="002B0D84">
        <w:rPr>
          <w:noProof/>
        </w:rPr>
        <w:t xml:space="preserve"> This means that the EU ETS carbon price would apply to flights within and between EEA States, as well as to departing flights to Switzerland and the UK. For countries that should be implementing CORSIA offsetting but are not doing so, the EU ETS would apply in both directions. CORSIA would apply to remaining flights between participating countries. Emissions between some countries would not be covered by a carbon price</w:t>
      </w:r>
      <w:r w:rsidRPr="1FC5E705">
        <w:rPr>
          <w:noProof/>
          <w:vertAlign w:val="superscript"/>
        </w:rPr>
        <w:footnoteReference w:id="67"/>
      </w:r>
      <w:r w:rsidRPr="002B0D84">
        <w:rPr>
          <w:noProof/>
        </w:rPr>
        <w:t>. States would continue to apply CORSIA so that airlines offset emissions above the negotiated baseline</w:t>
      </w:r>
      <w:r w:rsidRPr="1FC5E705">
        <w:rPr>
          <w:noProof/>
          <w:vertAlign w:val="superscript"/>
        </w:rPr>
        <w:footnoteReference w:id="68"/>
      </w:r>
      <w:r w:rsidRPr="002B0D84">
        <w:rPr>
          <w:noProof/>
        </w:rPr>
        <w:t xml:space="preserve"> until 2035 when CORSIA is set to end. In advance of CORSIA’s sunset clause, a new solution to ensure meaningful carbon pricing of international aviation emissions would need to be put into effect. The Commission would report on the application of CORSIA and changes in emissions coverage in its annual Carbon Market Report. On SAF support, in line with the unchanged ETS scope, support would expire at the end of 2030, and it would be allocated in the same manner as today (ETS Directive as in force since 2023). PO1 aviation measures require no adjustments to the ETS cap.</w:t>
      </w:r>
      <w:bookmarkEnd w:id="608"/>
    </w:p>
    <w:p w14:paraId="04D31AA1" w14:textId="233F7B2B" w:rsidR="00A71942" w:rsidRPr="002B0D84" w:rsidRDefault="00A71942" w:rsidP="00E276C8">
      <w:pPr>
        <w:spacing w:line="240" w:lineRule="auto"/>
        <w:rPr>
          <w:noProof/>
          <w:lang w:val="en-IE"/>
        </w:rPr>
      </w:pPr>
      <w:bookmarkStart w:id="610" w:name="_Toc211963099"/>
      <w:r w:rsidRPr="002B0D84">
        <w:rPr>
          <w:b/>
          <w:bCs/>
          <w:noProof/>
        </w:rPr>
        <w:t xml:space="preserve">Policy Option 2 (PO2): </w:t>
      </w:r>
      <w:r w:rsidRPr="002B0D84">
        <w:rPr>
          <w:noProof/>
        </w:rPr>
        <w:t>Under PO2, the Commission assessment</w:t>
      </w:r>
      <w:r w:rsidRPr="002B0D84">
        <w:rPr>
          <w:noProof/>
          <w:vertAlign w:val="superscript"/>
        </w:rPr>
        <w:fldChar w:fldCharType="begin"/>
      </w:r>
      <w:r w:rsidRPr="002B0D84">
        <w:rPr>
          <w:noProof/>
          <w:vertAlign w:val="superscript"/>
        </w:rPr>
        <w:instrText xml:space="preserve"> NOTEREF _Ref211526146 \h  \* MERGEFORMAT </w:instrText>
      </w:r>
      <w:r w:rsidRPr="002B0D84">
        <w:rPr>
          <w:noProof/>
          <w:vertAlign w:val="superscript"/>
        </w:rPr>
      </w:r>
      <w:r w:rsidRPr="002B0D84">
        <w:rPr>
          <w:noProof/>
          <w:vertAlign w:val="superscript"/>
        </w:rPr>
        <w:fldChar w:fldCharType="end"/>
      </w:r>
      <w:r w:rsidRPr="002B0D84">
        <w:rPr>
          <w:noProof/>
        </w:rPr>
        <w:t xml:space="preserve"> of CORSIA is negative: </w:t>
      </w:r>
      <w:r w:rsidRPr="002B0D84">
        <w:rPr>
          <w:noProof/>
          <w:lang w:val="en-IE"/>
        </w:rPr>
        <w:t>the</w:t>
      </w:r>
      <w:r w:rsidRPr="002B0D84">
        <w:rPr>
          <w:noProof/>
        </w:rPr>
        <w:t>re would be exemption so that the</w:t>
      </w:r>
      <w:r w:rsidRPr="002B0D84">
        <w:rPr>
          <w:noProof/>
          <w:lang w:val="en-IE"/>
        </w:rPr>
        <w:t xml:space="preserve"> EU ETS would </w:t>
      </w:r>
      <w:r w:rsidRPr="002B0D84">
        <w:rPr>
          <w:noProof/>
          <w:u w:val="single"/>
          <w:lang w:val="en-IE"/>
        </w:rPr>
        <w:t>not</w:t>
      </w:r>
      <w:r w:rsidRPr="002B0D84">
        <w:rPr>
          <w:noProof/>
          <w:lang w:val="en-IE"/>
        </w:rPr>
        <w:t xml:space="preserve"> apply to flights arriving in the EEA from a country outside the EEA. The EU ETS would apply to departing flights from the EEA to less than </w:t>
      </w:r>
      <w:r w:rsidRPr="002B0D84">
        <w:rPr>
          <w:noProof/>
        </w:rPr>
        <w:t xml:space="preserve">about </w:t>
      </w:r>
      <w:r w:rsidRPr="002B0D84">
        <w:rPr>
          <w:noProof/>
          <w:lang w:val="en-IE"/>
        </w:rPr>
        <w:t>90 destination countries</w:t>
      </w:r>
      <w:r w:rsidRPr="1FC5E705">
        <w:rPr>
          <w:noProof/>
          <w:vertAlign w:val="superscript"/>
        </w:rPr>
        <w:footnoteReference w:id="69"/>
      </w:r>
      <w:r w:rsidRPr="002B0D84">
        <w:rPr>
          <w:noProof/>
          <w:lang w:val="en-IE"/>
        </w:rPr>
        <w:t>. Where the ETS carbon price applies and the country participates in CORSIA, airlines can deduct CORSIA offsetting costs to avoid double charging. This approach is in line with SO1.3.1, ensuring effective action on the EU’s fair share of international aviation emissions because it ensures that departing flights are covered by a meaningful carbon price. The geographic scope is expected to result in increased ETS revenues, part of which would be used to extend support for SAF uplift by an additional amount of allowances</w:t>
      </w:r>
      <w:r w:rsidRPr="1FC5E705">
        <w:rPr>
          <w:noProof/>
          <w:vertAlign w:val="superscript"/>
        </w:rPr>
        <w:footnoteReference w:id="70"/>
      </w:r>
      <w:r w:rsidRPr="002B0D84">
        <w:rPr>
          <w:noProof/>
          <w:lang w:val="en-IE"/>
        </w:rPr>
        <w:t xml:space="preserve">. In line with Objective SO1.1.1, enabling investments, this support is coupled with conditionalities such as having a longer term off-take contract agreement in place. </w:t>
      </w:r>
      <w:r w:rsidRPr="002B0D84">
        <w:rPr>
          <w:noProof/>
        </w:rPr>
        <w:t>PO2 would entail cap adjustments proportionate to the extension in scope of the ETS carbon price.</w:t>
      </w:r>
      <w:bookmarkEnd w:id="610"/>
      <w:r w:rsidRPr="002B0D84">
        <w:rPr>
          <w:noProof/>
        </w:rPr>
        <w:t xml:space="preserve"> To preserve the environmental integrity of the ETS, the deduction would be accompanied by the cancellation of an equivalent amount of EU ETS allowances.</w:t>
      </w:r>
    </w:p>
    <w:p w14:paraId="31B14178" w14:textId="77777777" w:rsidR="00A71942" w:rsidRPr="002B0D84" w:rsidRDefault="00A71942" w:rsidP="00E276C8">
      <w:pPr>
        <w:spacing w:line="240" w:lineRule="auto"/>
        <w:rPr>
          <w:noProof/>
        </w:rPr>
      </w:pPr>
      <w:bookmarkStart w:id="611" w:name="_Toc211963100"/>
      <w:r w:rsidRPr="1FC5E705">
        <w:rPr>
          <w:b/>
          <w:bCs/>
          <w:noProof/>
        </w:rPr>
        <w:t xml:space="preserve">Policy Option 3 (PO3): </w:t>
      </w:r>
      <w:r>
        <w:rPr>
          <w:noProof/>
        </w:rPr>
        <w:t xml:space="preserve">The geographic scope of application would be the same as under PO2, because larger geographic coverage would go beyond SO1.3.1 (ensuring effective action on the EU’s fair share of international aviation emissions). The geographic scope is expected to result in increased ETS revenues, of which </w:t>
      </w:r>
      <w:r w:rsidRPr="1FC5E705">
        <w:rPr>
          <w:rFonts w:eastAsia="Times New Roman"/>
          <w:noProof/>
        </w:rPr>
        <w:t xml:space="preserve">a larger part (compared to PO2) </w:t>
      </w:r>
      <w:r>
        <w:rPr>
          <w:noProof/>
        </w:rPr>
        <w:t>would be used to extend support for SAF uplift until the end of 2035, with the same conditionalities as in PO2. PO3 would entail the same cap adjustments as PO2.</w:t>
      </w:r>
      <w:bookmarkEnd w:id="611"/>
    </w:p>
    <w:p w14:paraId="78296E29" w14:textId="77777777" w:rsidR="00A71942" w:rsidRPr="002B0D84" w:rsidRDefault="00A71942" w:rsidP="00E276C8">
      <w:pPr>
        <w:pStyle w:val="Tabletitle"/>
        <w:spacing w:after="120" w:line="240" w:lineRule="auto"/>
        <w:ind w:left="720"/>
        <w:rPr>
          <w:noProof/>
          <w:lang w:val="en-IE" w:eastAsia="en-IE"/>
        </w:rPr>
      </w:pPr>
      <w:bookmarkStart w:id="612" w:name="_Toc232608948"/>
      <w:bookmarkStart w:id="613" w:name="_Toc232609684"/>
      <w:bookmarkStart w:id="614" w:name="_Toc232611559"/>
      <w:bookmarkStart w:id="615" w:name="_Toc232672618"/>
      <w:bookmarkStart w:id="616" w:name="_Toc232758470"/>
      <w:r>
        <w:rPr>
          <w:noProof/>
        </w:rPr>
        <w:t>Policy measures for aviation</w:t>
      </w:r>
      <w:bookmarkEnd w:id="612"/>
      <w:bookmarkEnd w:id="613"/>
      <w:bookmarkEnd w:id="614"/>
      <w:bookmarkEnd w:id="615"/>
      <w:bookmarkEnd w:id="616"/>
      <w:r>
        <w:rPr>
          <w:noProof/>
        </w:rPr>
        <w:t xml:space="preserve"> </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097"/>
        <w:gridCol w:w="1237"/>
        <w:gridCol w:w="1139"/>
        <w:gridCol w:w="1335"/>
      </w:tblGrid>
      <w:tr w:rsidR="00A71942" w:rsidRPr="002B0D84" w14:paraId="1B8673A7" w14:textId="77777777" w:rsidTr="1FC5E705">
        <w:trPr>
          <w:trHeight w:val="144"/>
        </w:trPr>
        <w:tc>
          <w:tcPr>
            <w:tcW w:w="1809" w:type="dxa"/>
            <w:hideMark/>
          </w:tcPr>
          <w:p w14:paraId="6874055E" w14:textId="77777777" w:rsidR="00A71942" w:rsidRPr="002B0D84" w:rsidRDefault="00A71942" w:rsidP="00E276C8">
            <w:pPr>
              <w:spacing w:line="240" w:lineRule="auto"/>
              <w:rPr>
                <w:b/>
                <w:bCs/>
                <w:noProof/>
                <w:sz w:val="22"/>
                <w:szCs w:val="22"/>
                <w:lang w:val="en-IE" w:eastAsia="en-IE"/>
              </w:rPr>
            </w:pPr>
            <w:bookmarkStart w:id="617" w:name="_Toc211963102"/>
            <w:r w:rsidRPr="1FC5E705">
              <w:rPr>
                <w:b/>
                <w:bCs/>
                <w:noProof/>
                <w:sz w:val="22"/>
                <w:szCs w:val="22"/>
              </w:rPr>
              <w:t>Review element</w:t>
            </w:r>
            <w:bookmarkEnd w:id="617"/>
            <w:r w:rsidRPr="1FC5E705">
              <w:rPr>
                <w:b/>
                <w:bCs/>
                <w:noProof/>
                <w:sz w:val="22"/>
                <w:szCs w:val="22"/>
              </w:rPr>
              <w:t> </w:t>
            </w:r>
          </w:p>
        </w:tc>
        <w:tc>
          <w:tcPr>
            <w:tcW w:w="3097" w:type="dxa"/>
            <w:hideMark/>
          </w:tcPr>
          <w:p w14:paraId="45FEC555" w14:textId="77777777" w:rsidR="00A71942" w:rsidRPr="002B0D84" w:rsidRDefault="00A71942" w:rsidP="00E276C8">
            <w:pPr>
              <w:spacing w:line="240" w:lineRule="auto"/>
              <w:rPr>
                <w:b/>
                <w:bCs/>
                <w:noProof/>
                <w:sz w:val="22"/>
                <w:szCs w:val="22"/>
                <w:lang w:val="en-IE" w:eastAsia="en-IE"/>
              </w:rPr>
            </w:pPr>
            <w:bookmarkStart w:id="618" w:name="_Toc211963103"/>
            <w:r w:rsidRPr="1FC5E705">
              <w:rPr>
                <w:b/>
                <w:bCs/>
                <w:noProof/>
                <w:sz w:val="22"/>
                <w:szCs w:val="22"/>
              </w:rPr>
              <w:t>Policy measure</w:t>
            </w:r>
            <w:bookmarkEnd w:id="618"/>
            <w:r w:rsidRPr="1FC5E705">
              <w:rPr>
                <w:b/>
                <w:bCs/>
                <w:noProof/>
                <w:sz w:val="22"/>
                <w:szCs w:val="22"/>
              </w:rPr>
              <w:t> </w:t>
            </w:r>
          </w:p>
        </w:tc>
        <w:tc>
          <w:tcPr>
            <w:tcW w:w="1237" w:type="dxa"/>
            <w:hideMark/>
          </w:tcPr>
          <w:p w14:paraId="59E53414" w14:textId="77777777" w:rsidR="00A71942" w:rsidRPr="002B0D84" w:rsidRDefault="00A71942" w:rsidP="00E276C8">
            <w:pPr>
              <w:spacing w:line="240" w:lineRule="auto"/>
              <w:jc w:val="center"/>
              <w:rPr>
                <w:b/>
                <w:bCs/>
                <w:noProof/>
                <w:sz w:val="22"/>
                <w:szCs w:val="22"/>
                <w:lang w:val="en-IE" w:eastAsia="en-IE"/>
              </w:rPr>
            </w:pPr>
            <w:bookmarkStart w:id="619" w:name="_Toc211963104"/>
            <w:r w:rsidRPr="1FC5E705">
              <w:rPr>
                <w:b/>
                <w:bCs/>
                <w:noProof/>
                <w:sz w:val="22"/>
                <w:szCs w:val="22"/>
              </w:rPr>
              <w:t>PO1</w:t>
            </w:r>
            <w:bookmarkEnd w:id="619"/>
          </w:p>
        </w:tc>
        <w:tc>
          <w:tcPr>
            <w:tcW w:w="1139" w:type="dxa"/>
            <w:hideMark/>
          </w:tcPr>
          <w:p w14:paraId="490BDA2D" w14:textId="77777777" w:rsidR="00A71942" w:rsidRPr="002B0D84" w:rsidRDefault="00A71942" w:rsidP="00E276C8">
            <w:pPr>
              <w:spacing w:line="240" w:lineRule="auto"/>
              <w:jc w:val="center"/>
              <w:rPr>
                <w:b/>
                <w:bCs/>
                <w:noProof/>
                <w:sz w:val="22"/>
                <w:szCs w:val="22"/>
                <w:lang w:val="en-IE" w:eastAsia="en-IE"/>
              </w:rPr>
            </w:pPr>
            <w:bookmarkStart w:id="620" w:name="_Toc211963105"/>
            <w:r w:rsidRPr="1FC5E705">
              <w:rPr>
                <w:b/>
                <w:bCs/>
                <w:noProof/>
                <w:sz w:val="22"/>
                <w:szCs w:val="22"/>
              </w:rPr>
              <w:t>PO2</w:t>
            </w:r>
            <w:bookmarkEnd w:id="620"/>
          </w:p>
        </w:tc>
        <w:tc>
          <w:tcPr>
            <w:tcW w:w="1335" w:type="dxa"/>
            <w:hideMark/>
          </w:tcPr>
          <w:p w14:paraId="66BDD44D" w14:textId="77777777" w:rsidR="00A71942" w:rsidRPr="002B0D84" w:rsidRDefault="00A71942" w:rsidP="00E276C8">
            <w:pPr>
              <w:spacing w:line="240" w:lineRule="auto"/>
              <w:jc w:val="center"/>
              <w:rPr>
                <w:b/>
                <w:bCs/>
                <w:noProof/>
                <w:sz w:val="22"/>
                <w:szCs w:val="22"/>
                <w:lang w:val="en-IE" w:eastAsia="en-IE"/>
              </w:rPr>
            </w:pPr>
            <w:bookmarkStart w:id="621" w:name="_Toc211963106"/>
            <w:r w:rsidRPr="1FC5E705">
              <w:rPr>
                <w:b/>
                <w:bCs/>
                <w:noProof/>
                <w:sz w:val="22"/>
                <w:szCs w:val="22"/>
              </w:rPr>
              <w:t>PO3</w:t>
            </w:r>
            <w:bookmarkEnd w:id="621"/>
          </w:p>
        </w:tc>
      </w:tr>
      <w:tr w:rsidR="00A71942" w:rsidRPr="002B0D84" w14:paraId="362AC3F7" w14:textId="77777777" w:rsidTr="1FC5E705">
        <w:trPr>
          <w:trHeight w:val="340"/>
        </w:trPr>
        <w:tc>
          <w:tcPr>
            <w:tcW w:w="1809" w:type="dxa"/>
            <w:vMerge w:val="restart"/>
            <w:hideMark/>
          </w:tcPr>
          <w:p w14:paraId="100F93CE" w14:textId="77777777" w:rsidR="00A71942" w:rsidRPr="002B0D84" w:rsidRDefault="00A71942" w:rsidP="00E276C8">
            <w:pPr>
              <w:spacing w:line="240" w:lineRule="auto"/>
              <w:rPr>
                <w:b/>
                <w:bCs/>
                <w:noProof/>
                <w:sz w:val="22"/>
                <w:szCs w:val="22"/>
                <w:lang w:val="en-IE" w:eastAsia="en-IE"/>
              </w:rPr>
            </w:pPr>
            <w:bookmarkStart w:id="622" w:name="_Toc211963107"/>
            <w:r w:rsidRPr="1FC5E705">
              <w:rPr>
                <w:b/>
                <w:bCs/>
                <w:noProof/>
                <w:sz w:val="22"/>
                <w:szCs w:val="22"/>
              </w:rPr>
              <w:t>Geographic scope</w:t>
            </w:r>
            <w:bookmarkEnd w:id="622"/>
          </w:p>
        </w:tc>
        <w:tc>
          <w:tcPr>
            <w:tcW w:w="3097" w:type="dxa"/>
            <w:hideMark/>
          </w:tcPr>
          <w:p w14:paraId="40A5F9E9" w14:textId="77777777" w:rsidR="00A71942" w:rsidRPr="002B0D84" w:rsidRDefault="00A71942" w:rsidP="00E276C8">
            <w:pPr>
              <w:spacing w:line="240" w:lineRule="auto"/>
              <w:rPr>
                <w:noProof/>
                <w:sz w:val="22"/>
                <w:szCs w:val="22"/>
                <w:lang w:val="en-IE" w:eastAsia="en-IE"/>
              </w:rPr>
            </w:pPr>
            <w:bookmarkStart w:id="623" w:name="_Toc211963108"/>
            <w:r w:rsidRPr="1FC5E705">
              <w:rPr>
                <w:noProof/>
                <w:sz w:val="22"/>
                <w:szCs w:val="22"/>
              </w:rPr>
              <w:t>AS1: clean cut</w:t>
            </w:r>
            <w:bookmarkEnd w:id="623"/>
          </w:p>
        </w:tc>
        <w:tc>
          <w:tcPr>
            <w:tcW w:w="1237" w:type="dxa"/>
            <w:hideMark/>
          </w:tcPr>
          <w:p w14:paraId="3A7142B3" w14:textId="77777777" w:rsidR="00A71942" w:rsidRPr="002B0D84" w:rsidRDefault="00A71942" w:rsidP="00E276C8">
            <w:pPr>
              <w:spacing w:line="240" w:lineRule="auto"/>
              <w:jc w:val="center"/>
              <w:rPr>
                <w:noProof/>
                <w:sz w:val="22"/>
                <w:szCs w:val="22"/>
                <w:lang w:val="en-IE" w:eastAsia="en-IE"/>
              </w:rPr>
            </w:pPr>
            <w:bookmarkStart w:id="624" w:name="_Toc211963109"/>
            <w:r w:rsidRPr="1FC5E705">
              <w:rPr>
                <w:noProof/>
                <w:sz w:val="22"/>
                <w:szCs w:val="22"/>
              </w:rPr>
              <w:t>X</w:t>
            </w:r>
            <w:bookmarkEnd w:id="624"/>
          </w:p>
        </w:tc>
        <w:tc>
          <w:tcPr>
            <w:tcW w:w="1139" w:type="dxa"/>
            <w:hideMark/>
          </w:tcPr>
          <w:p w14:paraId="2618ABD0" w14:textId="77777777" w:rsidR="00A71942" w:rsidRPr="002B0D84" w:rsidRDefault="00A71942" w:rsidP="00E276C8">
            <w:pPr>
              <w:spacing w:line="240" w:lineRule="auto"/>
              <w:jc w:val="center"/>
              <w:rPr>
                <w:noProof/>
                <w:sz w:val="22"/>
                <w:szCs w:val="22"/>
                <w:lang w:val="en-IE" w:eastAsia="en-IE"/>
              </w:rPr>
            </w:pPr>
          </w:p>
        </w:tc>
        <w:tc>
          <w:tcPr>
            <w:tcW w:w="1335" w:type="dxa"/>
            <w:hideMark/>
          </w:tcPr>
          <w:p w14:paraId="1B841BCA" w14:textId="77777777" w:rsidR="00A71942" w:rsidRPr="002B0D84" w:rsidRDefault="00A71942" w:rsidP="00E276C8">
            <w:pPr>
              <w:spacing w:line="240" w:lineRule="auto"/>
              <w:jc w:val="center"/>
              <w:rPr>
                <w:noProof/>
                <w:sz w:val="22"/>
                <w:szCs w:val="22"/>
                <w:lang w:val="en-IE" w:eastAsia="en-IE"/>
              </w:rPr>
            </w:pPr>
          </w:p>
        </w:tc>
      </w:tr>
      <w:tr w:rsidR="00A71942" w:rsidRPr="002B0D84" w14:paraId="5D7844B2" w14:textId="77777777" w:rsidTr="1FC5E705">
        <w:trPr>
          <w:trHeight w:val="340"/>
        </w:trPr>
        <w:tc>
          <w:tcPr>
            <w:tcW w:w="1809" w:type="dxa"/>
            <w:vMerge/>
            <w:hideMark/>
          </w:tcPr>
          <w:p w14:paraId="21AC9B52" w14:textId="77777777" w:rsidR="00A71942" w:rsidRPr="002B0D84" w:rsidRDefault="00A71942" w:rsidP="00E276C8">
            <w:pPr>
              <w:spacing w:line="240" w:lineRule="auto"/>
              <w:rPr>
                <w:b/>
                <w:bCs/>
                <w:noProof/>
                <w:sz w:val="22"/>
                <w:szCs w:val="22"/>
                <w:lang w:val="en-IE" w:eastAsia="en-IE"/>
              </w:rPr>
            </w:pPr>
          </w:p>
        </w:tc>
        <w:tc>
          <w:tcPr>
            <w:tcW w:w="3097" w:type="dxa"/>
            <w:hideMark/>
          </w:tcPr>
          <w:p w14:paraId="75CF624A" w14:textId="77777777" w:rsidR="00A71942" w:rsidRPr="002B0D84" w:rsidRDefault="00A71942" w:rsidP="00E276C8">
            <w:pPr>
              <w:spacing w:line="240" w:lineRule="auto"/>
              <w:rPr>
                <w:noProof/>
                <w:sz w:val="22"/>
                <w:szCs w:val="22"/>
                <w:lang w:val="en-IE" w:eastAsia="en-IE"/>
              </w:rPr>
            </w:pPr>
            <w:bookmarkStart w:id="625" w:name="_Toc211963110"/>
            <w:r w:rsidRPr="1FC5E705">
              <w:rPr>
                <w:noProof/>
                <w:sz w:val="22"/>
                <w:szCs w:val="22"/>
              </w:rPr>
              <w:t>AS2: departing flights</w:t>
            </w:r>
            <w:bookmarkEnd w:id="625"/>
          </w:p>
        </w:tc>
        <w:tc>
          <w:tcPr>
            <w:tcW w:w="1237" w:type="dxa"/>
            <w:hideMark/>
          </w:tcPr>
          <w:p w14:paraId="2FFAB85B" w14:textId="77777777" w:rsidR="00A71942" w:rsidRPr="002B0D84" w:rsidRDefault="00A71942" w:rsidP="00E276C8">
            <w:pPr>
              <w:spacing w:line="240" w:lineRule="auto"/>
              <w:jc w:val="center"/>
              <w:rPr>
                <w:noProof/>
                <w:sz w:val="22"/>
                <w:szCs w:val="22"/>
                <w:lang w:val="en-IE" w:eastAsia="en-IE"/>
              </w:rPr>
            </w:pPr>
          </w:p>
        </w:tc>
        <w:tc>
          <w:tcPr>
            <w:tcW w:w="1139" w:type="dxa"/>
            <w:hideMark/>
          </w:tcPr>
          <w:p w14:paraId="407F3E1F" w14:textId="77777777" w:rsidR="00A71942" w:rsidRPr="002B0D84" w:rsidRDefault="00A71942" w:rsidP="00E276C8">
            <w:pPr>
              <w:spacing w:line="240" w:lineRule="auto"/>
              <w:jc w:val="center"/>
              <w:rPr>
                <w:noProof/>
                <w:sz w:val="22"/>
                <w:szCs w:val="22"/>
                <w:lang w:val="en-IE" w:eastAsia="en-IE"/>
              </w:rPr>
            </w:pPr>
            <w:bookmarkStart w:id="626" w:name="_Toc211963111"/>
            <w:r w:rsidRPr="1FC5E705">
              <w:rPr>
                <w:noProof/>
                <w:sz w:val="22"/>
                <w:szCs w:val="22"/>
              </w:rPr>
              <w:t>X</w:t>
            </w:r>
            <w:bookmarkEnd w:id="626"/>
          </w:p>
        </w:tc>
        <w:tc>
          <w:tcPr>
            <w:tcW w:w="1335" w:type="dxa"/>
          </w:tcPr>
          <w:p w14:paraId="6C7EF48A" w14:textId="77777777" w:rsidR="00A71942" w:rsidRPr="002B0D84" w:rsidRDefault="00A71942" w:rsidP="00E276C8">
            <w:pPr>
              <w:spacing w:line="240" w:lineRule="auto"/>
              <w:jc w:val="center"/>
              <w:rPr>
                <w:noProof/>
                <w:sz w:val="22"/>
                <w:szCs w:val="22"/>
                <w:lang w:val="en-IE" w:eastAsia="en-IE"/>
              </w:rPr>
            </w:pPr>
            <w:bookmarkStart w:id="627" w:name="_Toc211963112"/>
            <w:r w:rsidRPr="1FC5E705">
              <w:rPr>
                <w:noProof/>
                <w:sz w:val="22"/>
                <w:szCs w:val="22"/>
              </w:rPr>
              <w:t>X</w:t>
            </w:r>
            <w:bookmarkEnd w:id="627"/>
          </w:p>
        </w:tc>
      </w:tr>
      <w:tr w:rsidR="00A71942" w:rsidRPr="002B0D84" w14:paraId="25CC9971" w14:textId="77777777" w:rsidTr="1FC5E705">
        <w:trPr>
          <w:trHeight w:val="340"/>
        </w:trPr>
        <w:tc>
          <w:tcPr>
            <w:tcW w:w="1809" w:type="dxa"/>
            <w:vMerge w:val="restart"/>
            <w:hideMark/>
          </w:tcPr>
          <w:p w14:paraId="69F05686" w14:textId="77777777" w:rsidR="00A71942" w:rsidRPr="002B0D84" w:rsidRDefault="00A71942" w:rsidP="00E276C8">
            <w:pPr>
              <w:spacing w:line="240" w:lineRule="auto"/>
              <w:rPr>
                <w:b/>
                <w:bCs/>
                <w:noProof/>
                <w:sz w:val="22"/>
                <w:szCs w:val="22"/>
                <w:lang w:val="en-IE" w:eastAsia="en-IE"/>
              </w:rPr>
            </w:pPr>
            <w:bookmarkStart w:id="628" w:name="_Toc211963113"/>
            <w:r w:rsidRPr="1FC5E705">
              <w:rPr>
                <w:b/>
                <w:bCs/>
                <w:noProof/>
                <w:sz w:val="22"/>
                <w:szCs w:val="22"/>
              </w:rPr>
              <w:t>Financial support for SAF uptake</w:t>
            </w:r>
            <w:bookmarkEnd w:id="628"/>
            <w:r w:rsidRPr="1FC5E705">
              <w:rPr>
                <w:b/>
                <w:bCs/>
                <w:noProof/>
                <w:sz w:val="22"/>
                <w:szCs w:val="22"/>
              </w:rPr>
              <w:t> </w:t>
            </w:r>
          </w:p>
        </w:tc>
        <w:tc>
          <w:tcPr>
            <w:tcW w:w="3097" w:type="dxa"/>
            <w:hideMark/>
          </w:tcPr>
          <w:p w14:paraId="4434482B" w14:textId="77777777" w:rsidR="00A71942" w:rsidRPr="002B0D84" w:rsidRDefault="00A71942" w:rsidP="00E276C8">
            <w:pPr>
              <w:spacing w:line="240" w:lineRule="auto"/>
              <w:rPr>
                <w:noProof/>
                <w:sz w:val="22"/>
                <w:szCs w:val="22"/>
                <w:lang w:val="en-IE" w:eastAsia="en-IE"/>
              </w:rPr>
            </w:pPr>
            <w:bookmarkStart w:id="629" w:name="_Toc211963114"/>
            <w:r w:rsidRPr="1FC5E705">
              <w:rPr>
                <w:noProof/>
                <w:sz w:val="22"/>
                <w:szCs w:val="22"/>
              </w:rPr>
              <w:t>SAF0: status quo</w:t>
            </w:r>
            <w:bookmarkEnd w:id="629"/>
          </w:p>
        </w:tc>
        <w:tc>
          <w:tcPr>
            <w:tcW w:w="1237" w:type="dxa"/>
            <w:hideMark/>
          </w:tcPr>
          <w:p w14:paraId="24C16C45" w14:textId="77777777" w:rsidR="00A71942" w:rsidRPr="002B0D84" w:rsidRDefault="00A71942" w:rsidP="00E276C8">
            <w:pPr>
              <w:spacing w:line="240" w:lineRule="auto"/>
              <w:jc w:val="center"/>
              <w:rPr>
                <w:noProof/>
                <w:sz w:val="22"/>
                <w:szCs w:val="22"/>
                <w:lang w:val="en-IE" w:eastAsia="en-IE"/>
              </w:rPr>
            </w:pPr>
            <w:bookmarkStart w:id="630" w:name="_Toc211963115"/>
            <w:r w:rsidRPr="1FC5E705">
              <w:rPr>
                <w:noProof/>
                <w:sz w:val="22"/>
                <w:szCs w:val="22"/>
              </w:rPr>
              <w:t>X</w:t>
            </w:r>
            <w:bookmarkEnd w:id="630"/>
          </w:p>
        </w:tc>
        <w:tc>
          <w:tcPr>
            <w:tcW w:w="1139" w:type="dxa"/>
            <w:hideMark/>
          </w:tcPr>
          <w:p w14:paraId="2B6353F5" w14:textId="77777777" w:rsidR="00A71942" w:rsidRPr="002B0D84" w:rsidRDefault="00A71942" w:rsidP="00E276C8">
            <w:pPr>
              <w:spacing w:line="240" w:lineRule="auto"/>
              <w:jc w:val="center"/>
              <w:rPr>
                <w:noProof/>
                <w:sz w:val="22"/>
                <w:szCs w:val="22"/>
                <w:lang w:val="en-IE" w:eastAsia="en-IE"/>
              </w:rPr>
            </w:pPr>
          </w:p>
        </w:tc>
        <w:tc>
          <w:tcPr>
            <w:tcW w:w="1335" w:type="dxa"/>
          </w:tcPr>
          <w:p w14:paraId="1C989D05" w14:textId="77777777" w:rsidR="00A71942" w:rsidRPr="002B0D84" w:rsidRDefault="00A71942" w:rsidP="00E276C8">
            <w:pPr>
              <w:spacing w:line="240" w:lineRule="auto"/>
              <w:jc w:val="center"/>
              <w:rPr>
                <w:noProof/>
                <w:sz w:val="22"/>
                <w:szCs w:val="22"/>
                <w:lang w:val="en-IE" w:eastAsia="en-IE"/>
              </w:rPr>
            </w:pPr>
          </w:p>
        </w:tc>
      </w:tr>
      <w:tr w:rsidR="00A71942" w:rsidRPr="002B0D84" w14:paraId="5F4717A7" w14:textId="77777777" w:rsidTr="1FC5E705">
        <w:trPr>
          <w:trHeight w:val="340"/>
        </w:trPr>
        <w:tc>
          <w:tcPr>
            <w:tcW w:w="1809" w:type="dxa"/>
            <w:vMerge/>
            <w:hideMark/>
          </w:tcPr>
          <w:p w14:paraId="3527489C" w14:textId="77777777" w:rsidR="00A71942" w:rsidRPr="002B0D84" w:rsidRDefault="00A71942" w:rsidP="00E276C8">
            <w:pPr>
              <w:spacing w:line="240" w:lineRule="auto"/>
              <w:rPr>
                <w:b/>
                <w:bCs/>
                <w:noProof/>
                <w:sz w:val="22"/>
                <w:szCs w:val="22"/>
                <w:lang w:val="en-IE" w:eastAsia="en-IE"/>
              </w:rPr>
            </w:pPr>
          </w:p>
        </w:tc>
        <w:tc>
          <w:tcPr>
            <w:tcW w:w="3097" w:type="dxa"/>
            <w:hideMark/>
          </w:tcPr>
          <w:p w14:paraId="3F196A3B" w14:textId="77777777" w:rsidR="00A71942" w:rsidRPr="002B0D84" w:rsidRDefault="00A71942" w:rsidP="00E276C8">
            <w:pPr>
              <w:spacing w:line="240" w:lineRule="auto"/>
              <w:rPr>
                <w:noProof/>
                <w:sz w:val="22"/>
                <w:szCs w:val="22"/>
                <w:lang w:val="en-IE" w:eastAsia="en-IE"/>
              </w:rPr>
            </w:pPr>
            <w:bookmarkStart w:id="631" w:name="_Toc211963116"/>
            <w:r w:rsidRPr="1FC5E705">
              <w:rPr>
                <w:noProof/>
                <w:sz w:val="22"/>
                <w:szCs w:val="22"/>
              </w:rPr>
              <w:t>SAF1: medium extension</w:t>
            </w:r>
            <w:bookmarkEnd w:id="631"/>
          </w:p>
        </w:tc>
        <w:tc>
          <w:tcPr>
            <w:tcW w:w="1237" w:type="dxa"/>
            <w:hideMark/>
          </w:tcPr>
          <w:p w14:paraId="4D0D1FF1" w14:textId="77777777" w:rsidR="00A71942" w:rsidRPr="002B0D84" w:rsidRDefault="00A71942" w:rsidP="00E276C8">
            <w:pPr>
              <w:spacing w:line="240" w:lineRule="auto"/>
              <w:jc w:val="center"/>
              <w:rPr>
                <w:noProof/>
                <w:sz w:val="22"/>
                <w:szCs w:val="22"/>
                <w:lang w:val="en-IE" w:eastAsia="en-IE"/>
              </w:rPr>
            </w:pPr>
          </w:p>
        </w:tc>
        <w:tc>
          <w:tcPr>
            <w:tcW w:w="1139" w:type="dxa"/>
            <w:hideMark/>
          </w:tcPr>
          <w:p w14:paraId="0B8F3779" w14:textId="77777777" w:rsidR="00A71942" w:rsidRPr="002B0D84" w:rsidRDefault="00A71942" w:rsidP="00E276C8">
            <w:pPr>
              <w:spacing w:line="240" w:lineRule="auto"/>
              <w:jc w:val="center"/>
              <w:rPr>
                <w:noProof/>
                <w:sz w:val="22"/>
                <w:szCs w:val="22"/>
                <w:lang w:val="en-IE" w:eastAsia="en-IE"/>
              </w:rPr>
            </w:pPr>
            <w:bookmarkStart w:id="632" w:name="_Toc211963117"/>
            <w:r w:rsidRPr="1FC5E705">
              <w:rPr>
                <w:noProof/>
                <w:sz w:val="22"/>
                <w:szCs w:val="22"/>
              </w:rPr>
              <w:t>X</w:t>
            </w:r>
            <w:bookmarkEnd w:id="632"/>
          </w:p>
        </w:tc>
        <w:tc>
          <w:tcPr>
            <w:tcW w:w="1335" w:type="dxa"/>
          </w:tcPr>
          <w:p w14:paraId="104FC50C" w14:textId="77777777" w:rsidR="00A71942" w:rsidRPr="002B0D84" w:rsidRDefault="00A71942" w:rsidP="00E276C8">
            <w:pPr>
              <w:spacing w:line="240" w:lineRule="auto"/>
              <w:jc w:val="center"/>
              <w:rPr>
                <w:noProof/>
                <w:sz w:val="22"/>
                <w:szCs w:val="22"/>
                <w:lang w:val="en-IE" w:eastAsia="en-IE"/>
              </w:rPr>
            </w:pPr>
          </w:p>
        </w:tc>
      </w:tr>
      <w:tr w:rsidR="00A71942" w:rsidRPr="002B0D84" w14:paraId="3EFFDB46" w14:textId="77777777" w:rsidTr="1FC5E705">
        <w:trPr>
          <w:trHeight w:val="340"/>
        </w:trPr>
        <w:tc>
          <w:tcPr>
            <w:tcW w:w="1809" w:type="dxa"/>
            <w:vMerge/>
            <w:hideMark/>
          </w:tcPr>
          <w:p w14:paraId="456347A5" w14:textId="77777777" w:rsidR="00A71942" w:rsidRPr="002B0D84" w:rsidRDefault="00A71942" w:rsidP="00E276C8">
            <w:pPr>
              <w:spacing w:line="240" w:lineRule="auto"/>
              <w:rPr>
                <w:b/>
                <w:bCs/>
                <w:noProof/>
                <w:sz w:val="22"/>
                <w:szCs w:val="22"/>
                <w:lang w:val="en-IE" w:eastAsia="en-IE"/>
              </w:rPr>
            </w:pPr>
          </w:p>
        </w:tc>
        <w:tc>
          <w:tcPr>
            <w:tcW w:w="3097" w:type="dxa"/>
            <w:hideMark/>
          </w:tcPr>
          <w:p w14:paraId="0CC066F3" w14:textId="77777777" w:rsidR="00A71942" w:rsidRPr="002B0D84" w:rsidRDefault="00A71942" w:rsidP="00E276C8">
            <w:pPr>
              <w:spacing w:line="240" w:lineRule="auto"/>
              <w:rPr>
                <w:noProof/>
                <w:sz w:val="22"/>
                <w:szCs w:val="22"/>
                <w:lang w:val="en-IE" w:eastAsia="en-IE"/>
              </w:rPr>
            </w:pPr>
            <w:bookmarkStart w:id="633" w:name="_Toc211963118"/>
            <w:r w:rsidRPr="1FC5E705">
              <w:rPr>
                <w:noProof/>
                <w:sz w:val="22"/>
                <w:szCs w:val="22"/>
              </w:rPr>
              <w:t>SAF2: larger extension</w:t>
            </w:r>
            <w:bookmarkEnd w:id="633"/>
          </w:p>
        </w:tc>
        <w:tc>
          <w:tcPr>
            <w:tcW w:w="1237" w:type="dxa"/>
            <w:hideMark/>
          </w:tcPr>
          <w:p w14:paraId="4C3A423B" w14:textId="77777777" w:rsidR="00A71942" w:rsidRPr="002B0D84" w:rsidRDefault="00A71942" w:rsidP="00E276C8">
            <w:pPr>
              <w:spacing w:line="240" w:lineRule="auto"/>
              <w:jc w:val="center"/>
              <w:rPr>
                <w:noProof/>
                <w:sz w:val="22"/>
                <w:szCs w:val="22"/>
                <w:lang w:val="en-IE" w:eastAsia="en-IE"/>
              </w:rPr>
            </w:pPr>
          </w:p>
        </w:tc>
        <w:tc>
          <w:tcPr>
            <w:tcW w:w="1139" w:type="dxa"/>
            <w:hideMark/>
          </w:tcPr>
          <w:p w14:paraId="720BB5FC" w14:textId="77777777" w:rsidR="00A71942" w:rsidRPr="002B0D84" w:rsidRDefault="00A71942" w:rsidP="00E276C8">
            <w:pPr>
              <w:spacing w:line="240" w:lineRule="auto"/>
              <w:jc w:val="center"/>
              <w:rPr>
                <w:noProof/>
                <w:sz w:val="22"/>
                <w:szCs w:val="22"/>
                <w:lang w:val="en-IE" w:eastAsia="en-IE"/>
              </w:rPr>
            </w:pPr>
          </w:p>
        </w:tc>
        <w:tc>
          <w:tcPr>
            <w:tcW w:w="1335" w:type="dxa"/>
          </w:tcPr>
          <w:p w14:paraId="46517B9C" w14:textId="77777777" w:rsidR="00A71942" w:rsidRPr="002B0D84" w:rsidRDefault="00A71942" w:rsidP="00E276C8">
            <w:pPr>
              <w:spacing w:line="240" w:lineRule="auto"/>
              <w:jc w:val="center"/>
              <w:rPr>
                <w:noProof/>
                <w:sz w:val="22"/>
                <w:szCs w:val="22"/>
                <w:lang w:val="en-IE" w:eastAsia="en-IE"/>
              </w:rPr>
            </w:pPr>
            <w:bookmarkStart w:id="634" w:name="_Toc211963119"/>
            <w:r w:rsidRPr="1FC5E705">
              <w:rPr>
                <w:noProof/>
                <w:sz w:val="22"/>
                <w:szCs w:val="22"/>
              </w:rPr>
              <w:t>X</w:t>
            </w:r>
            <w:bookmarkEnd w:id="634"/>
          </w:p>
        </w:tc>
      </w:tr>
      <w:tr w:rsidR="00A71942" w:rsidRPr="002B0D84" w14:paraId="4C2E18F3" w14:textId="77777777" w:rsidTr="1FC5E705">
        <w:trPr>
          <w:trHeight w:val="340"/>
        </w:trPr>
        <w:tc>
          <w:tcPr>
            <w:tcW w:w="1809" w:type="dxa"/>
            <w:hideMark/>
          </w:tcPr>
          <w:p w14:paraId="788BF0D5" w14:textId="77777777" w:rsidR="00A71942" w:rsidRPr="002B0D84" w:rsidRDefault="00A71942" w:rsidP="00E276C8">
            <w:pPr>
              <w:spacing w:line="240" w:lineRule="auto"/>
              <w:rPr>
                <w:b/>
                <w:bCs/>
                <w:noProof/>
                <w:sz w:val="22"/>
                <w:szCs w:val="22"/>
                <w:lang w:val="en-IE" w:eastAsia="en-IE"/>
              </w:rPr>
            </w:pPr>
            <w:bookmarkStart w:id="635" w:name="_Toc211963120"/>
            <w:r w:rsidRPr="1FC5E705">
              <w:rPr>
                <w:b/>
                <w:bCs/>
                <w:noProof/>
                <w:sz w:val="22"/>
                <w:szCs w:val="22"/>
              </w:rPr>
              <w:t>Design elements: stable across all options</w:t>
            </w:r>
            <w:bookmarkEnd w:id="635"/>
          </w:p>
        </w:tc>
        <w:tc>
          <w:tcPr>
            <w:tcW w:w="6808" w:type="dxa"/>
            <w:gridSpan w:val="4"/>
            <w:hideMark/>
          </w:tcPr>
          <w:p w14:paraId="2BA30481" w14:textId="77777777" w:rsidR="00A71942" w:rsidRPr="002B0D84" w:rsidRDefault="00A71942" w:rsidP="00E276C8">
            <w:pPr>
              <w:spacing w:line="240" w:lineRule="auto"/>
              <w:rPr>
                <w:noProof/>
                <w:sz w:val="22"/>
                <w:szCs w:val="22"/>
                <w:lang w:eastAsia="en-IE"/>
              </w:rPr>
            </w:pPr>
            <w:bookmarkStart w:id="636" w:name="_Toc211963122"/>
            <w:r w:rsidRPr="1FC5E705">
              <w:rPr>
                <w:noProof/>
                <w:sz w:val="22"/>
                <w:szCs w:val="22"/>
              </w:rPr>
              <w:t>Socially progressive: Private &amp; business jets inclusion</w:t>
            </w:r>
            <w:bookmarkEnd w:id="636"/>
          </w:p>
          <w:p w14:paraId="27F09CB6" w14:textId="77777777" w:rsidR="00A71942" w:rsidRPr="002B0D84" w:rsidRDefault="00A71942" w:rsidP="00E276C8">
            <w:pPr>
              <w:spacing w:line="240" w:lineRule="auto"/>
              <w:rPr>
                <w:noProof/>
                <w:sz w:val="22"/>
                <w:szCs w:val="22"/>
                <w:lang w:eastAsia="en-IE"/>
              </w:rPr>
            </w:pPr>
            <w:bookmarkStart w:id="637" w:name="_Toc211963123"/>
            <w:r w:rsidRPr="1FC5E705">
              <w:rPr>
                <w:noProof/>
                <w:sz w:val="22"/>
                <w:szCs w:val="22"/>
              </w:rPr>
              <w:t>Automatic phase-in: Outermost Regions participation</w:t>
            </w:r>
            <w:bookmarkEnd w:id="637"/>
          </w:p>
          <w:p w14:paraId="54B8AF68" w14:textId="77777777" w:rsidR="00A71942" w:rsidRPr="002B0D84" w:rsidRDefault="00A71942" w:rsidP="00E276C8">
            <w:pPr>
              <w:spacing w:line="240" w:lineRule="auto"/>
              <w:rPr>
                <w:noProof/>
                <w:sz w:val="22"/>
                <w:szCs w:val="22"/>
                <w:lang w:val="en-IE" w:eastAsia="en-IE"/>
              </w:rPr>
            </w:pPr>
            <w:bookmarkStart w:id="638" w:name="_Toc211963124"/>
            <w:r w:rsidRPr="1FC5E705">
              <w:rPr>
                <w:noProof/>
                <w:sz w:val="22"/>
                <w:szCs w:val="22"/>
              </w:rPr>
              <w:t>Automatic exemption: LDCs and SIDS exemption</w:t>
            </w:r>
            <w:bookmarkEnd w:id="638"/>
          </w:p>
        </w:tc>
      </w:tr>
    </w:tbl>
    <w:p w14:paraId="1F7FF8E6" w14:textId="77777777" w:rsidR="00A71942" w:rsidRPr="002B0D84" w:rsidRDefault="00A71942" w:rsidP="00E276C8">
      <w:pPr>
        <w:pStyle w:val="Heading2COM"/>
        <w:spacing w:before="120" w:after="120" w:line="240" w:lineRule="auto"/>
        <w:outlineLvl w:val="2"/>
        <w15:collapsed w:val="0"/>
        <w:rPr>
          <w:noProof/>
        </w:rPr>
      </w:pPr>
      <w:bookmarkStart w:id="639" w:name="_Toc219466679"/>
      <w:bookmarkStart w:id="640" w:name="_Toc232611534"/>
      <w:bookmarkStart w:id="641" w:name="_Toc232758219"/>
      <w:r>
        <w:rPr>
          <w:noProof/>
        </w:rPr>
        <w:t>Maritime</w:t>
      </w:r>
      <w:bookmarkEnd w:id="639"/>
      <w:bookmarkEnd w:id="640"/>
      <w:bookmarkEnd w:id="641"/>
    </w:p>
    <w:p w14:paraId="0B7C4223" w14:textId="77777777" w:rsidR="00A71942" w:rsidRPr="002B0D84" w:rsidRDefault="00A71942" w:rsidP="00E276C8">
      <w:pPr>
        <w:spacing w:line="240" w:lineRule="auto"/>
        <w:rPr>
          <w:noProof/>
        </w:rPr>
      </w:pPr>
      <w:bookmarkStart w:id="642" w:name="_Toc211963125"/>
      <w:r>
        <w:rPr>
          <w:noProof/>
        </w:rPr>
        <w:t>Regarding maritime, different measures are explored to address the various problems and drivers faced by the sector:</w:t>
      </w:r>
      <w:bookmarkEnd w:id="642"/>
    </w:p>
    <w:p w14:paraId="3901DD21" w14:textId="77777777" w:rsidR="00A71942" w:rsidRPr="002B0D84" w:rsidRDefault="00A71942" w:rsidP="00E276C8">
      <w:pPr>
        <w:pStyle w:val="ListParagraph"/>
        <w:numPr>
          <w:ilvl w:val="0"/>
          <w:numId w:val="13"/>
        </w:numPr>
        <w:spacing w:after="120" w:line="240" w:lineRule="auto"/>
        <w:rPr>
          <w:noProof/>
        </w:rPr>
      </w:pPr>
      <w:r>
        <w:rPr>
          <w:noProof/>
        </w:rPr>
        <w:t xml:space="preserve">LCF: support for emission reduction in the shipping sector and enable investments in line with the specific objective set in </w:t>
      </w:r>
      <w:r w:rsidRPr="1FC5E705">
        <w:rPr>
          <w:rFonts w:eastAsia="MS PGothic"/>
          <w:noProof/>
        </w:rPr>
        <w:t>SO1.1.1.</w:t>
      </w:r>
    </w:p>
    <w:p w14:paraId="178D1F78" w14:textId="77777777" w:rsidR="00A71942" w:rsidRPr="002B0D84" w:rsidRDefault="00A71942" w:rsidP="00E276C8">
      <w:pPr>
        <w:pStyle w:val="ListParagraph"/>
        <w:numPr>
          <w:ilvl w:val="0"/>
          <w:numId w:val="13"/>
        </w:numPr>
        <w:spacing w:after="120" w:line="240" w:lineRule="auto"/>
        <w:rPr>
          <w:noProof/>
        </w:rPr>
      </w:pPr>
      <w:bookmarkStart w:id="643" w:name="_Toc211963127"/>
      <w:r>
        <w:rPr>
          <w:noProof/>
        </w:rPr>
        <w:t>RE: Additional safeguards against the risk of evasion, linked to the specific objective defined in</w:t>
      </w:r>
      <w:r w:rsidRPr="1FC5E705">
        <w:rPr>
          <w:rFonts w:eastAsia="Times New Roman"/>
          <w:noProof/>
        </w:rPr>
        <w:t xml:space="preserve"> SO1.1.3:</w:t>
      </w:r>
      <w:bookmarkEnd w:id="643"/>
    </w:p>
    <w:p w14:paraId="1BFD0853" w14:textId="77777777" w:rsidR="00A71942" w:rsidRPr="002B0D84" w:rsidRDefault="00A71942" w:rsidP="00E276C8">
      <w:pPr>
        <w:pStyle w:val="ListParagraph"/>
        <w:numPr>
          <w:ilvl w:val="0"/>
          <w:numId w:val="13"/>
        </w:numPr>
        <w:spacing w:after="120" w:line="240" w:lineRule="auto"/>
        <w:rPr>
          <w:noProof/>
        </w:rPr>
      </w:pPr>
      <w:r w:rsidRPr="002B0D84">
        <w:rPr>
          <w:noProof/>
          <w:lang w:eastAsia="en-IE"/>
        </w:rPr>
        <w:t>SI: Simplification, and targeted enhancement measures</w:t>
      </w:r>
      <w:r w:rsidRPr="1FC5E705">
        <w:rPr>
          <w:rStyle w:val="FootnoteReference"/>
          <w:noProof/>
        </w:rPr>
        <w:footnoteReference w:id="71"/>
      </w:r>
    </w:p>
    <w:p w14:paraId="553527CD" w14:textId="77777777" w:rsidR="00A71942" w:rsidRPr="002B0D84" w:rsidRDefault="00A71942" w:rsidP="00E276C8">
      <w:pPr>
        <w:pStyle w:val="ListParagraph"/>
        <w:numPr>
          <w:ilvl w:val="0"/>
          <w:numId w:val="13"/>
        </w:numPr>
        <w:spacing w:after="120" w:line="240" w:lineRule="auto"/>
        <w:rPr>
          <w:noProof/>
        </w:rPr>
      </w:pPr>
      <w:r>
        <w:rPr>
          <w:noProof/>
        </w:rPr>
        <w:t>DE: Derogations and exemptions for outermost regions, ice-class ships, small islands and transnational public service contract or obligation.</w:t>
      </w:r>
    </w:p>
    <w:p w14:paraId="7344C088" w14:textId="77777777" w:rsidR="00A71942" w:rsidRPr="002B0D84" w:rsidRDefault="00A71942" w:rsidP="00E276C8">
      <w:pPr>
        <w:pStyle w:val="ListParagraph"/>
        <w:numPr>
          <w:ilvl w:val="0"/>
          <w:numId w:val="13"/>
        </w:numPr>
        <w:spacing w:after="120" w:line="240" w:lineRule="auto"/>
        <w:rPr>
          <w:noProof/>
        </w:rPr>
      </w:pPr>
      <w:r w:rsidRPr="1FC5E705">
        <w:rPr>
          <w:rFonts w:eastAsia="Times New Roman"/>
          <w:noProof/>
        </w:rPr>
        <w:t>IMO: Deduction from the ETS surrendering obligations of emissions priced under IMO GHG mid-term measures, to ensure coherence between the EU ETS and the IMO measure once adopted and implemented, in line with the specific objective set in SO1.3.2;</w:t>
      </w:r>
    </w:p>
    <w:p w14:paraId="2F9B122D" w14:textId="77777777" w:rsidR="00A71942" w:rsidRPr="002B0D84" w:rsidRDefault="00A71942" w:rsidP="00E276C8">
      <w:pPr>
        <w:pStyle w:val="ListParagraph"/>
        <w:numPr>
          <w:ilvl w:val="0"/>
          <w:numId w:val="13"/>
        </w:numPr>
        <w:spacing w:after="120" w:line="240" w:lineRule="auto"/>
        <w:rPr>
          <w:noProof/>
        </w:rPr>
      </w:pPr>
      <w:bookmarkStart w:id="644" w:name="_Toc211963128"/>
      <w:r>
        <w:rPr>
          <w:noProof/>
        </w:rPr>
        <w:t xml:space="preserve">MSS: Extension of the EU ETS to cover emissions from smaller ships (i.e. ships below 5 000 gross tonnage but not below 400 gross tonnage) in line with the specific objective </w:t>
      </w:r>
      <w:r w:rsidRPr="1FC5E705">
        <w:rPr>
          <w:rFonts w:eastAsia="Times New Roman"/>
          <w:noProof/>
        </w:rPr>
        <w:t>SO1.1.2</w:t>
      </w:r>
      <w:r>
        <w:rPr>
          <w:noProof/>
        </w:rPr>
        <w:t>;</w:t>
      </w:r>
      <w:bookmarkEnd w:id="644"/>
    </w:p>
    <w:p w14:paraId="6B150A0F" w14:textId="77777777" w:rsidR="00A71942" w:rsidRPr="002B0D84" w:rsidRDefault="00A71942" w:rsidP="00E276C8">
      <w:pPr>
        <w:spacing w:line="240" w:lineRule="auto"/>
        <w:rPr>
          <w:noProof/>
        </w:rPr>
      </w:pPr>
      <w:bookmarkStart w:id="645" w:name="_Toc211963130"/>
      <w:r>
        <w:rPr>
          <w:noProof/>
        </w:rPr>
        <w:t xml:space="preserve">Different variants and combination of these measures are considered across the three policy options. </w:t>
      </w:r>
      <w:bookmarkEnd w:id="645"/>
    </w:p>
    <w:p w14:paraId="212FC6C1" w14:textId="77777777" w:rsidR="00A71942" w:rsidRPr="002B0D84" w:rsidRDefault="00A71942" w:rsidP="00E276C8">
      <w:pPr>
        <w:spacing w:line="240" w:lineRule="auto"/>
        <w:rPr>
          <w:noProof/>
          <w:lang w:val="en-IE"/>
        </w:rPr>
      </w:pPr>
      <w:r>
        <w:rPr>
          <w:noProof/>
        </w:rPr>
        <w:t xml:space="preserve">The policy option PO1 focuses on the introduction of </w:t>
      </w:r>
      <w:r w:rsidRPr="1FC5E705">
        <w:rPr>
          <w:b/>
          <w:bCs/>
          <w:noProof/>
        </w:rPr>
        <w:t xml:space="preserve">simplification and targeted enhancement measures </w:t>
      </w:r>
      <w:r>
        <w:rPr>
          <w:noProof/>
        </w:rPr>
        <w:t>with the objective to lessen administrative burden and enhance the effectiveness and robustness in the implementation of the system, both for shipping companies and the administering authorities of Member States. Th</w:t>
      </w:r>
      <w:r w:rsidRPr="1FC5E705">
        <w:rPr>
          <w:rFonts w:eastAsia="Times New Roman"/>
          <w:noProof/>
        </w:rPr>
        <w:t xml:space="preserve">ese measures are particularly important for small and medium-sized enterprises (SMEs), which often face higher administrative and compliance costs relative to larger operators. </w:t>
      </w:r>
      <w:r>
        <w:rPr>
          <w:noProof/>
        </w:rPr>
        <w:t xml:space="preserve">These are the only significant changes in comparison to the Baseline. </w:t>
      </w:r>
      <w:r w:rsidRPr="1FC5E705">
        <w:rPr>
          <w:rFonts w:eastAsia="Times New Roman"/>
          <w:noProof/>
        </w:rPr>
        <w:t xml:space="preserve">However, </w:t>
      </w:r>
      <w:r w:rsidRPr="1FC5E705">
        <w:rPr>
          <w:b/>
          <w:bCs/>
          <w:noProof/>
        </w:rPr>
        <w:t>no changes to the anti-evasion</w:t>
      </w:r>
      <w:r>
        <w:rPr>
          <w:noProof/>
        </w:rPr>
        <w:t xml:space="preserve"> measure would be introduced and the existing </w:t>
      </w:r>
      <w:r w:rsidRPr="1FC5E705">
        <w:rPr>
          <w:b/>
          <w:bCs/>
          <w:noProof/>
        </w:rPr>
        <w:t>scope of the ETS in terms of ship categories and sizes</w:t>
      </w:r>
      <w:r>
        <w:rPr>
          <w:noProof/>
        </w:rPr>
        <w:t xml:space="preserve"> would remain unchanged. In addition, </w:t>
      </w:r>
      <w:r w:rsidRPr="1FC5E705">
        <w:rPr>
          <w:b/>
          <w:bCs/>
          <w:noProof/>
        </w:rPr>
        <w:t>no additional support mechanism</w:t>
      </w:r>
      <w:r>
        <w:rPr>
          <w:noProof/>
        </w:rPr>
        <w:t xml:space="preserve"> for maritime from ETS revenues would be introduced at EU level, beyond the support already provided through the Innovation Fund. In line with the current legislation, derogations would stop as from 2031.</w:t>
      </w:r>
    </w:p>
    <w:p w14:paraId="40E8A3C5" w14:textId="77777777" w:rsidR="00A71942" w:rsidRPr="002B0D84" w:rsidRDefault="00A71942" w:rsidP="00E276C8">
      <w:pPr>
        <w:spacing w:line="240" w:lineRule="auto"/>
        <w:rPr>
          <w:noProof/>
        </w:rPr>
      </w:pPr>
      <w:bookmarkStart w:id="646" w:name="_Toc211963132"/>
      <w:r>
        <w:rPr>
          <w:noProof/>
        </w:rPr>
        <w:t xml:space="preserve">For </w:t>
      </w:r>
      <w:r w:rsidRPr="1FC5E705">
        <w:rPr>
          <w:b/>
          <w:bCs/>
          <w:noProof/>
        </w:rPr>
        <w:t>maritime</w:t>
      </w:r>
      <w:r>
        <w:rPr>
          <w:noProof/>
        </w:rPr>
        <w:t xml:space="preserve">, the </w:t>
      </w:r>
      <w:r w:rsidRPr="1FC5E705">
        <w:rPr>
          <w:b/>
          <w:bCs/>
          <w:noProof/>
        </w:rPr>
        <w:t>policy option PO2</w:t>
      </w:r>
      <w:r>
        <w:rPr>
          <w:noProof/>
        </w:rPr>
        <w:t xml:space="preserve"> includes a </w:t>
      </w:r>
      <w:r w:rsidRPr="1FC5E705">
        <w:rPr>
          <w:b/>
          <w:bCs/>
          <w:noProof/>
        </w:rPr>
        <w:t>dedicated support mechanism</w:t>
      </w:r>
      <w:r>
        <w:rPr>
          <w:noProof/>
        </w:rPr>
        <w:t xml:space="preserve"> (SMAP) that would be introduced for vessels to contribute to close the gap between the costs of mitigation solutions and the costs of fossil fuels, therefore accelerating the decarbonisation of the sector (assuming that in total 50% of ETS revenues generated by the ETS extension to maritime are recycled in the sector through EU mechanisms and national schemes). </w:t>
      </w:r>
    </w:p>
    <w:p w14:paraId="37DF853F" w14:textId="77777777" w:rsidR="00A71942" w:rsidRPr="002B0D84" w:rsidRDefault="00A71942" w:rsidP="00E276C8">
      <w:pPr>
        <w:spacing w:line="240" w:lineRule="auto"/>
        <w:rPr>
          <w:noProof/>
          <w:lang w:val="en-IE"/>
        </w:rPr>
      </w:pPr>
      <w:r>
        <w:rPr>
          <w:noProof/>
        </w:rPr>
        <w:t xml:space="preserve">Further, the option PO2 would strengthen the existing </w:t>
      </w:r>
      <w:r w:rsidRPr="1FC5E705">
        <w:rPr>
          <w:b/>
          <w:bCs/>
          <w:noProof/>
        </w:rPr>
        <w:t>anti-evasion measure</w:t>
      </w:r>
      <w:r>
        <w:rPr>
          <w:noProof/>
        </w:rPr>
        <w:t xml:space="preserve"> by including more ports in the list of neighbouring container transhipment ports (through lowering the annual average transhipment share threshold from 65% to 50%). Moreover, elements of the legislation that are also relevant to offshore activities would be adjusted to ensure that all ships providing relevant offshore services in EU waters are subject to the ETS, independently of their flag or from where they come from or where they go to after concluding the activity.</w:t>
      </w:r>
    </w:p>
    <w:p w14:paraId="1507A312" w14:textId="77777777" w:rsidR="00A71942" w:rsidRPr="002B0D84" w:rsidRDefault="00A71942" w:rsidP="00E276C8">
      <w:pPr>
        <w:spacing w:line="240" w:lineRule="auto"/>
        <w:rPr>
          <w:noProof/>
          <w:lang w:val="en-IE"/>
        </w:rPr>
      </w:pPr>
      <w:r>
        <w:rPr>
          <w:noProof/>
        </w:rPr>
        <w:t xml:space="preserve">The existing derogations (islands, OMR, PSO/PSCs, and ice class ships) would be extended for limited time. </w:t>
      </w:r>
      <w:r w:rsidRPr="1FC5E705">
        <w:rPr>
          <w:b/>
          <w:bCs/>
          <w:noProof/>
        </w:rPr>
        <w:t>The Simplifications and targeted enhancement measures</w:t>
      </w:r>
      <w:r>
        <w:rPr>
          <w:noProof/>
        </w:rPr>
        <w:t xml:space="preserve"> for shipping companies and administrative authorities foreseen under policy option PO1 would be maintained also under PO2 . </w:t>
      </w:r>
    </w:p>
    <w:p w14:paraId="6107B391" w14:textId="77777777" w:rsidR="00A71942" w:rsidRPr="002B0D84" w:rsidRDefault="00A71942" w:rsidP="00E276C8">
      <w:pPr>
        <w:spacing w:line="240" w:lineRule="auto"/>
        <w:rPr>
          <w:noProof/>
          <w:lang w:val="en-IE"/>
        </w:rPr>
      </w:pPr>
      <w:r>
        <w:rPr>
          <w:noProof/>
        </w:rPr>
        <w:t>The option PO2 would introduce a</w:t>
      </w:r>
      <w:r w:rsidRPr="1FC5E705">
        <w:rPr>
          <w:rFonts w:eastAsia="Times New Roman"/>
          <w:noProof/>
        </w:rPr>
        <w:t xml:space="preserve"> deduction for emissions that are both covered by the ETS and subject to regulation and pricing under a future IMO mid-term measure, once adopted. This deduction would apply in full as long as the carbon price set by the IMO mid-term measure stays above ETS prices. In the opposite case, a correction factor would apply to reduce proportionally the amount of emissions to be deducted from the ETS obligations. This approach prevents double payment for the same emissions, while ensuring that emissions excluded from the ETS are priced at a level at least equivalent to that of the ETS. To preserve the environmental integrity of the ETS, the deduction would be accompanied by the cancellation of an equivalent amount of allowances.</w:t>
      </w:r>
      <w:r>
        <w:rPr>
          <w:noProof/>
        </w:rPr>
        <w:t xml:space="preserve"> </w:t>
      </w:r>
      <w:bookmarkEnd w:id="646"/>
    </w:p>
    <w:p w14:paraId="7F80AD32" w14:textId="77777777" w:rsidR="00A71942" w:rsidRPr="002B0D84" w:rsidRDefault="00A71942" w:rsidP="00E276C8">
      <w:pPr>
        <w:spacing w:line="240" w:lineRule="auto"/>
        <w:rPr>
          <w:noProof/>
          <w:lang w:val="en-IE"/>
        </w:rPr>
      </w:pPr>
      <w:bookmarkStart w:id="647" w:name="_Toc211963133"/>
      <w:r>
        <w:rPr>
          <w:noProof/>
        </w:rPr>
        <w:t xml:space="preserve">This policy option would also extend the ETS scope to emissions from </w:t>
      </w:r>
      <w:r w:rsidRPr="1FC5E705">
        <w:rPr>
          <w:b/>
          <w:bCs/>
          <w:noProof/>
        </w:rPr>
        <w:t>small ships categories emitting the most</w:t>
      </w:r>
      <w:r>
        <w:rPr>
          <w:noProof/>
        </w:rPr>
        <w:t xml:space="preserve"> among small ships with gross tonnage bigger than 400 gross tonnage but below 5 000 gross tonnage. </w:t>
      </w:r>
      <w:bookmarkEnd w:id="647"/>
    </w:p>
    <w:p w14:paraId="06814A1C" w14:textId="77777777" w:rsidR="00A71942" w:rsidRPr="002B0D84" w:rsidRDefault="00A71942" w:rsidP="00E276C8">
      <w:pPr>
        <w:spacing w:line="240" w:lineRule="auto"/>
        <w:rPr>
          <w:rFonts w:ascii="Calibri" w:eastAsia="MS Mincho" w:hAnsi="Calibri" w:cs="Arial"/>
          <w:noProof/>
        </w:rPr>
      </w:pPr>
      <w:bookmarkStart w:id="648" w:name="_Toc211963134"/>
      <w:r>
        <w:rPr>
          <w:noProof/>
        </w:rPr>
        <w:t>Option PO3 includes the same approach as in option PO2 in relation to the dedicated support mechanism (SMAP), the IMO deduction, simplification and targeted enhancements for shipping companies and administrative authorities, derogations and measures to address evasion risks. However, compared to PO2, this option considers extending the scope of the ETS to a larger fleet of small vessels, namely</w:t>
      </w:r>
      <w:r w:rsidRPr="1FC5E705">
        <w:rPr>
          <w:b/>
          <w:bCs/>
          <w:noProof/>
        </w:rPr>
        <w:t xml:space="preserve"> all categories of small vessels</w:t>
      </w:r>
      <w:r>
        <w:rPr>
          <w:noProof/>
        </w:rPr>
        <w:t xml:space="preserve"> already covered under the EU maritime MRV, non-commercial yachts, and fishing vessels. </w:t>
      </w:r>
      <w:bookmarkStart w:id="649" w:name="_Toc211963135"/>
      <w:bookmarkEnd w:id="648"/>
    </w:p>
    <w:p w14:paraId="2904B9DD" w14:textId="77777777" w:rsidR="00A71942" w:rsidRPr="002B0D84" w:rsidRDefault="00A71942" w:rsidP="00E276C8">
      <w:pPr>
        <w:pStyle w:val="Tabletitle"/>
        <w:spacing w:after="120" w:line="240" w:lineRule="auto"/>
        <w:ind w:left="720"/>
        <w:rPr>
          <w:noProof/>
          <w:lang w:eastAsia="en-IE"/>
        </w:rPr>
      </w:pPr>
      <w:bookmarkStart w:id="650" w:name="_Toc232608949"/>
      <w:bookmarkStart w:id="651" w:name="_Toc232609685"/>
      <w:bookmarkStart w:id="652" w:name="_Toc232611560"/>
      <w:bookmarkStart w:id="653" w:name="_Toc232672619"/>
      <w:bookmarkStart w:id="654" w:name="_Toc232758471"/>
      <w:bookmarkEnd w:id="649"/>
      <w:r>
        <w:rPr>
          <w:noProof/>
        </w:rPr>
        <w:t>Policy measures for maritime</w:t>
      </w:r>
      <w:bookmarkEnd w:id="650"/>
      <w:bookmarkEnd w:id="651"/>
      <w:bookmarkEnd w:id="652"/>
      <w:bookmarkEnd w:id="653"/>
      <w:bookmarkEnd w:id="654"/>
    </w:p>
    <w:tbl>
      <w:tblPr>
        <w:tblW w:w="8756" w:type="dxa"/>
        <w:tblInd w:w="-10" w:type="dxa"/>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10"/>
        <w:gridCol w:w="1545"/>
        <w:gridCol w:w="3818"/>
        <w:gridCol w:w="1128"/>
        <w:gridCol w:w="1126"/>
        <w:gridCol w:w="1129"/>
      </w:tblGrid>
      <w:tr w:rsidR="00A71942" w:rsidRPr="002B0D84" w14:paraId="1D47C356" w14:textId="77777777" w:rsidTr="1FC5E705">
        <w:trPr>
          <w:gridBefore w:val="1"/>
          <w:wBefore w:w="10" w:type="dxa"/>
          <w:trHeight w:val="144"/>
        </w:trPr>
        <w:tc>
          <w:tcPr>
            <w:tcW w:w="1545"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55B14C6" w14:textId="77777777" w:rsidR="00A71942" w:rsidRPr="002B0D84" w:rsidRDefault="00A71942" w:rsidP="00E276C8">
            <w:pPr>
              <w:spacing w:line="240" w:lineRule="auto"/>
              <w:rPr>
                <w:b/>
                <w:bCs/>
                <w:noProof/>
                <w:sz w:val="22"/>
                <w:szCs w:val="22"/>
                <w:lang w:eastAsia="en-IE"/>
              </w:rPr>
            </w:pPr>
            <w:r w:rsidRPr="1FC5E705">
              <w:rPr>
                <w:b/>
                <w:bCs/>
                <w:noProof/>
                <w:sz w:val="22"/>
                <w:szCs w:val="22"/>
              </w:rPr>
              <w:t>Topic</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238C055" w14:textId="77777777" w:rsidR="00A71942" w:rsidRPr="002B0D84" w:rsidRDefault="00A71942" w:rsidP="00E276C8">
            <w:pPr>
              <w:spacing w:line="240" w:lineRule="auto"/>
              <w:rPr>
                <w:b/>
                <w:bCs/>
                <w:noProof/>
                <w:sz w:val="22"/>
                <w:szCs w:val="22"/>
                <w:lang w:eastAsia="en-IE"/>
              </w:rPr>
            </w:pPr>
            <w:r w:rsidRPr="1FC5E705">
              <w:rPr>
                <w:b/>
                <w:bCs/>
                <w:noProof/>
                <w:sz w:val="22"/>
                <w:szCs w:val="22"/>
              </w:rPr>
              <w:t>Policy measure</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6372C88"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PO1</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DB44B55"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PO2</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8BAB1E7"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PO3</w:t>
            </w:r>
          </w:p>
        </w:tc>
      </w:tr>
      <w:tr w:rsidR="00A71942" w:rsidRPr="002B0D84" w14:paraId="05F29C43" w14:textId="77777777" w:rsidTr="1FC5E705">
        <w:trPr>
          <w:trHeight w:val="144"/>
        </w:trPr>
        <w:tc>
          <w:tcPr>
            <w:tcW w:w="1555" w:type="dxa"/>
            <w:gridSpan w:val="2"/>
            <w:vMerge w:val="restart"/>
            <w:tcBorders>
              <w:top w:val="single" w:sz="8" w:space="0" w:color="242828" w:themeColor="text1"/>
              <w:left w:val="single" w:sz="8" w:space="0" w:color="242828" w:themeColor="text1"/>
              <w:right w:val="single" w:sz="8" w:space="0" w:color="242828" w:themeColor="text1"/>
            </w:tcBorders>
            <w:hideMark/>
          </w:tcPr>
          <w:p w14:paraId="651D7A9B" w14:textId="77777777" w:rsidR="00A71942" w:rsidRPr="002B0D84" w:rsidRDefault="00A71942" w:rsidP="00E276C8">
            <w:pPr>
              <w:spacing w:line="240" w:lineRule="auto"/>
              <w:rPr>
                <w:b/>
                <w:bCs/>
                <w:noProof/>
                <w:sz w:val="22"/>
                <w:szCs w:val="22"/>
                <w:lang w:eastAsia="en-IE"/>
              </w:rPr>
            </w:pPr>
            <w:r w:rsidRPr="1FC5E705">
              <w:rPr>
                <w:b/>
                <w:bCs/>
                <w:noProof/>
                <w:sz w:val="22"/>
                <w:szCs w:val="22"/>
              </w:rPr>
              <w:t>Maritime - Support for emission reduction in the shipping sector</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6F56746" w14:textId="77777777" w:rsidR="00A71942" w:rsidRPr="002B0D84" w:rsidRDefault="00A71942" w:rsidP="00E276C8">
            <w:pPr>
              <w:spacing w:line="240" w:lineRule="auto"/>
              <w:rPr>
                <w:noProof/>
                <w:sz w:val="22"/>
                <w:szCs w:val="22"/>
                <w:lang w:eastAsia="en-IE"/>
              </w:rPr>
            </w:pPr>
            <w:r w:rsidRPr="1FC5E705">
              <w:rPr>
                <w:noProof/>
                <w:sz w:val="22"/>
                <w:szCs w:val="22"/>
              </w:rPr>
              <w:t>LCF0: No dedicated ETS support mechanism</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F87AF88"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3660313"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B909D62" w14:textId="77777777" w:rsidR="00A71942" w:rsidRPr="002B0D84" w:rsidRDefault="00A71942" w:rsidP="00E276C8">
            <w:pPr>
              <w:spacing w:line="240" w:lineRule="auto"/>
              <w:jc w:val="center"/>
              <w:rPr>
                <w:b/>
                <w:bCs/>
                <w:noProof/>
                <w:sz w:val="22"/>
                <w:szCs w:val="22"/>
                <w:lang w:eastAsia="en-IE"/>
              </w:rPr>
            </w:pPr>
          </w:p>
        </w:tc>
      </w:tr>
      <w:tr w:rsidR="00A71942" w:rsidRPr="002B0D84" w14:paraId="6218E367" w14:textId="77777777" w:rsidTr="1FC5E705">
        <w:trPr>
          <w:trHeight w:val="144"/>
        </w:trPr>
        <w:tc>
          <w:tcPr>
            <w:tcW w:w="1555" w:type="dxa"/>
            <w:gridSpan w:val="2"/>
            <w:vMerge/>
            <w:hideMark/>
          </w:tcPr>
          <w:p w14:paraId="476159C8"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CBE2445" w14:textId="595CECB8" w:rsidR="00A71942" w:rsidRPr="002B0D84" w:rsidRDefault="00A71942" w:rsidP="00E276C8">
            <w:pPr>
              <w:spacing w:line="240" w:lineRule="auto"/>
              <w:rPr>
                <w:noProof/>
                <w:sz w:val="22"/>
                <w:szCs w:val="22"/>
                <w:lang w:eastAsia="en-IE"/>
              </w:rPr>
            </w:pPr>
            <w:r w:rsidRPr="1FC5E705">
              <w:rPr>
                <w:noProof/>
                <w:sz w:val="22"/>
                <w:szCs w:val="22"/>
              </w:rPr>
              <w:t xml:space="preserve">LCF1: EU ETS support mechanism for Sustainable Maritime </w:t>
            </w:r>
            <w:r w:rsidR="621CC205" w:rsidRPr="1EBCE3BD">
              <w:rPr>
                <w:noProof/>
                <w:sz w:val="22"/>
                <w:szCs w:val="22"/>
              </w:rPr>
              <w:t>Alternative</w:t>
            </w:r>
            <w:r w:rsidRPr="1EBCE3BD">
              <w:rPr>
                <w:noProof/>
                <w:sz w:val="22"/>
                <w:szCs w:val="22"/>
              </w:rPr>
              <w:t xml:space="preserve"> </w:t>
            </w:r>
            <w:r w:rsidRPr="1FC5E705">
              <w:rPr>
                <w:noProof/>
                <w:sz w:val="22"/>
                <w:szCs w:val="22"/>
              </w:rPr>
              <w:t>Propulsion (SMAP)</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5826A5F"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737895E"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89DA03B"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r w:rsidR="00A71942" w:rsidRPr="002B0D84" w14:paraId="36D6B78E" w14:textId="77777777" w:rsidTr="1FC5E705">
        <w:trPr>
          <w:gridBefore w:val="1"/>
          <w:wBefore w:w="10" w:type="dxa"/>
          <w:trHeight w:val="144"/>
        </w:trPr>
        <w:tc>
          <w:tcPr>
            <w:tcW w:w="1545" w:type="dxa"/>
            <w:vMerge w:val="restart"/>
            <w:tcBorders>
              <w:top w:val="single" w:sz="8" w:space="0" w:color="242828" w:themeColor="text1"/>
              <w:left w:val="single" w:sz="8" w:space="0" w:color="242828" w:themeColor="text1"/>
              <w:right w:val="single" w:sz="8" w:space="0" w:color="242828" w:themeColor="text1"/>
            </w:tcBorders>
            <w:hideMark/>
          </w:tcPr>
          <w:p w14:paraId="6FD8DCCD" w14:textId="77777777" w:rsidR="00A71942" w:rsidRPr="002B0D84" w:rsidRDefault="00A71942" w:rsidP="00E276C8">
            <w:pPr>
              <w:spacing w:line="240" w:lineRule="auto"/>
              <w:rPr>
                <w:b/>
                <w:bCs/>
                <w:noProof/>
                <w:sz w:val="22"/>
                <w:szCs w:val="22"/>
                <w:lang w:eastAsia="en-IE"/>
              </w:rPr>
            </w:pPr>
            <w:r w:rsidRPr="1FC5E705">
              <w:rPr>
                <w:b/>
                <w:bCs/>
                <w:noProof/>
                <w:sz w:val="22"/>
                <w:szCs w:val="22"/>
              </w:rPr>
              <w:t>Maritime -Evasion Risk</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6D9BA45F" w14:textId="77777777" w:rsidR="00A71942" w:rsidRPr="002B0D84" w:rsidRDefault="00A71942" w:rsidP="00E276C8">
            <w:pPr>
              <w:spacing w:line="240" w:lineRule="auto"/>
              <w:rPr>
                <w:noProof/>
                <w:sz w:val="22"/>
                <w:szCs w:val="22"/>
                <w:lang w:eastAsia="en-IE"/>
              </w:rPr>
            </w:pPr>
            <w:r w:rsidRPr="1FC5E705">
              <w:rPr>
                <w:noProof/>
                <w:sz w:val="22"/>
                <w:szCs w:val="22"/>
              </w:rPr>
              <w:t xml:space="preserve">RΕ0: Current measures on evasion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6FDD31E"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298CA17"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A8DA3EE" w14:textId="77777777" w:rsidR="00A71942" w:rsidRPr="002B0D84" w:rsidRDefault="00A71942" w:rsidP="00E276C8">
            <w:pPr>
              <w:spacing w:line="240" w:lineRule="auto"/>
              <w:jc w:val="center"/>
              <w:rPr>
                <w:b/>
                <w:bCs/>
                <w:noProof/>
                <w:sz w:val="22"/>
                <w:szCs w:val="22"/>
                <w:lang w:eastAsia="en-IE"/>
              </w:rPr>
            </w:pPr>
          </w:p>
        </w:tc>
      </w:tr>
      <w:tr w:rsidR="00A71942" w:rsidRPr="002B0D84" w14:paraId="1FED720C" w14:textId="77777777" w:rsidTr="1FC5E705">
        <w:trPr>
          <w:gridBefore w:val="1"/>
          <w:wBefore w:w="10" w:type="dxa"/>
          <w:trHeight w:val="144"/>
        </w:trPr>
        <w:tc>
          <w:tcPr>
            <w:tcW w:w="1545" w:type="dxa"/>
            <w:vMerge/>
            <w:hideMark/>
          </w:tcPr>
          <w:p w14:paraId="664C911C"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267C6CD" w14:textId="77777777" w:rsidR="00A71942" w:rsidRPr="002B0D84" w:rsidRDefault="00A71942" w:rsidP="00E276C8">
            <w:pPr>
              <w:spacing w:line="240" w:lineRule="auto"/>
              <w:rPr>
                <w:noProof/>
                <w:sz w:val="22"/>
                <w:szCs w:val="22"/>
                <w:lang w:eastAsia="en-IE"/>
              </w:rPr>
            </w:pPr>
            <w:r w:rsidRPr="1FC5E705">
              <w:rPr>
                <w:noProof/>
                <w:sz w:val="22"/>
                <w:szCs w:val="22"/>
              </w:rPr>
              <w:t xml:space="preserve">RE1: Revise the list of neighbouring container transshipment ports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24261F8"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7B5231C"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B10D5F9"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r w:rsidR="00A71942" w:rsidRPr="002B0D84" w14:paraId="335E6E9E" w14:textId="77777777" w:rsidTr="1FC5E705">
        <w:trPr>
          <w:gridBefore w:val="1"/>
          <w:wBefore w:w="10" w:type="dxa"/>
          <w:trHeight w:val="144"/>
        </w:trPr>
        <w:tc>
          <w:tcPr>
            <w:tcW w:w="1545" w:type="dxa"/>
            <w:vMerge/>
            <w:hideMark/>
          </w:tcPr>
          <w:p w14:paraId="733CFFDC"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630A265" w14:textId="77777777" w:rsidR="00A71942" w:rsidRPr="002B0D84" w:rsidRDefault="00A71942" w:rsidP="00E276C8">
            <w:pPr>
              <w:spacing w:line="240" w:lineRule="auto"/>
              <w:rPr>
                <w:noProof/>
                <w:sz w:val="22"/>
                <w:szCs w:val="22"/>
                <w:lang w:eastAsia="en-IE"/>
              </w:rPr>
            </w:pPr>
            <w:r w:rsidRPr="1FC5E705">
              <w:rPr>
                <w:noProof/>
                <w:sz w:val="22"/>
                <w:szCs w:val="22"/>
              </w:rPr>
              <w:t xml:space="preserve">RE2: Ensure that offshore activities by ships operating in EU waters are covered, independently from their port of origin.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2D2BFC1"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A131865"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99BA6E6"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r w:rsidR="00A71942" w:rsidRPr="002B0D84" w14:paraId="4D904E51" w14:textId="77777777" w:rsidTr="1FC5E705">
        <w:trPr>
          <w:trHeight w:val="144"/>
        </w:trPr>
        <w:tc>
          <w:tcPr>
            <w:tcW w:w="1555" w:type="dxa"/>
            <w:gridSpan w:val="2"/>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8C66B8E" w14:textId="77777777" w:rsidR="00A71942" w:rsidRPr="002B0D84" w:rsidRDefault="00A71942" w:rsidP="00E276C8">
            <w:pPr>
              <w:spacing w:line="240" w:lineRule="auto"/>
              <w:rPr>
                <w:b/>
                <w:bCs/>
                <w:noProof/>
                <w:sz w:val="22"/>
                <w:szCs w:val="22"/>
                <w:lang w:eastAsia="en-IE"/>
              </w:rPr>
            </w:pPr>
            <w:r w:rsidRPr="1FC5E705">
              <w:rPr>
                <w:b/>
                <w:bCs/>
                <w:noProof/>
                <w:sz w:val="22"/>
                <w:szCs w:val="22"/>
              </w:rPr>
              <w:t xml:space="preserve">Simplification in Maritime </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F18FD59" w14:textId="77777777" w:rsidR="00A71942" w:rsidRPr="002B0D84" w:rsidRDefault="00A71942" w:rsidP="00E276C8">
            <w:pPr>
              <w:spacing w:line="240" w:lineRule="auto"/>
              <w:rPr>
                <w:noProof/>
                <w:sz w:val="22"/>
                <w:szCs w:val="22"/>
                <w:lang w:eastAsia="en-IE"/>
              </w:rPr>
            </w:pPr>
            <w:r w:rsidRPr="1FC5E705">
              <w:rPr>
                <w:noProof/>
                <w:sz w:val="22"/>
                <w:szCs w:val="22"/>
              </w:rPr>
              <w:t>SI1: Simplification, and targeted enhancement measures</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CBC4C92"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ED26603"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8A06D5C"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r w:rsidR="00A71942" w:rsidRPr="002B0D84" w14:paraId="01374004" w14:textId="77777777" w:rsidTr="1FC5E705">
        <w:trPr>
          <w:trHeight w:val="144"/>
        </w:trPr>
        <w:tc>
          <w:tcPr>
            <w:tcW w:w="1555" w:type="dxa"/>
            <w:gridSpan w:val="2"/>
            <w:vMerge w:val="restart"/>
            <w:tcBorders>
              <w:top w:val="single" w:sz="8" w:space="0" w:color="242828" w:themeColor="text1"/>
              <w:left w:val="single" w:sz="8" w:space="0" w:color="242828" w:themeColor="text1"/>
              <w:right w:val="single" w:sz="8" w:space="0" w:color="242828" w:themeColor="text1"/>
            </w:tcBorders>
            <w:hideMark/>
          </w:tcPr>
          <w:p w14:paraId="341968D8" w14:textId="77777777" w:rsidR="00A71942" w:rsidRPr="002B0D84" w:rsidRDefault="00A71942" w:rsidP="00E276C8">
            <w:pPr>
              <w:spacing w:line="240" w:lineRule="auto"/>
              <w:rPr>
                <w:b/>
                <w:bCs/>
                <w:noProof/>
                <w:sz w:val="22"/>
                <w:szCs w:val="22"/>
                <w:lang w:eastAsia="en-IE"/>
              </w:rPr>
            </w:pPr>
            <w:r w:rsidRPr="1FC5E705">
              <w:rPr>
                <w:b/>
                <w:bCs/>
                <w:noProof/>
                <w:sz w:val="22"/>
                <w:szCs w:val="22"/>
              </w:rPr>
              <w:t xml:space="preserve">Maritime - Derogations </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DD80421" w14:textId="77777777" w:rsidR="00A71942" w:rsidRPr="002B0D84" w:rsidRDefault="00A71942" w:rsidP="00E276C8">
            <w:pPr>
              <w:spacing w:line="240" w:lineRule="auto"/>
              <w:rPr>
                <w:noProof/>
                <w:sz w:val="22"/>
                <w:szCs w:val="22"/>
                <w:lang w:eastAsia="en-IE"/>
              </w:rPr>
            </w:pPr>
            <w:r w:rsidRPr="1FC5E705">
              <w:rPr>
                <w:noProof/>
                <w:sz w:val="22"/>
                <w:szCs w:val="22"/>
              </w:rPr>
              <w:t xml:space="preserve">DE0: no extension of derogations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32341C6"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A9F3654"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8F3EF7C" w14:textId="77777777" w:rsidR="00A71942" w:rsidRPr="002B0D84" w:rsidRDefault="00A71942" w:rsidP="00E276C8">
            <w:pPr>
              <w:spacing w:line="240" w:lineRule="auto"/>
              <w:jc w:val="center"/>
              <w:rPr>
                <w:b/>
                <w:bCs/>
                <w:noProof/>
                <w:sz w:val="22"/>
                <w:szCs w:val="22"/>
                <w:lang w:eastAsia="en-IE"/>
              </w:rPr>
            </w:pPr>
          </w:p>
        </w:tc>
      </w:tr>
      <w:tr w:rsidR="00A71942" w:rsidRPr="002B0D84" w14:paraId="42451293" w14:textId="77777777" w:rsidTr="1FC5E705">
        <w:trPr>
          <w:trHeight w:val="144"/>
        </w:trPr>
        <w:tc>
          <w:tcPr>
            <w:tcW w:w="1555" w:type="dxa"/>
            <w:gridSpan w:val="2"/>
            <w:vMerge/>
          </w:tcPr>
          <w:p w14:paraId="3F9F965F"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vAlign w:val="center"/>
          </w:tcPr>
          <w:p w14:paraId="685887D6" w14:textId="77777777" w:rsidR="00A71942" w:rsidRPr="002B0D84" w:rsidRDefault="00A71942" w:rsidP="00E276C8">
            <w:pPr>
              <w:spacing w:line="240" w:lineRule="auto"/>
              <w:rPr>
                <w:noProof/>
                <w:sz w:val="22"/>
                <w:szCs w:val="22"/>
                <w:lang w:eastAsia="en-IE"/>
              </w:rPr>
            </w:pPr>
            <w:r w:rsidRPr="1FC5E705">
              <w:rPr>
                <w:noProof/>
                <w:sz w:val="22"/>
                <w:szCs w:val="22"/>
              </w:rPr>
              <w:t>DE1: Extension of derogations for limited time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vAlign w:val="center"/>
          </w:tcPr>
          <w:p w14:paraId="2760136E" w14:textId="77777777" w:rsidR="00A71942" w:rsidRPr="002B0D84" w:rsidDel="00057FE2"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vAlign w:val="center"/>
          </w:tcPr>
          <w:p w14:paraId="2BD63203" w14:textId="77777777" w:rsidR="00A71942" w:rsidRPr="002B0D84" w:rsidRDefault="00A71942" w:rsidP="00E276C8">
            <w:pPr>
              <w:spacing w:line="240" w:lineRule="auto"/>
              <w:jc w:val="center"/>
              <w:rPr>
                <w:b/>
                <w:bCs/>
                <w:noProof/>
                <w:sz w:val="22"/>
                <w:szCs w:val="22"/>
                <w:lang w:eastAsia="en-IE"/>
              </w:rPr>
            </w:pPr>
            <w:r w:rsidRPr="1FC5E705">
              <w:rPr>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vAlign w:val="center"/>
          </w:tcPr>
          <w:p w14:paraId="534968C4" w14:textId="77777777" w:rsidR="00A71942" w:rsidRPr="002B0D84" w:rsidRDefault="00A71942" w:rsidP="00E276C8">
            <w:pPr>
              <w:spacing w:line="240" w:lineRule="auto"/>
              <w:jc w:val="center"/>
              <w:rPr>
                <w:b/>
                <w:bCs/>
                <w:noProof/>
                <w:sz w:val="22"/>
                <w:szCs w:val="22"/>
                <w:lang w:eastAsia="en-IE"/>
              </w:rPr>
            </w:pPr>
            <w:r w:rsidRPr="1FC5E705">
              <w:rPr>
                <w:noProof/>
                <w:sz w:val="22"/>
                <w:szCs w:val="22"/>
              </w:rPr>
              <w:t>X</w:t>
            </w:r>
          </w:p>
        </w:tc>
      </w:tr>
      <w:tr w:rsidR="00A71942" w:rsidRPr="002B0D84" w14:paraId="0869C669" w14:textId="77777777" w:rsidTr="1FC5E705">
        <w:trPr>
          <w:gridBefore w:val="1"/>
          <w:wBefore w:w="10" w:type="dxa"/>
          <w:trHeight w:val="144"/>
        </w:trPr>
        <w:tc>
          <w:tcPr>
            <w:tcW w:w="1545" w:type="dxa"/>
            <w:vMerge w:val="restart"/>
            <w:tcBorders>
              <w:top w:val="single" w:sz="8" w:space="0" w:color="242828" w:themeColor="text1"/>
              <w:left w:val="single" w:sz="8" w:space="0" w:color="242828" w:themeColor="text1"/>
              <w:right w:val="single" w:sz="8" w:space="0" w:color="242828" w:themeColor="text1"/>
            </w:tcBorders>
            <w:hideMark/>
          </w:tcPr>
          <w:p w14:paraId="6EE67667" w14:textId="77777777" w:rsidR="00A71942" w:rsidRPr="002B0D84" w:rsidRDefault="00A71942" w:rsidP="00E276C8">
            <w:pPr>
              <w:spacing w:line="240" w:lineRule="auto"/>
              <w:rPr>
                <w:b/>
                <w:bCs/>
                <w:noProof/>
                <w:sz w:val="22"/>
                <w:szCs w:val="22"/>
                <w:lang w:eastAsia="en-IE"/>
              </w:rPr>
            </w:pPr>
            <w:r w:rsidRPr="1FC5E705">
              <w:rPr>
                <w:b/>
                <w:bCs/>
                <w:noProof/>
                <w:sz w:val="22"/>
                <w:szCs w:val="22"/>
              </w:rPr>
              <w:t xml:space="preserve">Maritime – IMO deduction mechanism </w:t>
            </w: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A5947EE" w14:textId="77777777" w:rsidR="00A71942" w:rsidRPr="002B0D84" w:rsidRDefault="00A71942" w:rsidP="00E276C8">
            <w:pPr>
              <w:spacing w:line="240" w:lineRule="auto"/>
              <w:rPr>
                <w:noProof/>
                <w:sz w:val="22"/>
                <w:szCs w:val="22"/>
                <w:lang w:eastAsia="en-IE"/>
              </w:rPr>
            </w:pPr>
            <w:r w:rsidRPr="1FC5E705">
              <w:rPr>
                <w:noProof/>
                <w:sz w:val="22"/>
                <w:szCs w:val="22"/>
              </w:rPr>
              <w:t xml:space="preserve">IMO0: No IMO deduction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6E292856"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BFD51E5"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03B9257" w14:textId="77777777" w:rsidR="00A71942" w:rsidRPr="002B0D84" w:rsidRDefault="00A71942" w:rsidP="00E276C8">
            <w:pPr>
              <w:spacing w:line="240" w:lineRule="auto"/>
              <w:jc w:val="center"/>
              <w:rPr>
                <w:b/>
                <w:bCs/>
                <w:noProof/>
                <w:sz w:val="22"/>
                <w:szCs w:val="22"/>
                <w:lang w:eastAsia="en-IE"/>
              </w:rPr>
            </w:pPr>
          </w:p>
        </w:tc>
      </w:tr>
      <w:tr w:rsidR="00A71942" w:rsidRPr="002B0D84" w14:paraId="6CA795C1" w14:textId="77777777" w:rsidTr="1FC5E705">
        <w:trPr>
          <w:gridBefore w:val="1"/>
          <w:wBefore w:w="10" w:type="dxa"/>
          <w:trHeight w:val="144"/>
        </w:trPr>
        <w:tc>
          <w:tcPr>
            <w:tcW w:w="1545" w:type="dxa"/>
            <w:vMerge/>
            <w:hideMark/>
          </w:tcPr>
          <w:p w14:paraId="5CED6377" w14:textId="77777777" w:rsidR="00A71942" w:rsidRPr="002B0D84" w:rsidRDefault="00A71942" w:rsidP="00E276C8">
            <w:pPr>
              <w:spacing w:line="240" w:lineRule="auto"/>
              <w:rPr>
                <w:noProof/>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A0DB2BA" w14:textId="77777777" w:rsidR="00A71942" w:rsidRPr="002B0D84" w:rsidRDefault="00A71942" w:rsidP="00E276C8">
            <w:pPr>
              <w:spacing w:line="240" w:lineRule="auto"/>
              <w:rPr>
                <w:rFonts w:eastAsia="Times New Roman"/>
                <w:noProof/>
                <w:sz w:val="22"/>
                <w:szCs w:val="22"/>
              </w:rPr>
            </w:pPr>
            <w:r w:rsidRPr="1FC5E705">
              <w:rPr>
                <w:noProof/>
                <w:sz w:val="22"/>
                <w:szCs w:val="22"/>
              </w:rPr>
              <w:t>IMO1: Deduction from the ETS surrendering obligations of emissions subject to pricing by IMO</w:t>
            </w:r>
            <w:r w:rsidRPr="1FC5E705">
              <w:rPr>
                <w:rFonts w:eastAsia="Times New Roman"/>
                <w:noProof/>
                <w:color w:val="C239B3"/>
                <w:sz w:val="22"/>
                <w:szCs w:val="22"/>
                <w:u w:val="single"/>
              </w:rPr>
              <w:t xml:space="preserve">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A8E4058"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E474157"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6EA28A7B"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r w:rsidR="00A71942" w:rsidRPr="002B0D84" w14:paraId="1F235D24" w14:textId="77777777" w:rsidTr="1FC5E705">
        <w:trPr>
          <w:gridBefore w:val="1"/>
          <w:wBefore w:w="10" w:type="dxa"/>
          <w:trHeight w:val="144"/>
        </w:trPr>
        <w:tc>
          <w:tcPr>
            <w:tcW w:w="1545" w:type="dxa"/>
            <w:vMerge w:val="restart"/>
            <w:tcBorders>
              <w:top w:val="single" w:sz="8" w:space="0" w:color="242828" w:themeColor="text1"/>
              <w:left w:val="single" w:sz="8" w:space="0" w:color="242828" w:themeColor="text1"/>
              <w:right w:val="single" w:sz="8" w:space="0" w:color="242828" w:themeColor="text1"/>
            </w:tcBorders>
            <w:hideMark/>
          </w:tcPr>
          <w:p w14:paraId="7428FDBA" w14:textId="77777777" w:rsidR="00A71942" w:rsidRPr="002B0D84" w:rsidRDefault="00A71942" w:rsidP="00E276C8">
            <w:pPr>
              <w:spacing w:line="240" w:lineRule="auto"/>
              <w:rPr>
                <w:b/>
                <w:bCs/>
                <w:noProof/>
                <w:sz w:val="22"/>
                <w:szCs w:val="22"/>
                <w:lang w:eastAsia="en-IE"/>
              </w:rPr>
            </w:pPr>
            <w:r w:rsidRPr="1FC5E705">
              <w:rPr>
                <w:b/>
                <w:bCs/>
                <w:noProof/>
                <w:sz w:val="22"/>
                <w:szCs w:val="22"/>
              </w:rPr>
              <w:t>Maritime - Smaller Ships</w:t>
            </w:r>
          </w:p>
          <w:p w14:paraId="639AC912" w14:textId="77777777" w:rsidR="00A71942" w:rsidRPr="002B0D84" w:rsidRDefault="00A71942" w:rsidP="00E276C8">
            <w:pPr>
              <w:spacing w:line="240" w:lineRule="auto"/>
              <w:rPr>
                <w:b/>
                <w:bCs/>
                <w:noProof/>
                <w:sz w:val="22"/>
                <w:szCs w:val="22"/>
                <w:lang w:eastAsia="en-IE"/>
              </w:rPr>
            </w:pPr>
          </w:p>
          <w:p w14:paraId="4420A529" w14:textId="77777777" w:rsidR="00A71942" w:rsidRPr="002B0D84" w:rsidRDefault="00A71942" w:rsidP="00E276C8">
            <w:pPr>
              <w:spacing w:line="240" w:lineRule="auto"/>
              <w:rPr>
                <w:b/>
                <w:bCs/>
                <w:noProof/>
                <w:sz w:val="22"/>
                <w:szCs w:val="22"/>
                <w:lang w:eastAsia="en-IE"/>
              </w:rPr>
            </w:pPr>
          </w:p>
          <w:p w14:paraId="336CE5C5" w14:textId="77777777" w:rsidR="00A71942" w:rsidRPr="002B0D84" w:rsidRDefault="00A71942" w:rsidP="00E276C8">
            <w:pPr>
              <w:spacing w:line="240" w:lineRule="auto"/>
              <w:rPr>
                <w:b/>
                <w:bCs/>
                <w:noProof/>
                <w:sz w:val="22"/>
                <w:szCs w:val="22"/>
                <w:lang w:eastAsia="en-IE"/>
              </w:rPr>
            </w:pPr>
          </w:p>
          <w:p w14:paraId="73B7822B"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62099006" w14:textId="77777777" w:rsidR="00A71942" w:rsidRPr="002B0D84" w:rsidRDefault="00A71942" w:rsidP="00E276C8">
            <w:pPr>
              <w:spacing w:line="240" w:lineRule="auto"/>
              <w:rPr>
                <w:noProof/>
                <w:sz w:val="22"/>
                <w:szCs w:val="22"/>
                <w:lang w:eastAsia="en-IE"/>
              </w:rPr>
            </w:pPr>
            <w:r w:rsidRPr="1FC5E705">
              <w:rPr>
                <w:noProof/>
                <w:sz w:val="22"/>
                <w:szCs w:val="22"/>
              </w:rPr>
              <w:t>MSS0: The existing scope in terms of ship categories and sizes remains unchanged</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3E71F4E"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74A8C71A"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09EB3380" w14:textId="77777777" w:rsidR="00A71942" w:rsidRPr="002B0D84" w:rsidRDefault="00A71942" w:rsidP="00E276C8">
            <w:pPr>
              <w:spacing w:line="240" w:lineRule="auto"/>
              <w:jc w:val="center"/>
              <w:rPr>
                <w:b/>
                <w:bCs/>
                <w:noProof/>
                <w:sz w:val="22"/>
                <w:szCs w:val="22"/>
                <w:lang w:eastAsia="en-IE"/>
              </w:rPr>
            </w:pPr>
          </w:p>
        </w:tc>
      </w:tr>
      <w:tr w:rsidR="00A71942" w:rsidRPr="002B0D84" w14:paraId="46A6D041" w14:textId="77777777" w:rsidTr="1FC5E705">
        <w:trPr>
          <w:gridBefore w:val="1"/>
          <w:wBefore w:w="10" w:type="dxa"/>
          <w:trHeight w:val="144"/>
        </w:trPr>
        <w:tc>
          <w:tcPr>
            <w:tcW w:w="1545" w:type="dxa"/>
            <w:vMerge/>
            <w:hideMark/>
          </w:tcPr>
          <w:p w14:paraId="2AB8E4ED"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2333071" w14:textId="77777777" w:rsidR="00A71942" w:rsidRPr="002B0D84" w:rsidRDefault="00A71942" w:rsidP="00E276C8">
            <w:pPr>
              <w:spacing w:line="240" w:lineRule="auto"/>
              <w:rPr>
                <w:noProof/>
                <w:sz w:val="22"/>
                <w:szCs w:val="22"/>
                <w:lang w:eastAsia="en-IE"/>
              </w:rPr>
            </w:pPr>
            <w:r w:rsidRPr="1FC5E705">
              <w:rPr>
                <w:noProof/>
                <w:sz w:val="22"/>
                <w:szCs w:val="22"/>
              </w:rPr>
              <w:t>MSS1: Targeted extension of the scope of the EU ETS to smaller ships by including ship categories emitting the most among small ship categories</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0D61872"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4074AC80"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570A713B" w14:textId="77777777" w:rsidR="00A71942" w:rsidRPr="002B0D84" w:rsidRDefault="00A71942" w:rsidP="00E276C8">
            <w:pPr>
              <w:spacing w:line="240" w:lineRule="auto"/>
              <w:jc w:val="center"/>
              <w:rPr>
                <w:b/>
                <w:bCs/>
                <w:noProof/>
                <w:sz w:val="22"/>
                <w:szCs w:val="22"/>
                <w:lang w:eastAsia="en-IE"/>
              </w:rPr>
            </w:pPr>
          </w:p>
        </w:tc>
      </w:tr>
      <w:tr w:rsidR="00A71942" w:rsidRPr="002B0D84" w14:paraId="1286A228" w14:textId="77777777" w:rsidTr="1FC5E705">
        <w:trPr>
          <w:gridBefore w:val="1"/>
          <w:wBefore w:w="10" w:type="dxa"/>
          <w:trHeight w:val="144"/>
        </w:trPr>
        <w:tc>
          <w:tcPr>
            <w:tcW w:w="1545" w:type="dxa"/>
            <w:vMerge/>
            <w:hideMark/>
          </w:tcPr>
          <w:p w14:paraId="08903611" w14:textId="77777777" w:rsidR="00A71942" w:rsidRPr="002B0D84" w:rsidRDefault="00A71942" w:rsidP="00E276C8">
            <w:pPr>
              <w:spacing w:line="240" w:lineRule="auto"/>
              <w:rPr>
                <w:b/>
                <w:bCs/>
                <w:noProof/>
                <w:sz w:val="22"/>
                <w:szCs w:val="22"/>
                <w:lang w:eastAsia="en-IE"/>
              </w:rPr>
            </w:pPr>
          </w:p>
        </w:tc>
        <w:tc>
          <w:tcPr>
            <w:tcW w:w="381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F76E599" w14:textId="77777777" w:rsidR="00A71942" w:rsidRPr="002B0D84" w:rsidRDefault="00A71942" w:rsidP="00E276C8">
            <w:pPr>
              <w:spacing w:line="240" w:lineRule="auto"/>
              <w:rPr>
                <w:noProof/>
                <w:sz w:val="22"/>
                <w:szCs w:val="22"/>
                <w:lang w:eastAsia="en-IE"/>
              </w:rPr>
            </w:pPr>
            <w:r w:rsidRPr="1FC5E705">
              <w:rPr>
                <w:noProof/>
                <w:sz w:val="22"/>
                <w:szCs w:val="22"/>
              </w:rPr>
              <w:t xml:space="preserve">MSS2: Extension of the scope of the EU ETS to all smaller vessels (from categories non-exempt from MRV, plus fishing vessels and non-commercial yachts) </w:t>
            </w:r>
          </w:p>
        </w:tc>
        <w:tc>
          <w:tcPr>
            <w:tcW w:w="1128"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2F52D3A2" w14:textId="77777777" w:rsidR="00A71942" w:rsidRPr="002B0D84" w:rsidRDefault="00A71942" w:rsidP="00E276C8">
            <w:pPr>
              <w:spacing w:line="240" w:lineRule="auto"/>
              <w:jc w:val="center"/>
              <w:rPr>
                <w:b/>
                <w:bCs/>
                <w:noProof/>
                <w:sz w:val="22"/>
                <w:szCs w:val="22"/>
                <w:lang w:eastAsia="en-IE"/>
              </w:rPr>
            </w:pPr>
          </w:p>
        </w:tc>
        <w:tc>
          <w:tcPr>
            <w:tcW w:w="1126"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178DB868" w14:textId="77777777" w:rsidR="00A71942" w:rsidRPr="002B0D84" w:rsidRDefault="00A71942" w:rsidP="00E276C8">
            <w:pPr>
              <w:spacing w:line="240" w:lineRule="auto"/>
              <w:jc w:val="center"/>
              <w:rPr>
                <w:b/>
                <w:bCs/>
                <w:noProof/>
                <w:sz w:val="22"/>
                <w:szCs w:val="22"/>
                <w:lang w:eastAsia="en-IE"/>
              </w:rPr>
            </w:pPr>
          </w:p>
        </w:tc>
        <w:tc>
          <w:tcPr>
            <w:tcW w:w="1129" w:type="dxa"/>
            <w:tcBorders>
              <w:top w:val="single" w:sz="8" w:space="0" w:color="242828" w:themeColor="text1"/>
              <w:left w:val="single" w:sz="8" w:space="0" w:color="242828" w:themeColor="text1"/>
              <w:bottom w:val="single" w:sz="8" w:space="0" w:color="242828" w:themeColor="text1"/>
              <w:right w:val="single" w:sz="8" w:space="0" w:color="242828" w:themeColor="text1"/>
            </w:tcBorders>
            <w:hideMark/>
          </w:tcPr>
          <w:p w14:paraId="32E83D5B" w14:textId="77777777" w:rsidR="00A71942" w:rsidRPr="002B0D84" w:rsidRDefault="00A71942" w:rsidP="00E276C8">
            <w:pPr>
              <w:spacing w:line="240" w:lineRule="auto"/>
              <w:jc w:val="center"/>
              <w:rPr>
                <w:b/>
                <w:bCs/>
                <w:noProof/>
                <w:sz w:val="22"/>
                <w:szCs w:val="22"/>
                <w:lang w:eastAsia="en-IE"/>
              </w:rPr>
            </w:pPr>
            <w:r w:rsidRPr="1FC5E705">
              <w:rPr>
                <w:b/>
                <w:bCs/>
                <w:noProof/>
                <w:sz w:val="22"/>
                <w:szCs w:val="22"/>
              </w:rPr>
              <w:t>X</w:t>
            </w:r>
          </w:p>
        </w:tc>
      </w:tr>
    </w:tbl>
    <w:p w14:paraId="520780B1" w14:textId="585AE6B0" w:rsidR="00A71942" w:rsidRPr="002B0D84" w:rsidRDefault="00A71942" w:rsidP="00E276C8">
      <w:pPr>
        <w:spacing w:line="240" w:lineRule="auto"/>
        <w:rPr>
          <w:noProof/>
        </w:rPr>
      </w:pPr>
      <w:r>
        <w:rPr>
          <w:noProof/>
        </w:rPr>
        <w:t xml:space="preserve">The possibility to offer EU ETS as a service to third countries (e.g. candidate countries) is also considered. It could promote the adoption of consistent carbon pricing mechanisms in non-EU countries and </w:t>
      </w:r>
      <w:r w:rsidRPr="1FC5E705">
        <w:rPr>
          <w:rFonts w:eastAsia="Times New Roman"/>
          <w:noProof/>
        </w:rPr>
        <w:t xml:space="preserve">help drive global climate action in the maritime sector, </w:t>
      </w:r>
      <w:r>
        <w:rPr>
          <w:noProof/>
        </w:rPr>
        <w:t>especially in the event an IMO market-based measure is not applied</w:t>
      </w:r>
      <w:r w:rsidRPr="1FC5E705">
        <w:rPr>
          <w:rFonts w:eastAsia="Times New Roman"/>
          <w:noProof/>
        </w:rPr>
        <w:t>.</w:t>
      </w:r>
      <w:r>
        <w:rPr>
          <w:noProof/>
        </w:rPr>
        <w:t xml:space="preserve"> However, the possibility to support a future IMO Fund with payments from selling of ETS allowances could not be analysed considering that the IMO adjourned its decision regarding the adoption of the IMO Net Zero Framework. This issue will need to be re-assessed once (and if) a Fund is established at IMO. </w:t>
      </w:r>
    </w:p>
    <w:p w14:paraId="04E0EDEE" w14:textId="77777777" w:rsidR="00A71942" w:rsidRPr="002B0D84" w:rsidRDefault="00A71942" w:rsidP="00E276C8">
      <w:pPr>
        <w:pStyle w:val="Heading2COM"/>
        <w:spacing w:before="120" w:after="120" w:line="240" w:lineRule="auto"/>
        <w:outlineLvl w:val="2"/>
        <w15:collapsed w:val="0"/>
        <w:rPr>
          <w:noProof/>
        </w:rPr>
      </w:pPr>
      <w:bookmarkStart w:id="655" w:name="_Toc220344202"/>
      <w:bookmarkStart w:id="656" w:name="_Toc219466680"/>
      <w:bookmarkStart w:id="657" w:name="_Toc232611535"/>
      <w:bookmarkStart w:id="658" w:name="_Toc232758220"/>
      <w:bookmarkEnd w:id="655"/>
      <w:r>
        <w:rPr>
          <w:noProof/>
        </w:rPr>
        <w:t>Stationary installations</w:t>
      </w:r>
      <w:bookmarkEnd w:id="656"/>
      <w:bookmarkEnd w:id="657"/>
      <w:bookmarkEnd w:id="658"/>
    </w:p>
    <w:p w14:paraId="44147EF4" w14:textId="77777777" w:rsidR="00A71942" w:rsidRPr="002B0D84" w:rsidRDefault="00A71942" w:rsidP="00E276C8">
      <w:pPr>
        <w:pStyle w:val="Heading3COM"/>
        <w:spacing w:before="120" w:after="120" w:line="240" w:lineRule="auto"/>
        <w:outlineLvl w:val="3"/>
        <w:rPr>
          <w:noProof/>
        </w:rPr>
      </w:pPr>
      <w:bookmarkStart w:id="659" w:name="_Toc232611536"/>
      <w:bookmarkStart w:id="660" w:name="_Toc232758221"/>
      <w:r>
        <w:rPr>
          <w:noProof/>
        </w:rPr>
        <w:t>Carbon leakage prevention measures for direct emissions</w:t>
      </w:r>
      <w:bookmarkEnd w:id="659"/>
      <w:bookmarkEnd w:id="660"/>
    </w:p>
    <w:p w14:paraId="61573905" w14:textId="77777777" w:rsidR="00A71942" w:rsidRPr="002B0D84" w:rsidRDefault="00A71942" w:rsidP="00E276C8">
      <w:pPr>
        <w:spacing w:line="240" w:lineRule="auto"/>
        <w:rPr>
          <w:noProof/>
        </w:rPr>
      </w:pPr>
      <w:bookmarkStart w:id="661" w:name="_Toc211963175"/>
      <w:r>
        <w:rPr>
          <w:noProof/>
        </w:rPr>
        <w:t xml:space="preserve">Establishing a carbon pricing mechanism brings the risk of carbon leakage, which occurs if industrial production relocates from the EU to jurisdictions with less stringent environmental standards. For ETS sectors outside of the scope of the CBAM regulation, the provision of </w:t>
      </w:r>
      <w:r w:rsidRPr="1FC5E705">
        <w:rPr>
          <w:b/>
          <w:bCs/>
          <w:noProof/>
        </w:rPr>
        <w:t xml:space="preserve">free allocation </w:t>
      </w:r>
      <w:r>
        <w:rPr>
          <w:noProof/>
        </w:rPr>
        <w:t>(P3) remains the main tool to address this risk. Some of the carbon leakage measures analysed are primarily developed as improvements and simplifications to the current free allocation rules (CL1) or as an expansion of the current limited application of conditionality to all installations (CL2). The other measure (CL3) provides an alternative approach for carbon leakage, under which installations do not receive allowances for free, but rather must surrender allowances only for part of the reported emissions, which is set to progressively increase to a full surrender.</w:t>
      </w:r>
      <w:bookmarkEnd w:id="661"/>
      <w:r>
        <w:rPr>
          <w:noProof/>
        </w:rPr>
        <w:t xml:space="preserve"> </w:t>
      </w:r>
    </w:p>
    <w:p w14:paraId="6A33619C" w14:textId="77777777" w:rsidR="00A71942" w:rsidRPr="002B0D84" w:rsidRDefault="00A71942" w:rsidP="00E276C8">
      <w:pPr>
        <w:spacing w:line="240" w:lineRule="auto"/>
        <w:rPr>
          <w:noProof/>
        </w:rPr>
      </w:pPr>
      <w:bookmarkStart w:id="662" w:name="_Toc211963176"/>
      <w:r>
        <w:rPr>
          <w:noProof/>
        </w:rPr>
        <w:t>CL1 is included in PO1 ‘Aligning ambition and improving incentives’, as it provides continuity with the current free allocation system in addressing the risk of carbon leakage (SO1.1.3), while providing some simplification to reduce administrative burden and making the implementation of the free allocation more efficient. CL2 is part of the ’ Aligning ambition and extending scope and corresponding incentives’ option PO2 and it builds on CL1 (including thus all the simplification and improvements therein) . Under this measure, in order to ensure the better targeting of free allocation and to encourage investments in the decarbonisation of industry (addressing SO1.1.1), a gradually increasing share of free allocation is made conditional to installations demonstrating that the equivalent financial value of the received free allocation is invested in signficant emissions reduction measures. For the purposes of the assessment of the impacts of this measure, two different scenarios are assumed for the rate of complying with the conditionalities under CL2 – 90% (CL2_90) and respectively 50% (CL2_50). Additional variants for CL2 include adjustments to the rate of the phase-out of free allocation for sectors falling under the scope of the scope of the CBAM regulation, addressing the risk of remaining carbon leakage for those sectors. CL3, which is part of the ‘Aligning ambition and extending scope and incentives comprehensively’ option PO3, replaces free allocation with a partial non-surrender obligation that gradually increases to a full surrender obligation by 2034. This measure results a better carbon price signal (SO1.1.2) and it brings significant administrative simplification, as all the administrative processes related to applying and receiving free allocation are removed. However, this results in a less effective carbon leakage protection</w:t>
      </w:r>
      <w:bookmarkEnd w:id="662"/>
      <w:r>
        <w:rPr>
          <w:noProof/>
        </w:rPr>
        <w:t xml:space="preserve"> and does not provide incentives to reduce emissions. </w:t>
      </w:r>
    </w:p>
    <w:p w14:paraId="503493FC" w14:textId="77777777" w:rsidR="00A71942" w:rsidRPr="002B0D84" w:rsidRDefault="00A71942" w:rsidP="00E276C8">
      <w:pPr>
        <w:pStyle w:val="Tabletitle"/>
        <w:spacing w:after="120" w:line="240" w:lineRule="auto"/>
        <w:ind w:left="720"/>
        <w:rPr>
          <w:noProof/>
        </w:rPr>
      </w:pPr>
      <w:bookmarkStart w:id="663" w:name="_Toc232608950"/>
      <w:bookmarkStart w:id="664" w:name="_Toc232609686"/>
      <w:bookmarkStart w:id="665" w:name="_Toc232611561"/>
      <w:bookmarkStart w:id="666" w:name="_Toc232672620"/>
      <w:bookmarkStart w:id="667" w:name="_Toc232758472"/>
      <w:r>
        <w:rPr>
          <w:noProof/>
        </w:rPr>
        <w:t>Policy measures for carbon leakage prevention</w:t>
      </w:r>
      <w:bookmarkEnd w:id="663"/>
      <w:bookmarkEnd w:id="664"/>
      <w:bookmarkEnd w:id="665"/>
      <w:bookmarkEnd w:id="666"/>
      <w:bookmarkEnd w:id="667"/>
    </w:p>
    <w:tbl>
      <w:tblPr>
        <w:tblW w:w="8853" w:type="dxa"/>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4905"/>
        <w:gridCol w:w="1317"/>
        <w:gridCol w:w="1314"/>
        <w:gridCol w:w="1317"/>
      </w:tblGrid>
      <w:tr w:rsidR="00A71942" w:rsidRPr="002B0D84" w14:paraId="1B881DCF" w14:textId="77777777" w:rsidTr="1FC5E705">
        <w:trPr>
          <w:trHeight w:val="144"/>
        </w:trPr>
        <w:tc>
          <w:tcPr>
            <w:tcW w:w="4905" w:type="dxa"/>
            <w:hideMark/>
          </w:tcPr>
          <w:p w14:paraId="0C1DFD1F" w14:textId="77777777" w:rsidR="00A71942" w:rsidRPr="002B0D84" w:rsidRDefault="00A71942" w:rsidP="00E276C8">
            <w:pPr>
              <w:spacing w:line="240" w:lineRule="auto"/>
              <w:rPr>
                <w:b/>
                <w:bCs/>
                <w:noProof/>
                <w:sz w:val="22"/>
                <w:szCs w:val="22"/>
                <w:lang w:val="en-IE" w:eastAsia="en-IE"/>
              </w:rPr>
            </w:pPr>
            <w:bookmarkStart w:id="668" w:name="_Toc211963179"/>
            <w:r w:rsidRPr="1FC5E705">
              <w:rPr>
                <w:b/>
                <w:bCs/>
                <w:noProof/>
                <w:sz w:val="22"/>
                <w:szCs w:val="22"/>
              </w:rPr>
              <w:t>Policy measure</w:t>
            </w:r>
            <w:bookmarkEnd w:id="668"/>
            <w:r w:rsidRPr="1FC5E705">
              <w:rPr>
                <w:b/>
                <w:bCs/>
                <w:noProof/>
                <w:sz w:val="22"/>
                <w:szCs w:val="22"/>
              </w:rPr>
              <w:t> </w:t>
            </w:r>
          </w:p>
        </w:tc>
        <w:tc>
          <w:tcPr>
            <w:tcW w:w="1317" w:type="dxa"/>
            <w:hideMark/>
          </w:tcPr>
          <w:p w14:paraId="7584482E" w14:textId="77777777" w:rsidR="00A71942" w:rsidRPr="002B0D84" w:rsidRDefault="00A71942" w:rsidP="00E276C8">
            <w:pPr>
              <w:spacing w:line="240" w:lineRule="auto"/>
              <w:jc w:val="center"/>
              <w:rPr>
                <w:b/>
                <w:bCs/>
                <w:noProof/>
                <w:sz w:val="22"/>
                <w:szCs w:val="22"/>
                <w:lang w:val="en-IE" w:eastAsia="en-IE"/>
              </w:rPr>
            </w:pPr>
            <w:bookmarkStart w:id="669" w:name="_Toc211963180"/>
            <w:r w:rsidRPr="1FC5E705">
              <w:rPr>
                <w:b/>
                <w:bCs/>
                <w:noProof/>
                <w:sz w:val="22"/>
                <w:szCs w:val="22"/>
              </w:rPr>
              <w:t>PO1</w:t>
            </w:r>
            <w:bookmarkEnd w:id="669"/>
          </w:p>
        </w:tc>
        <w:tc>
          <w:tcPr>
            <w:tcW w:w="1314" w:type="dxa"/>
            <w:hideMark/>
          </w:tcPr>
          <w:p w14:paraId="6ED1F635" w14:textId="77777777" w:rsidR="00A71942" w:rsidRPr="002B0D84" w:rsidRDefault="00A71942" w:rsidP="00E276C8">
            <w:pPr>
              <w:spacing w:line="240" w:lineRule="auto"/>
              <w:jc w:val="center"/>
              <w:rPr>
                <w:b/>
                <w:bCs/>
                <w:noProof/>
                <w:sz w:val="22"/>
                <w:szCs w:val="22"/>
                <w:lang w:val="en-IE" w:eastAsia="en-IE"/>
              </w:rPr>
            </w:pPr>
            <w:bookmarkStart w:id="670" w:name="_Toc211963181"/>
            <w:r w:rsidRPr="1FC5E705">
              <w:rPr>
                <w:b/>
                <w:bCs/>
                <w:noProof/>
                <w:sz w:val="22"/>
                <w:szCs w:val="22"/>
              </w:rPr>
              <w:t>PO2</w:t>
            </w:r>
            <w:bookmarkEnd w:id="670"/>
          </w:p>
        </w:tc>
        <w:tc>
          <w:tcPr>
            <w:tcW w:w="1317" w:type="dxa"/>
            <w:hideMark/>
          </w:tcPr>
          <w:p w14:paraId="07DF45DF" w14:textId="77777777" w:rsidR="00A71942" w:rsidRPr="002B0D84" w:rsidRDefault="00A71942" w:rsidP="00E276C8">
            <w:pPr>
              <w:spacing w:line="240" w:lineRule="auto"/>
              <w:jc w:val="center"/>
              <w:rPr>
                <w:b/>
                <w:bCs/>
                <w:noProof/>
                <w:sz w:val="22"/>
                <w:szCs w:val="22"/>
                <w:lang w:val="en-IE" w:eastAsia="en-IE"/>
              </w:rPr>
            </w:pPr>
            <w:bookmarkStart w:id="671" w:name="_Toc211963182"/>
            <w:r w:rsidRPr="1FC5E705">
              <w:rPr>
                <w:b/>
                <w:bCs/>
                <w:noProof/>
                <w:sz w:val="22"/>
                <w:szCs w:val="22"/>
              </w:rPr>
              <w:t>PO3</w:t>
            </w:r>
            <w:bookmarkEnd w:id="671"/>
          </w:p>
        </w:tc>
      </w:tr>
      <w:tr w:rsidR="00A71942" w:rsidRPr="002B0D84" w14:paraId="230009CF" w14:textId="77777777" w:rsidTr="1FC5E705">
        <w:trPr>
          <w:trHeight w:val="344"/>
        </w:trPr>
        <w:tc>
          <w:tcPr>
            <w:tcW w:w="4905" w:type="dxa"/>
            <w:hideMark/>
          </w:tcPr>
          <w:p w14:paraId="4FEC3E9A" w14:textId="77777777" w:rsidR="00A71942" w:rsidRPr="002B0D84" w:rsidRDefault="00A71942" w:rsidP="00E276C8">
            <w:pPr>
              <w:spacing w:line="240" w:lineRule="auto"/>
              <w:rPr>
                <w:rFonts w:ascii="Arial" w:eastAsia="Times New Roman" w:hAnsi="Arial" w:cs="Arial"/>
                <w:noProof/>
                <w:sz w:val="20"/>
                <w:szCs w:val="20"/>
                <w:lang w:val="en-IE" w:eastAsia="en-IE"/>
              </w:rPr>
            </w:pPr>
            <w:bookmarkStart w:id="672" w:name="_Toc211963183"/>
            <w:r w:rsidRPr="1FC5E705">
              <w:rPr>
                <w:noProof/>
                <w:sz w:val="22"/>
                <w:szCs w:val="22"/>
              </w:rPr>
              <w:t>CL1: Improved current approach</w:t>
            </w:r>
            <w:bookmarkEnd w:id="672"/>
          </w:p>
        </w:tc>
        <w:tc>
          <w:tcPr>
            <w:tcW w:w="1317" w:type="dxa"/>
            <w:vAlign w:val="center"/>
            <w:hideMark/>
          </w:tcPr>
          <w:p w14:paraId="352A80D3" w14:textId="77777777" w:rsidR="00A71942" w:rsidRPr="002B0D84" w:rsidRDefault="00A71942" w:rsidP="00E276C8">
            <w:pPr>
              <w:spacing w:line="240" w:lineRule="auto"/>
              <w:jc w:val="center"/>
              <w:rPr>
                <w:noProof/>
                <w:sz w:val="22"/>
                <w:szCs w:val="22"/>
                <w:lang w:val="en-IE" w:eastAsia="en-IE"/>
              </w:rPr>
            </w:pPr>
            <w:bookmarkStart w:id="673" w:name="_Toc211963184"/>
            <w:r w:rsidRPr="1FC5E705">
              <w:rPr>
                <w:noProof/>
                <w:sz w:val="22"/>
                <w:szCs w:val="22"/>
              </w:rPr>
              <w:t>X</w:t>
            </w:r>
            <w:bookmarkEnd w:id="673"/>
          </w:p>
        </w:tc>
        <w:tc>
          <w:tcPr>
            <w:tcW w:w="1314" w:type="dxa"/>
            <w:vAlign w:val="center"/>
            <w:hideMark/>
          </w:tcPr>
          <w:p w14:paraId="3A9CE130" w14:textId="77777777" w:rsidR="00A71942" w:rsidRPr="002B0D84" w:rsidRDefault="00A71942" w:rsidP="00E276C8">
            <w:pPr>
              <w:spacing w:line="240" w:lineRule="auto"/>
              <w:jc w:val="center"/>
              <w:rPr>
                <w:noProof/>
                <w:sz w:val="22"/>
                <w:szCs w:val="22"/>
                <w:lang w:val="en-IE" w:eastAsia="en-IE"/>
              </w:rPr>
            </w:pPr>
            <w:r w:rsidRPr="1FC5E705">
              <w:rPr>
                <w:noProof/>
                <w:sz w:val="22"/>
                <w:szCs w:val="22"/>
              </w:rPr>
              <w:t> </w:t>
            </w:r>
          </w:p>
        </w:tc>
        <w:tc>
          <w:tcPr>
            <w:tcW w:w="1317" w:type="dxa"/>
            <w:vAlign w:val="center"/>
          </w:tcPr>
          <w:p w14:paraId="2F77D3AB" w14:textId="77777777" w:rsidR="00A71942" w:rsidRPr="002B0D84" w:rsidRDefault="00A71942" w:rsidP="00E276C8">
            <w:pPr>
              <w:spacing w:line="240" w:lineRule="auto"/>
              <w:jc w:val="center"/>
              <w:rPr>
                <w:noProof/>
                <w:sz w:val="22"/>
                <w:szCs w:val="22"/>
                <w:lang w:val="en-IE" w:eastAsia="en-IE"/>
              </w:rPr>
            </w:pPr>
          </w:p>
        </w:tc>
      </w:tr>
      <w:tr w:rsidR="00A71942" w:rsidRPr="002B0D84" w14:paraId="56745EA8" w14:textId="77777777" w:rsidTr="1FC5E705">
        <w:trPr>
          <w:trHeight w:val="344"/>
        </w:trPr>
        <w:tc>
          <w:tcPr>
            <w:tcW w:w="4905" w:type="dxa"/>
            <w:hideMark/>
          </w:tcPr>
          <w:p w14:paraId="53851700" w14:textId="77777777" w:rsidR="00A71942" w:rsidRPr="002B0D84" w:rsidRDefault="00A71942" w:rsidP="00E276C8">
            <w:pPr>
              <w:spacing w:line="240" w:lineRule="auto"/>
              <w:rPr>
                <w:rFonts w:ascii="Arial" w:eastAsia="Times New Roman" w:hAnsi="Arial" w:cs="Arial"/>
                <w:noProof/>
                <w:sz w:val="20"/>
                <w:szCs w:val="20"/>
                <w:lang w:val="en-IE" w:eastAsia="en-IE"/>
              </w:rPr>
            </w:pPr>
            <w:bookmarkStart w:id="674" w:name="_Toc211963185"/>
            <w:r w:rsidRPr="1FC5E705">
              <w:rPr>
                <w:noProof/>
                <w:sz w:val="22"/>
                <w:szCs w:val="22"/>
              </w:rPr>
              <w:t>CL2: Conditional Free allocation for investments</w:t>
            </w:r>
            <w:bookmarkEnd w:id="674"/>
          </w:p>
        </w:tc>
        <w:tc>
          <w:tcPr>
            <w:tcW w:w="1317" w:type="dxa"/>
            <w:vAlign w:val="center"/>
            <w:hideMark/>
          </w:tcPr>
          <w:p w14:paraId="33D03BCF" w14:textId="77777777" w:rsidR="00A71942" w:rsidRPr="002B0D84" w:rsidRDefault="00A71942" w:rsidP="00E276C8">
            <w:pPr>
              <w:spacing w:line="240" w:lineRule="auto"/>
              <w:jc w:val="center"/>
              <w:rPr>
                <w:noProof/>
                <w:sz w:val="22"/>
                <w:szCs w:val="22"/>
                <w:lang w:val="en-IE" w:eastAsia="en-IE"/>
              </w:rPr>
            </w:pPr>
            <w:r w:rsidRPr="1FC5E705">
              <w:rPr>
                <w:noProof/>
                <w:sz w:val="22"/>
                <w:szCs w:val="22"/>
              </w:rPr>
              <w:t> </w:t>
            </w:r>
          </w:p>
        </w:tc>
        <w:tc>
          <w:tcPr>
            <w:tcW w:w="1314" w:type="dxa"/>
            <w:vAlign w:val="center"/>
            <w:hideMark/>
          </w:tcPr>
          <w:p w14:paraId="569341C0" w14:textId="77777777" w:rsidR="00A71942" w:rsidRPr="002B0D84" w:rsidRDefault="00A71942" w:rsidP="00E276C8">
            <w:pPr>
              <w:spacing w:line="240" w:lineRule="auto"/>
              <w:jc w:val="center"/>
              <w:rPr>
                <w:noProof/>
                <w:sz w:val="22"/>
                <w:szCs w:val="22"/>
                <w:lang w:val="en-IE" w:eastAsia="en-IE"/>
              </w:rPr>
            </w:pPr>
            <w:bookmarkStart w:id="675" w:name="_Toc211963186"/>
            <w:r w:rsidRPr="1FC5E705">
              <w:rPr>
                <w:noProof/>
                <w:sz w:val="22"/>
                <w:szCs w:val="22"/>
              </w:rPr>
              <w:t>X</w:t>
            </w:r>
            <w:bookmarkEnd w:id="675"/>
          </w:p>
        </w:tc>
        <w:tc>
          <w:tcPr>
            <w:tcW w:w="1317" w:type="dxa"/>
            <w:vAlign w:val="center"/>
          </w:tcPr>
          <w:p w14:paraId="6A4E3C83" w14:textId="77777777" w:rsidR="00A71942" w:rsidRPr="002B0D84" w:rsidRDefault="00A71942" w:rsidP="00E276C8">
            <w:pPr>
              <w:spacing w:line="240" w:lineRule="auto"/>
              <w:jc w:val="center"/>
              <w:rPr>
                <w:noProof/>
                <w:sz w:val="22"/>
                <w:szCs w:val="22"/>
                <w:lang w:val="en-IE" w:eastAsia="en-IE"/>
              </w:rPr>
            </w:pPr>
          </w:p>
        </w:tc>
      </w:tr>
      <w:tr w:rsidR="00A71942" w:rsidRPr="002B0D84" w14:paraId="667E11DE" w14:textId="77777777" w:rsidTr="1FC5E705">
        <w:trPr>
          <w:trHeight w:val="344"/>
        </w:trPr>
        <w:tc>
          <w:tcPr>
            <w:tcW w:w="4905" w:type="dxa"/>
            <w:vAlign w:val="center"/>
            <w:hideMark/>
          </w:tcPr>
          <w:p w14:paraId="4960308B" w14:textId="77777777" w:rsidR="00A71942" w:rsidRPr="002B0D84" w:rsidRDefault="00A71942" w:rsidP="00E276C8">
            <w:pPr>
              <w:spacing w:line="240" w:lineRule="auto"/>
              <w:rPr>
                <w:noProof/>
                <w:sz w:val="22"/>
                <w:szCs w:val="22"/>
              </w:rPr>
            </w:pPr>
            <w:bookmarkStart w:id="676" w:name="_Toc211963187"/>
            <w:r w:rsidRPr="1FC5E705">
              <w:rPr>
                <w:noProof/>
                <w:sz w:val="22"/>
                <w:szCs w:val="22"/>
              </w:rPr>
              <w:t>CL3: No free allocation and partial surrender of allowances until 2034</w:t>
            </w:r>
          </w:p>
          <w:bookmarkEnd w:id="676"/>
          <w:p w14:paraId="0A33125A" w14:textId="77777777" w:rsidR="00A71942" w:rsidRPr="002B0D84" w:rsidRDefault="00A71942" w:rsidP="00E276C8">
            <w:pPr>
              <w:spacing w:line="240" w:lineRule="auto"/>
              <w:rPr>
                <w:rFonts w:ascii="Arial" w:eastAsia="Times New Roman" w:hAnsi="Arial" w:cs="Arial"/>
                <w:noProof/>
                <w:sz w:val="20"/>
                <w:szCs w:val="20"/>
                <w:lang w:val="en-IE" w:eastAsia="en-IE"/>
              </w:rPr>
            </w:pPr>
          </w:p>
        </w:tc>
        <w:tc>
          <w:tcPr>
            <w:tcW w:w="1317" w:type="dxa"/>
            <w:vAlign w:val="center"/>
            <w:hideMark/>
          </w:tcPr>
          <w:p w14:paraId="6453AF9B" w14:textId="77777777" w:rsidR="00A71942" w:rsidRPr="002B0D84" w:rsidRDefault="00A71942" w:rsidP="00E276C8">
            <w:pPr>
              <w:spacing w:line="240" w:lineRule="auto"/>
              <w:jc w:val="center"/>
              <w:rPr>
                <w:noProof/>
                <w:sz w:val="22"/>
                <w:szCs w:val="22"/>
                <w:lang w:val="en-IE" w:eastAsia="en-IE"/>
              </w:rPr>
            </w:pPr>
          </w:p>
        </w:tc>
        <w:tc>
          <w:tcPr>
            <w:tcW w:w="1314" w:type="dxa"/>
            <w:vAlign w:val="center"/>
            <w:hideMark/>
          </w:tcPr>
          <w:p w14:paraId="7984ADE3" w14:textId="77777777" w:rsidR="00A71942" w:rsidRPr="002B0D84" w:rsidRDefault="00A71942" w:rsidP="00E276C8">
            <w:pPr>
              <w:spacing w:line="240" w:lineRule="auto"/>
              <w:jc w:val="center"/>
              <w:rPr>
                <w:noProof/>
                <w:sz w:val="22"/>
                <w:szCs w:val="22"/>
                <w:lang w:val="en-IE" w:eastAsia="en-IE"/>
              </w:rPr>
            </w:pPr>
            <w:r w:rsidRPr="1FC5E705">
              <w:rPr>
                <w:noProof/>
                <w:sz w:val="22"/>
                <w:szCs w:val="22"/>
              </w:rPr>
              <w:t> </w:t>
            </w:r>
          </w:p>
        </w:tc>
        <w:tc>
          <w:tcPr>
            <w:tcW w:w="1317" w:type="dxa"/>
            <w:vAlign w:val="center"/>
          </w:tcPr>
          <w:p w14:paraId="720FE2D6" w14:textId="77777777" w:rsidR="00A71942" w:rsidRPr="002B0D84" w:rsidRDefault="00A71942" w:rsidP="00E276C8">
            <w:pPr>
              <w:spacing w:line="240" w:lineRule="auto"/>
              <w:jc w:val="center"/>
              <w:rPr>
                <w:noProof/>
                <w:sz w:val="22"/>
                <w:szCs w:val="22"/>
                <w:lang w:val="en-IE" w:eastAsia="en-IE"/>
              </w:rPr>
            </w:pPr>
            <w:bookmarkStart w:id="677" w:name="_Toc211963188"/>
            <w:r w:rsidRPr="1FC5E705">
              <w:rPr>
                <w:noProof/>
                <w:sz w:val="22"/>
                <w:szCs w:val="22"/>
              </w:rPr>
              <w:t>X</w:t>
            </w:r>
            <w:bookmarkEnd w:id="677"/>
          </w:p>
        </w:tc>
      </w:tr>
    </w:tbl>
    <w:p w14:paraId="112FA5CE" w14:textId="77777777" w:rsidR="00A71942" w:rsidRPr="002B0D84" w:rsidRDefault="00A71942" w:rsidP="00E276C8">
      <w:pPr>
        <w:pStyle w:val="Heading3COM"/>
        <w:spacing w:before="120" w:after="120" w:line="240" w:lineRule="auto"/>
        <w:outlineLvl w:val="3"/>
        <w:rPr>
          <w:noProof/>
        </w:rPr>
      </w:pPr>
      <w:bookmarkStart w:id="678" w:name="_Toc232611537"/>
      <w:bookmarkStart w:id="679" w:name="_Toc232758222"/>
      <w:r>
        <w:rPr>
          <w:noProof/>
        </w:rPr>
        <w:t>Carbon leakage prevention measures for indirect emissions</w:t>
      </w:r>
      <w:bookmarkEnd w:id="678"/>
      <w:bookmarkEnd w:id="679"/>
    </w:p>
    <w:p w14:paraId="6BF88AA7" w14:textId="77777777" w:rsidR="00A71942" w:rsidRPr="002B0D84" w:rsidRDefault="00A71942" w:rsidP="00E276C8">
      <w:pPr>
        <w:spacing w:line="240" w:lineRule="auto"/>
        <w:rPr>
          <w:noProof/>
        </w:rPr>
      </w:pPr>
      <w:bookmarkStart w:id="680" w:name="_Toc211963189"/>
      <w:r w:rsidRPr="1FC5E705">
        <w:rPr>
          <w:b/>
          <w:bCs/>
          <w:noProof/>
        </w:rPr>
        <w:t xml:space="preserve">Compensation for indirect carbon costs (ICC) </w:t>
      </w:r>
      <w:r>
        <w:rPr>
          <w:noProof/>
        </w:rPr>
        <w:t>is encouraged under the ETS Directive as a way to address the risk of carbon leakage due to carbon costs passed on through electricity prices (SO1.1.3).</w:t>
      </w:r>
      <w:bookmarkEnd w:id="680"/>
      <w:r>
        <w:rPr>
          <w:noProof/>
        </w:rPr>
        <w:t xml:space="preserve"> </w:t>
      </w:r>
    </w:p>
    <w:p w14:paraId="38EC1910" w14:textId="3B0BC216" w:rsidR="00A71942" w:rsidRPr="002B0D84" w:rsidRDefault="00A71942" w:rsidP="00E276C8">
      <w:pPr>
        <w:spacing w:line="240" w:lineRule="auto"/>
        <w:rPr>
          <w:noProof/>
        </w:rPr>
      </w:pPr>
      <w:bookmarkStart w:id="681" w:name="_Toc211963190"/>
      <w:r>
        <w:rPr>
          <w:noProof/>
        </w:rPr>
        <w:t xml:space="preserve">The Directive currently encourages provision of compensation to sectors at risk of carbon leakage due to ICC, as an alternative to free allocation (P3), which is justified due to the different nature of the risk. Carbon leakage risk from indirect emissions differs from the risk associated with direct emissions because: i) the carbon price is not paid directly by the industrial installations at </w:t>
      </w:r>
      <w:r w:rsidR="00BB674B">
        <w:rPr>
          <w:noProof/>
        </w:rPr>
        <w:t>risk but</w:t>
      </w:r>
      <w:r>
        <w:rPr>
          <w:noProof/>
        </w:rPr>
        <w:t xml:space="preserve"> is passed on through their electricity bills; and ii) consumers of decarbonised electricity may face ICC due to the influence of fossil fuels on the marginal cost and wholesale price of electricity.</w:t>
      </w:r>
      <w:bookmarkEnd w:id="681"/>
      <w:r>
        <w:rPr>
          <w:noProof/>
        </w:rPr>
        <w:t xml:space="preserve"> </w:t>
      </w:r>
    </w:p>
    <w:p w14:paraId="548A3FF8" w14:textId="77777777" w:rsidR="00A71942" w:rsidRPr="002B0D84" w:rsidRDefault="00A71942" w:rsidP="00E276C8">
      <w:pPr>
        <w:spacing w:line="240" w:lineRule="auto"/>
        <w:rPr>
          <w:noProof/>
        </w:rPr>
      </w:pPr>
      <w:bookmarkStart w:id="682" w:name="_Toc211963191"/>
      <w:r w:rsidRPr="002B0D84">
        <w:rPr>
          <w:noProof/>
        </w:rPr>
        <w:t>ICC compensation is currently provided voluntarily by Member States, subject to specific State aid rules</w:t>
      </w:r>
      <w:r w:rsidRPr="1FC5E705">
        <w:rPr>
          <w:noProof/>
          <w:vertAlign w:val="superscript"/>
        </w:rPr>
        <w:footnoteReference w:id="72"/>
      </w:r>
      <w:r w:rsidRPr="002B0D84">
        <w:rPr>
          <w:noProof/>
        </w:rPr>
        <w:t xml:space="preserve">. </w:t>
      </w:r>
      <w:bookmarkEnd w:id="682"/>
      <w:r w:rsidRPr="002B0D84">
        <w:rPr>
          <w:noProof/>
        </w:rPr>
        <w:t xml:space="preserve">This approach has several advantages. In particular, it gives Member States the flexibility to choose between ICC compensation and other uses of ETS revenues. However, an approach based purely on State aid can risk distorting the internal market, since an installation’s entitlement to compensation depends on whether the Member States where it is located decides to grant this type of aid. For this reason, the ‘Aligning ambition and extending scope and incentives comprehensively’ package PO3 considers augmenting State aid with an EU-wide component, whereby some ICC compensation is provided on a harmonised basis. </w:t>
      </w:r>
    </w:p>
    <w:p w14:paraId="56C50008" w14:textId="77777777" w:rsidR="00A71942" w:rsidRPr="002B0D84" w:rsidRDefault="00A71942" w:rsidP="00E276C8">
      <w:pPr>
        <w:spacing w:line="240" w:lineRule="auto"/>
        <w:rPr>
          <w:noProof/>
        </w:rPr>
      </w:pPr>
      <w:r>
        <w:rPr>
          <w:noProof/>
        </w:rPr>
        <w:t xml:space="preserve">In this context, it is important to underline that the decarbonisation of the EU’s power sectors is advancing swiftly, which will have a dampening effect on carbon cost pass through even when electricity continues to be priced at the margin. The substantial growth of electricity production from renewable sources and the deployment of storage capacities will increasingly replace marginal generation by fossil fuel based power plants. </w:t>
      </w:r>
    </w:p>
    <w:p w14:paraId="5E9F252C" w14:textId="77777777" w:rsidR="00A71942" w:rsidRPr="002B0D84" w:rsidRDefault="00A71942" w:rsidP="00E276C8">
      <w:pPr>
        <w:spacing w:line="240" w:lineRule="auto"/>
        <w:rPr>
          <w:noProof/>
        </w:rPr>
      </w:pPr>
      <w:bookmarkStart w:id="683" w:name="_Toc211963192"/>
      <w:r>
        <w:rPr>
          <w:noProof/>
        </w:rPr>
        <w:t>The policy options considered in this assessment are:</w:t>
      </w:r>
      <w:bookmarkEnd w:id="683"/>
      <w:r>
        <w:rPr>
          <w:noProof/>
        </w:rPr>
        <w:t xml:space="preserve"> </w:t>
      </w:r>
    </w:p>
    <w:p w14:paraId="1A61E2E7" w14:textId="77777777" w:rsidR="00A71942" w:rsidRPr="002B0D84" w:rsidRDefault="00A71942" w:rsidP="00E276C8">
      <w:pPr>
        <w:pStyle w:val="ListParagraph"/>
        <w:numPr>
          <w:ilvl w:val="0"/>
          <w:numId w:val="13"/>
        </w:numPr>
        <w:spacing w:after="120" w:line="240" w:lineRule="auto"/>
        <w:rPr>
          <w:noProof/>
        </w:rPr>
      </w:pPr>
      <w:bookmarkStart w:id="684" w:name="_Toc211963193"/>
      <w:bookmarkStart w:id="685" w:name="_Hlk213935800"/>
      <w:r>
        <w:rPr>
          <w:noProof/>
        </w:rPr>
        <w:t>ICC1 - a continuation of the current approach whereby the ETS Directive encourages Member States to provide ICC compensation, subject to rules elaborated in State aid guidelines. This option includes enhancing the current regime by strengthening the direction given by the ETS Directive in three ways:</w:t>
      </w:r>
      <w:bookmarkEnd w:id="684"/>
    </w:p>
    <w:p w14:paraId="384A6A32" w14:textId="77777777" w:rsidR="00A71942" w:rsidRPr="002B0D84" w:rsidRDefault="00A71942" w:rsidP="00E276C8">
      <w:pPr>
        <w:pStyle w:val="ListParagraph"/>
        <w:numPr>
          <w:ilvl w:val="1"/>
          <w:numId w:val="25"/>
        </w:numPr>
        <w:spacing w:after="120" w:line="240" w:lineRule="auto"/>
        <w:rPr>
          <w:noProof/>
        </w:rPr>
      </w:pPr>
      <w:r>
        <w:rPr>
          <w:noProof/>
        </w:rPr>
        <w:t xml:space="preserve">making ICC compensation conditional on decarbonisation investment by beneficiaries. This is similar to option CL2 for free allocation and builds on conditionality requirements that are already in place in the current ICC State aid guidelines. </w:t>
      </w:r>
    </w:p>
    <w:p w14:paraId="19D8D56F" w14:textId="77777777" w:rsidR="00A71942" w:rsidRPr="002B0D84" w:rsidRDefault="00A71942" w:rsidP="00E276C8">
      <w:pPr>
        <w:pStyle w:val="ListParagraph"/>
        <w:numPr>
          <w:ilvl w:val="1"/>
          <w:numId w:val="25"/>
        </w:numPr>
        <w:spacing w:after="120" w:line="240" w:lineRule="auto"/>
        <w:rPr>
          <w:noProof/>
        </w:rPr>
      </w:pPr>
      <w:bookmarkStart w:id="686" w:name="_Toc211963195"/>
      <w:r>
        <w:rPr>
          <w:noProof/>
        </w:rPr>
        <w:t>enhancing verification and enforcement of the decarbonisation conditions</w:t>
      </w:r>
      <w:bookmarkEnd w:id="686"/>
      <w:r>
        <w:rPr>
          <w:noProof/>
        </w:rPr>
        <w:t>.</w:t>
      </w:r>
    </w:p>
    <w:p w14:paraId="2E80D1ED" w14:textId="77777777" w:rsidR="00A71942" w:rsidRPr="002B0D84" w:rsidRDefault="00A71942" w:rsidP="00E276C8">
      <w:pPr>
        <w:pStyle w:val="ListParagraph"/>
        <w:numPr>
          <w:ilvl w:val="1"/>
          <w:numId w:val="25"/>
        </w:numPr>
        <w:spacing w:after="120" w:line="240" w:lineRule="auto"/>
        <w:rPr>
          <w:noProof/>
        </w:rPr>
      </w:pPr>
      <w:r w:rsidRPr="1FC5E705">
        <w:rPr>
          <w:rFonts w:eastAsia="Times New Roman"/>
          <w:noProof/>
        </w:rPr>
        <w:t>stating that the electricity production mix used for indirect emission benchmarks should take account of the role of fossil and non-fossil sources in the setting of electricity prices.</w:t>
      </w:r>
    </w:p>
    <w:p w14:paraId="1F023955" w14:textId="77777777" w:rsidR="00A71942" w:rsidRPr="002B0D84" w:rsidRDefault="00A71942" w:rsidP="00E276C8">
      <w:pPr>
        <w:pStyle w:val="ListParagraph"/>
        <w:numPr>
          <w:ilvl w:val="0"/>
          <w:numId w:val="13"/>
        </w:numPr>
        <w:spacing w:after="120" w:line="240" w:lineRule="auto"/>
        <w:rPr>
          <w:noProof/>
        </w:rPr>
      </w:pPr>
      <w:bookmarkStart w:id="687" w:name="_Toc211963196"/>
      <w:bookmarkEnd w:id="685"/>
      <w:r>
        <w:rPr>
          <w:noProof/>
        </w:rPr>
        <w:t xml:space="preserve">ICC2 - harmonised ICC. In addition to the measures described in ICC1, this would consist of providing EU-level funding for ICC compensation by reserving 5% of auctioned allowances for this purpose. </w:t>
      </w:r>
      <w:bookmarkEnd w:id="687"/>
      <w:r>
        <w:rPr>
          <w:noProof/>
        </w:rPr>
        <w:t>Member States would retain the right to provide a higher level of compensation up to the level permitted under State aid rules.</w:t>
      </w:r>
    </w:p>
    <w:p w14:paraId="335E2941" w14:textId="77777777" w:rsidR="00A71942" w:rsidRPr="002B0D84" w:rsidRDefault="00A71942" w:rsidP="00E276C8">
      <w:pPr>
        <w:spacing w:line="240" w:lineRule="auto"/>
        <w:rPr>
          <w:noProof/>
        </w:rPr>
      </w:pPr>
      <w:bookmarkStart w:id="688" w:name="_Toc211963197"/>
      <w:r>
        <w:rPr>
          <w:noProof/>
        </w:rPr>
        <w:t>The extent to which each option exposes polluters to the full carbon price signal (SO1.1.2) or addresses the risk of carbon leakage (SO1.1.3) depends on the design of the compensation measures: such as aid intensity and sectoral eligibility. ICC1 would likely provide less support and greater exposure to the full carbon price than ICC2, simply because some Member States may not provide the maximum amount of State aid due to national budgetary priorities. Annex 12</w:t>
      </w:r>
      <w:bookmarkEnd w:id="688"/>
      <w:r>
        <w:rPr>
          <w:noProof/>
        </w:rPr>
        <w:t xml:space="preserve"> assesses the implications of each option in greater detail.</w:t>
      </w:r>
    </w:p>
    <w:p w14:paraId="3E615F02" w14:textId="77777777" w:rsidR="00A71942" w:rsidRPr="002B0D84" w:rsidRDefault="00A71942" w:rsidP="00E276C8">
      <w:pPr>
        <w:spacing w:line="240" w:lineRule="auto"/>
        <w:rPr>
          <w:noProof/>
        </w:rPr>
      </w:pPr>
      <w:r>
        <w:rPr>
          <w:noProof/>
        </w:rPr>
        <w:t>Almost three quarters of respondents to the OPC, mainly companies/businesses and business associations, considered that indirect cost compensation will remain necessary after 2030 to address the risk of carbon leakage from carbon costs passed on in electricity prices (in sectors not covered by CBAM). Among this group, preferences differed, in order of frequency, between calls to harmonise the system at EU level, maintaining the current approach based on State aid and extending indirect cost compensation to cover more sectors and sub-sectors.</w:t>
      </w:r>
    </w:p>
    <w:p w14:paraId="388692A3" w14:textId="77777777" w:rsidR="00A71942" w:rsidRPr="002B0D84" w:rsidRDefault="00A71942" w:rsidP="00E276C8">
      <w:pPr>
        <w:pStyle w:val="Tabletitle"/>
        <w:spacing w:after="120" w:line="240" w:lineRule="auto"/>
        <w:ind w:left="720"/>
        <w:rPr>
          <w:noProof/>
        </w:rPr>
      </w:pPr>
      <w:bookmarkStart w:id="689" w:name="_Toc232608951"/>
      <w:bookmarkStart w:id="690" w:name="_Toc232609687"/>
      <w:bookmarkStart w:id="691" w:name="_Toc232611562"/>
      <w:bookmarkStart w:id="692" w:name="_Toc232672621"/>
      <w:bookmarkStart w:id="693" w:name="_Toc232758473"/>
      <w:r>
        <w:rPr>
          <w:noProof/>
        </w:rPr>
        <w:t>Policy measures for indirect cost compensation</w:t>
      </w:r>
      <w:bookmarkEnd w:id="689"/>
      <w:bookmarkEnd w:id="690"/>
      <w:bookmarkEnd w:id="691"/>
      <w:bookmarkEnd w:id="692"/>
      <w:bookmarkEnd w:id="693"/>
    </w:p>
    <w:tbl>
      <w:tblPr>
        <w:tblW w:w="8796" w:type="dxa"/>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4874"/>
        <w:gridCol w:w="1308"/>
        <w:gridCol w:w="1306"/>
        <w:gridCol w:w="1308"/>
      </w:tblGrid>
      <w:tr w:rsidR="00A71942" w:rsidRPr="002B0D84" w14:paraId="1DDF72E0" w14:textId="77777777" w:rsidTr="1FC5E705">
        <w:trPr>
          <w:trHeight w:val="390"/>
        </w:trPr>
        <w:tc>
          <w:tcPr>
            <w:tcW w:w="4874" w:type="dxa"/>
            <w:hideMark/>
          </w:tcPr>
          <w:p w14:paraId="1DB458EC" w14:textId="77777777" w:rsidR="00A71942" w:rsidRPr="002B0D84" w:rsidRDefault="00A71942" w:rsidP="00E276C8">
            <w:pPr>
              <w:spacing w:line="240" w:lineRule="auto"/>
              <w:rPr>
                <w:b/>
                <w:bCs/>
                <w:noProof/>
                <w:sz w:val="22"/>
                <w:szCs w:val="22"/>
                <w:lang w:val="en-IE" w:eastAsia="en-IE"/>
              </w:rPr>
            </w:pPr>
            <w:bookmarkStart w:id="694" w:name="_Toc211963214"/>
            <w:r w:rsidRPr="1FC5E705">
              <w:rPr>
                <w:b/>
                <w:bCs/>
                <w:noProof/>
                <w:sz w:val="22"/>
                <w:szCs w:val="22"/>
              </w:rPr>
              <w:t>Policy measure</w:t>
            </w:r>
            <w:bookmarkEnd w:id="694"/>
            <w:r w:rsidRPr="1FC5E705">
              <w:rPr>
                <w:b/>
                <w:bCs/>
                <w:noProof/>
                <w:sz w:val="22"/>
                <w:szCs w:val="22"/>
              </w:rPr>
              <w:t> </w:t>
            </w:r>
          </w:p>
        </w:tc>
        <w:tc>
          <w:tcPr>
            <w:tcW w:w="1308" w:type="dxa"/>
            <w:hideMark/>
          </w:tcPr>
          <w:p w14:paraId="2AC42A2E" w14:textId="77777777" w:rsidR="00A71942" w:rsidRPr="002B0D84" w:rsidRDefault="00A71942" w:rsidP="00E276C8">
            <w:pPr>
              <w:spacing w:line="240" w:lineRule="auto"/>
              <w:rPr>
                <w:b/>
                <w:bCs/>
                <w:noProof/>
                <w:sz w:val="22"/>
                <w:szCs w:val="22"/>
                <w:lang w:val="en-IE" w:eastAsia="en-IE"/>
              </w:rPr>
            </w:pPr>
            <w:bookmarkStart w:id="695" w:name="_Toc211963215"/>
            <w:r w:rsidRPr="1FC5E705">
              <w:rPr>
                <w:b/>
                <w:bCs/>
                <w:noProof/>
                <w:sz w:val="22"/>
                <w:szCs w:val="22"/>
              </w:rPr>
              <w:t xml:space="preserve">PO1 </w:t>
            </w:r>
            <w:bookmarkEnd w:id="695"/>
          </w:p>
        </w:tc>
        <w:tc>
          <w:tcPr>
            <w:tcW w:w="1306" w:type="dxa"/>
            <w:hideMark/>
          </w:tcPr>
          <w:p w14:paraId="4292F563" w14:textId="77777777" w:rsidR="00A71942" w:rsidRPr="002B0D84" w:rsidRDefault="00A71942" w:rsidP="00E276C8">
            <w:pPr>
              <w:spacing w:line="240" w:lineRule="auto"/>
              <w:rPr>
                <w:b/>
                <w:bCs/>
                <w:noProof/>
                <w:sz w:val="22"/>
                <w:szCs w:val="22"/>
                <w:lang w:val="en-IE" w:eastAsia="en-IE"/>
              </w:rPr>
            </w:pPr>
            <w:bookmarkStart w:id="696" w:name="_Toc211963216"/>
            <w:r w:rsidRPr="1FC5E705">
              <w:rPr>
                <w:b/>
                <w:bCs/>
                <w:noProof/>
                <w:sz w:val="22"/>
                <w:szCs w:val="22"/>
              </w:rPr>
              <w:t xml:space="preserve">PO2 </w:t>
            </w:r>
            <w:bookmarkEnd w:id="696"/>
          </w:p>
        </w:tc>
        <w:tc>
          <w:tcPr>
            <w:tcW w:w="1308" w:type="dxa"/>
            <w:hideMark/>
          </w:tcPr>
          <w:p w14:paraId="1ADCA62B" w14:textId="77777777" w:rsidR="00A71942" w:rsidRPr="002B0D84" w:rsidRDefault="00A71942" w:rsidP="00E276C8">
            <w:pPr>
              <w:spacing w:line="240" w:lineRule="auto"/>
              <w:rPr>
                <w:b/>
                <w:bCs/>
                <w:noProof/>
                <w:sz w:val="22"/>
                <w:szCs w:val="22"/>
                <w:lang w:val="en-IE" w:eastAsia="en-IE"/>
              </w:rPr>
            </w:pPr>
            <w:bookmarkStart w:id="697" w:name="_Toc211963217"/>
            <w:r w:rsidRPr="1FC5E705">
              <w:rPr>
                <w:b/>
                <w:bCs/>
                <w:noProof/>
                <w:sz w:val="22"/>
                <w:szCs w:val="22"/>
              </w:rPr>
              <w:t xml:space="preserve">PO3 </w:t>
            </w:r>
            <w:bookmarkEnd w:id="697"/>
          </w:p>
        </w:tc>
      </w:tr>
      <w:tr w:rsidR="00A71942" w:rsidRPr="002B0D84" w14:paraId="588B166E" w14:textId="77777777" w:rsidTr="1FC5E705">
        <w:trPr>
          <w:trHeight w:val="390"/>
        </w:trPr>
        <w:tc>
          <w:tcPr>
            <w:tcW w:w="4874" w:type="dxa"/>
          </w:tcPr>
          <w:p w14:paraId="2046B825" w14:textId="77777777" w:rsidR="00A71942" w:rsidRPr="002B0D84" w:rsidRDefault="00A71942" w:rsidP="00E276C8">
            <w:pPr>
              <w:spacing w:line="240" w:lineRule="auto"/>
              <w:rPr>
                <w:rFonts w:ascii="Arial" w:eastAsia="Times New Roman" w:hAnsi="Arial" w:cs="Arial"/>
                <w:noProof/>
                <w:sz w:val="20"/>
                <w:szCs w:val="20"/>
                <w:lang w:val="fr-BE" w:eastAsia="en-IE"/>
              </w:rPr>
            </w:pPr>
            <w:bookmarkStart w:id="698" w:name="_Toc211963218"/>
            <w:r w:rsidRPr="1FC5E705">
              <w:rPr>
                <w:noProof/>
                <w:sz w:val="22"/>
                <w:szCs w:val="22"/>
              </w:rPr>
              <w:t>ICC1: Continue SA encouragement</w:t>
            </w:r>
            <w:bookmarkEnd w:id="698"/>
          </w:p>
        </w:tc>
        <w:tc>
          <w:tcPr>
            <w:tcW w:w="1308" w:type="dxa"/>
            <w:vAlign w:val="center"/>
          </w:tcPr>
          <w:p w14:paraId="541322D4" w14:textId="77777777" w:rsidR="00A71942" w:rsidRPr="002B0D84" w:rsidRDefault="00A71942" w:rsidP="00E276C8">
            <w:pPr>
              <w:spacing w:line="240" w:lineRule="auto"/>
              <w:jc w:val="center"/>
              <w:rPr>
                <w:noProof/>
                <w:sz w:val="22"/>
                <w:szCs w:val="22"/>
                <w:lang w:val="en-IE" w:eastAsia="en-IE"/>
              </w:rPr>
            </w:pPr>
            <w:bookmarkStart w:id="699" w:name="_Toc211963219"/>
            <w:r w:rsidRPr="1FC5E705">
              <w:rPr>
                <w:noProof/>
                <w:sz w:val="22"/>
                <w:szCs w:val="22"/>
              </w:rPr>
              <w:t>X</w:t>
            </w:r>
            <w:bookmarkEnd w:id="699"/>
          </w:p>
        </w:tc>
        <w:tc>
          <w:tcPr>
            <w:tcW w:w="1306" w:type="dxa"/>
            <w:vAlign w:val="center"/>
          </w:tcPr>
          <w:p w14:paraId="7D2C127A" w14:textId="77777777" w:rsidR="00A71942" w:rsidRPr="002B0D84" w:rsidRDefault="00A71942" w:rsidP="00E276C8">
            <w:pPr>
              <w:spacing w:line="240" w:lineRule="auto"/>
              <w:jc w:val="center"/>
              <w:rPr>
                <w:noProof/>
                <w:sz w:val="22"/>
                <w:szCs w:val="22"/>
                <w:lang w:val="en-IE" w:eastAsia="en-IE"/>
              </w:rPr>
            </w:pPr>
            <w:bookmarkStart w:id="700" w:name="_Toc211963220"/>
            <w:r w:rsidRPr="1FC5E705">
              <w:rPr>
                <w:noProof/>
                <w:sz w:val="22"/>
                <w:szCs w:val="22"/>
              </w:rPr>
              <w:t>X</w:t>
            </w:r>
            <w:bookmarkEnd w:id="700"/>
          </w:p>
        </w:tc>
        <w:tc>
          <w:tcPr>
            <w:tcW w:w="1308" w:type="dxa"/>
            <w:vAlign w:val="center"/>
          </w:tcPr>
          <w:p w14:paraId="1ECDCF01" w14:textId="77777777" w:rsidR="00A71942" w:rsidRPr="002B0D84" w:rsidRDefault="00A71942" w:rsidP="00E276C8">
            <w:pPr>
              <w:spacing w:line="240" w:lineRule="auto"/>
              <w:jc w:val="center"/>
              <w:rPr>
                <w:noProof/>
                <w:sz w:val="22"/>
                <w:szCs w:val="22"/>
                <w:lang w:eastAsia="en-IE"/>
              </w:rPr>
            </w:pPr>
          </w:p>
        </w:tc>
      </w:tr>
      <w:tr w:rsidR="00A71942" w:rsidRPr="002B0D84" w14:paraId="661179D5" w14:textId="77777777" w:rsidTr="1FC5E705">
        <w:trPr>
          <w:trHeight w:val="390"/>
        </w:trPr>
        <w:tc>
          <w:tcPr>
            <w:tcW w:w="4874" w:type="dxa"/>
          </w:tcPr>
          <w:p w14:paraId="6AE85539" w14:textId="77777777" w:rsidR="00A71942" w:rsidRPr="002B0D84" w:rsidRDefault="00A71942" w:rsidP="00E276C8">
            <w:pPr>
              <w:spacing w:line="240" w:lineRule="auto"/>
              <w:rPr>
                <w:noProof/>
                <w:sz w:val="22"/>
                <w:szCs w:val="22"/>
                <w:lang w:val="sv-SE"/>
              </w:rPr>
            </w:pPr>
            <w:bookmarkStart w:id="701" w:name="_Toc211963221"/>
            <w:r w:rsidRPr="001C7BDC">
              <w:rPr>
                <w:noProof/>
                <w:sz w:val="22"/>
                <w:szCs w:val="22"/>
                <w:lang w:val="sv-SE"/>
              </w:rPr>
              <w:t>ICC2: Harmonised ICC (e.g. via IDB)</w:t>
            </w:r>
            <w:bookmarkEnd w:id="701"/>
          </w:p>
        </w:tc>
        <w:tc>
          <w:tcPr>
            <w:tcW w:w="1308" w:type="dxa"/>
            <w:vAlign w:val="center"/>
          </w:tcPr>
          <w:p w14:paraId="6E1A4EAF" w14:textId="77777777" w:rsidR="00A71942" w:rsidRPr="002B0D84" w:rsidRDefault="00A71942" w:rsidP="00E276C8">
            <w:pPr>
              <w:spacing w:line="240" w:lineRule="auto"/>
              <w:jc w:val="center"/>
              <w:rPr>
                <w:noProof/>
                <w:sz w:val="22"/>
                <w:szCs w:val="22"/>
                <w:lang w:val="sv-SE" w:eastAsia="en-IE"/>
              </w:rPr>
            </w:pPr>
          </w:p>
        </w:tc>
        <w:tc>
          <w:tcPr>
            <w:tcW w:w="1306" w:type="dxa"/>
            <w:vAlign w:val="center"/>
          </w:tcPr>
          <w:p w14:paraId="02498DD5" w14:textId="77777777" w:rsidR="00A71942" w:rsidRPr="002B0D84" w:rsidRDefault="00A71942" w:rsidP="00E276C8">
            <w:pPr>
              <w:spacing w:line="240" w:lineRule="auto"/>
              <w:jc w:val="center"/>
              <w:rPr>
                <w:noProof/>
                <w:sz w:val="22"/>
                <w:szCs w:val="22"/>
                <w:lang w:val="sv-SE" w:eastAsia="en-IE"/>
              </w:rPr>
            </w:pPr>
          </w:p>
        </w:tc>
        <w:tc>
          <w:tcPr>
            <w:tcW w:w="1308" w:type="dxa"/>
            <w:vAlign w:val="center"/>
          </w:tcPr>
          <w:p w14:paraId="5AD2DA67" w14:textId="77777777" w:rsidR="00A71942" w:rsidRPr="002B0D84" w:rsidRDefault="00A71942" w:rsidP="00E276C8">
            <w:pPr>
              <w:spacing w:line="240" w:lineRule="auto"/>
              <w:jc w:val="center"/>
              <w:rPr>
                <w:noProof/>
                <w:sz w:val="22"/>
                <w:szCs w:val="22"/>
                <w:lang w:eastAsia="en-IE"/>
              </w:rPr>
            </w:pPr>
            <w:bookmarkStart w:id="702" w:name="_Toc211963222"/>
            <w:r w:rsidRPr="1FC5E705">
              <w:rPr>
                <w:noProof/>
                <w:sz w:val="22"/>
                <w:szCs w:val="22"/>
              </w:rPr>
              <w:t>X</w:t>
            </w:r>
            <w:bookmarkEnd w:id="702"/>
          </w:p>
        </w:tc>
      </w:tr>
    </w:tbl>
    <w:p w14:paraId="477BDE1C" w14:textId="77777777" w:rsidR="00A71942" w:rsidRPr="002B0D84" w:rsidRDefault="00A71942" w:rsidP="00E276C8">
      <w:pPr>
        <w:pStyle w:val="Heading3COM"/>
        <w:spacing w:before="120" w:after="120" w:line="240" w:lineRule="auto"/>
        <w:outlineLvl w:val="3"/>
        <w:rPr>
          <w:noProof/>
        </w:rPr>
      </w:pPr>
      <w:bookmarkStart w:id="703" w:name="_Toc232611538"/>
      <w:bookmarkStart w:id="704" w:name="_Toc232758223"/>
      <w:r>
        <w:rPr>
          <w:noProof/>
        </w:rPr>
        <w:t>20MW threshold</w:t>
      </w:r>
      <w:bookmarkEnd w:id="703"/>
      <w:bookmarkEnd w:id="704"/>
    </w:p>
    <w:p w14:paraId="7604AA11" w14:textId="77777777" w:rsidR="00A71942" w:rsidRPr="002B0D84" w:rsidRDefault="00A71942" w:rsidP="00E276C8">
      <w:pPr>
        <w:spacing w:line="240" w:lineRule="auto"/>
        <w:rPr>
          <w:noProof/>
        </w:rPr>
      </w:pPr>
      <w:bookmarkStart w:id="705" w:name="_Toc211963223"/>
      <w:r>
        <w:rPr>
          <w:noProof/>
        </w:rPr>
        <w:t xml:space="preserve">Regarding the possibility of lowering the </w:t>
      </w:r>
      <w:r w:rsidRPr="1FC5E705">
        <w:rPr>
          <w:b/>
          <w:bCs/>
          <w:noProof/>
        </w:rPr>
        <w:t xml:space="preserve">20 MW thermal input threshold </w:t>
      </w:r>
      <w:r>
        <w:rPr>
          <w:noProof/>
        </w:rPr>
        <w:t xml:space="preserve">to cover smaller installations (P8), the measures under consideration reflect the review clause included in Article 30 (5)(b) of the ETS Directive, namely to consider the feasibility of lowering this threshold from 2031, thereby responding to problem driver D2 (specifically D2.2) related to insufficient carbon price signal. The measures considered were </w:t>
      </w:r>
      <w:r w:rsidRPr="1FC5E705">
        <w:rPr>
          <w:i/>
          <w:iCs/>
          <w:noProof/>
        </w:rPr>
        <w:t>T0: maintain the current 20 MW threshold</w:t>
      </w:r>
      <w:r>
        <w:rPr>
          <w:noProof/>
        </w:rPr>
        <w:t xml:space="preserve"> and </w:t>
      </w:r>
      <w:r w:rsidRPr="1FC5E705">
        <w:rPr>
          <w:i/>
          <w:iCs/>
          <w:noProof/>
        </w:rPr>
        <w:t xml:space="preserve">T1: lower the threshold </w:t>
      </w:r>
      <w:r>
        <w:rPr>
          <w:noProof/>
        </w:rPr>
        <w:t>(e.g. by 5, 10, 15 or 20 MW).</w:t>
      </w:r>
      <w:bookmarkEnd w:id="705"/>
      <w:r>
        <w:rPr>
          <w:noProof/>
        </w:rPr>
        <w:t xml:space="preserve"> </w:t>
      </w:r>
    </w:p>
    <w:p w14:paraId="2BFD3C79" w14:textId="77777777" w:rsidR="00A71942" w:rsidRPr="002B0D84" w:rsidRDefault="00A71942" w:rsidP="00E276C8">
      <w:pPr>
        <w:spacing w:line="240" w:lineRule="auto"/>
        <w:rPr>
          <w:noProof/>
        </w:rPr>
      </w:pPr>
      <w:bookmarkStart w:id="706" w:name="_Toc211963224"/>
      <w:r w:rsidRPr="002B0D84">
        <w:rPr>
          <w:noProof/>
        </w:rPr>
        <w:t>A quantitative assessment was undertaken (see Annex 12) but should be considered tentative given the lack of sufficiently granular EU-level data collection relating to installations of this size</w:t>
      </w:r>
      <w:r w:rsidRPr="1FC5E705">
        <w:rPr>
          <w:noProof/>
          <w:vertAlign w:val="superscript"/>
        </w:rPr>
        <w:footnoteReference w:id="73"/>
      </w:r>
      <w:r w:rsidRPr="002B0D84">
        <w:rPr>
          <w:noProof/>
        </w:rPr>
        <w:t>. The assessment found that approximately 227 MtCO</w:t>
      </w:r>
      <w:r w:rsidRPr="002B0D84">
        <w:rPr>
          <w:noProof/>
          <w:vertAlign w:val="subscript"/>
        </w:rPr>
        <w:t>2</w:t>
      </w:r>
      <w:r w:rsidRPr="002B0D84">
        <w:rPr>
          <w:noProof/>
        </w:rPr>
        <w:t>e of emissions (2021-2023 average) from Annex I activities are not covered by EU ETS and could be brought into the EU ETS via lowering the threshold. However, 85% of these emissions will be covered by the introduction of ETS2 covering emissions from buildings, road transport and additional sectors. Of the remaining 33 MtCO2e, around 5 MtCO2e is excluded under Article 27 of the Directive (coverage by equivalent national measures), leaving 28 MtCO2e of predominantly process emissions.</w:t>
      </w:r>
      <w:bookmarkEnd w:id="706"/>
      <w:r w:rsidRPr="002B0D84">
        <w:rPr>
          <w:noProof/>
        </w:rPr>
        <w:t xml:space="preserve"> </w:t>
      </w:r>
    </w:p>
    <w:p w14:paraId="2D05AFD2" w14:textId="77777777" w:rsidR="00A71942" w:rsidRPr="002B0D84" w:rsidRDefault="00A71942" w:rsidP="00E276C8">
      <w:pPr>
        <w:spacing w:line="240" w:lineRule="auto"/>
        <w:rPr>
          <w:noProof/>
        </w:rPr>
      </w:pPr>
      <w:r>
        <w:rPr>
          <w:noProof/>
        </w:rPr>
        <w:t xml:space="preserve">Since the majority of emissions below 20 MW will in any case be covered by ETS2, the environmental case for lowering the threshold is marginal when compared to the administrative cost. </w:t>
      </w:r>
      <w:bookmarkStart w:id="707" w:name="_Toc211963225"/>
      <w:r>
        <w:rPr>
          <w:noProof/>
        </w:rPr>
        <w:t>The Commission services' assessment is therefore that it would be a contribution to simplification and better regulation not to address these emissions through inclusion in the EU ETS due to the high administrative cost involved which is considered disproportionate. For example, lowering the threshold to 10 MW would bring approximately 10 MtCO2e of annual emissions into the ETS, but would expand the EU ETS by more than 11,000 installations. This would more than double the number of stationary installations covered, in exchange for only marginal increase in emissions coverage.</w:t>
      </w:r>
      <w:bookmarkEnd w:id="707"/>
      <w:r>
        <w:rPr>
          <w:noProof/>
        </w:rPr>
        <w:t xml:space="preserve"> </w:t>
      </w:r>
    </w:p>
    <w:p w14:paraId="4E36D82A" w14:textId="77777777" w:rsidR="00A71942" w:rsidRPr="002B0D84" w:rsidRDefault="00A71942" w:rsidP="00E276C8">
      <w:pPr>
        <w:spacing w:line="240" w:lineRule="auto"/>
        <w:rPr>
          <w:noProof/>
        </w:rPr>
      </w:pPr>
      <w:r>
        <w:rPr>
          <w:noProof/>
        </w:rPr>
        <w:t>This assessment was corroborated by the stakeholder consultation, where a majority of stakeholders across the OPC, position papers and interviews opposed lowering the threshold on the grounds that it would impose significant administrative and financial burdens on smaller operators, outweighing the potential climate benefits.</w:t>
      </w:r>
    </w:p>
    <w:p w14:paraId="290FAB09" w14:textId="77777777" w:rsidR="00A71942" w:rsidRPr="002B0D84" w:rsidRDefault="00A71942" w:rsidP="00E276C8">
      <w:pPr>
        <w:spacing w:line="240" w:lineRule="auto"/>
        <w:rPr>
          <w:noProof/>
        </w:rPr>
      </w:pPr>
      <w:bookmarkStart w:id="708" w:name="_Toc211963226"/>
      <w:r>
        <w:rPr>
          <w:noProof/>
        </w:rPr>
        <w:t>For these reasons, the option of lowering the threshold is discarded in all policy option packages, in favour of maintaining the existing threshold.</w:t>
      </w:r>
      <w:bookmarkEnd w:id="708"/>
      <w:r>
        <w:rPr>
          <w:noProof/>
        </w:rPr>
        <w:t xml:space="preserve"> </w:t>
      </w:r>
    </w:p>
    <w:p w14:paraId="592141B3" w14:textId="77777777" w:rsidR="00A71942" w:rsidRPr="002B0D84" w:rsidRDefault="00A71942" w:rsidP="00E276C8">
      <w:pPr>
        <w:pStyle w:val="Heading2COM"/>
        <w:spacing w:before="120" w:after="120" w:line="240" w:lineRule="auto"/>
        <w:outlineLvl w:val="2"/>
        <w15:collapsed w:val="0"/>
        <w:rPr>
          <w:noProof/>
        </w:rPr>
      </w:pPr>
      <w:bookmarkStart w:id="709" w:name="_Toc219466681"/>
      <w:bookmarkStart w:id="710" w:name="_Toc232611539"/>
      <w:bookmarkStart w:id="711" w:name="_Toc232758224"/>
      <w:r>
        <w:rPr>
          <w:noProof/>
        </w:rPr>
        <w:t>Waste</w:t>
      </w:r>
      <w:bookmarkEnd w:id="709"/>
      <w:bookmarkEnd w:id="710"/>
      <w:bookmarkEnd w:id="711"/>
    </w:p>
    <w:p w14:paraId="6BE24A2A" w14:textId="77777777" w:rsidR="00A71942" w:rsidRPr="002B0D84" w:rsidRDefault="00A71942" w:rsidP="00E276C8">
      <w:pPr>
        <w:spacing w:line="240" w:lineRule="auto"/>
        <w:rPr>
          <w:noProof/>
        </w:rPr>
      </w:pPr>
      <w:bookmarkStart w:id="712" w:name="_Toc211963227"/>
      <w:r>
        <w:rPr>
          <w:noProof/>
        </w:rPr>
        <w:t xml:space="preserve">Regarding the EU ETS scope expansion to cover </w:t>
      </w:r>
      <w:r w:rsidRPr="1FC5E705">
        <w:rPr>
          <w:b/>
          <w:bCs/>
          <w:noProof/>
        </w:rPr>
        <w:t>waste management</w:t>
      </w:r>
      <w:r>
        <w:rPr>
          <w:noProof/>
        </w:rPr>
        <w:t xml:space="preserve"> emissions (P5), the measures under consideration mirror the review clause included in Article 30(7) of the ETS Directive. They correspond to progressing degrees of the possible expansion, in terms of waste management processes and their emissions so that the possibility of internalising the climate change impact of the waste management sector (D2.5) to advance further emissions reductions (O1.1) can be realised (cost-)effectively. The assessment of the measures addresses the environmental integrity, the alignment with the waste hierarchy, the feasibility of robust monitoring and reporting of emissions as well as internal market effects and potential distortions of competition– as prescribed in the review clause. Timewise, the expansion of the EU ETS to waste management regardless of the level was deemed not preferable prior to 2030 to ensure predictability and sufficient preparation time (considering the time for the co-decision process for the review and the time needed to implement its outcomes, particularly regarding monitoring and reporting rules).</w:t>
      </w:r>
      <w:bookmarkEnd w:id="712"/>
    </w:p>
    <w:p w14:paraId="63441ACD" w14:textId="77777777" w:rsidR="00A71942" w:rsidRPr="002B0D84" w:rsidRDefault="00A71942" w:rsidP="00E276C8">
      <w:pPr>
        <w:spacing w:line="240" w:lineRule="auto"/>
        <w:rPr>
          <w:noProof/>
        </w:rPr>
      </w:pPr>
      <w:bookmarkStart w:id="713" w:name="_Toc211963228"/>
      <w:r>
        <w:rPr>
          <w:noProof/>
        </w:rPr>
        <w:t xml:space="preserve">The assessment found that W1 (‘EU ETS expansion to municipal waste incineration installations’) and W3 (‘EU ETS expansion to all waste incineration installations and landfills of non-hazardous waste’) would strike the right balance in terms of ensuring a full carbon price signal (SO1.1.2) in the waste management sector to incentivise further emission reductions (O1.1) and of increasing the size of the market (SO2.1.1) to ensure efficient market functioning (O2.1). </w:t>
      </w:r>
      <w:bookmarkStart w:id="714" w:name="_Toc211963229"/>
      <w:bookmarkEnd w:id="713"/>
      <w:r>
        <w:rPr>
          <w:noProof/>
        </w:rPr>
        <w:t>PO1 'Aligning ambition and improving incentives' reflects the baseline with no inclusion of additional waste management processes in the EU ETS, instead mainly remaining under national emission reduction targets under the Effort Sharing Regulation. PO1 only implements some legal clarifications on the current scope. Co-incineration of waste would remain in the EU ETS and Member States would have the option to include their municipal waste-to-energy incineration installations in the scope of the system (cf. Denmark, Sweden and Lithuania already doing so).</w:t>
      </w:r>
      <w:bookmarkEnd w:id="714"/>
      <w:r>
        <w:rPr>
          <w:noProof/>
        </w:rPr>
        <w:t xml:space="preserve"> </w:t>
      </w:r>
    </w:p>
    <w:p w14:paraId="46C519E4" w14:textId="77777777" w:rsidR="00A71942" w:rsidRPr="002B0D84" w:rsidRDefault="00A71942" w:rsidP="00E276C8">
      <w:pPr>
        <w:spacing w:line="240" w:lineRule="auto"/>
        <w:rPr>
          <w:noProof/>
          <w:lang w:val="en-US"/>
        </w:rPr>
      </w:pPr>
      <w:bookmarkStart w:id="715" w:name="_Toc211963230"/>
      <w:r>
        <w:rPr>
          <w:noProof/>
        </w:rPr>
        <w:t>PO2 'Aligning ambition and extending scope and corresponding incentives' reflects measure W1 as it expands the carbon price signal to a growing source of emissions – municipal waste incineration (MWI), both with and without energy recovery. Installations for incineration of municipal waste with energy recovery feed into the grid and district heating networks, where fossil fuel-based power installations are already subject to the EU ETS. To ensure the environmental integrity of this option and limit boundary and misclassification risks, emissions from all installations that predominantly incinerate municipal waste would be covered, consistent with the current MRV obligation for the sector. The cap estimate and GEM-E3 modelling integrates the cap increase by emissions estimates for the sector in PRIMES. In isolation, PO2 carries a risk of waste, in particular fossil waste streams, being diverted from incineration to landfills, depending on the effective enforcement and implementation of the waste policy framework, notably the Landfill Directive.</w:t>
      </w:r>
      <w:bookmarkEnd w:id="715"/>
      <w:r>
        <w:rPr>
          <w:noProof/>
        </w:rPr>
        <w:t xml:space="preserve"> </w:t>
      </w:r>
    </w:p>
    <w:p w14:paraId="127F1D7E" w14:textId="77777777" w:rsidR="00A71942" w:rsidRPr="002B0D84" w:rsidRDefault="00A71942" w:rsidP="00E276C8">
      <w:pPr>
        <w:spacing w:line="240" w:lineRule="auto"/>
        <w:rPr>
          <w:noProof/>
          <w:lang w:val="en-US"/>
        </w:rPr>
      </w:pPr>
      <w:bookmarkStart w:id="716" w:name="_Toc211963231"/>
      <w:r>
        <w:rPr>
          <w:noProof/>
        </w:rPr>
        <w:t xml:space="preserve">Finally, PO3 'Aligning ambition and extending scope and incentives comprehensively' reflects measure W3 as it expands the carbon price signal further to hazardous waste incineration (HWI) and to methane emissions associated with non-hazardous landfills. PO3 contributes to further overall emission reductions in the waste sector – primarily from methane – and addresses any residual risk of organic waste diversion from incineration to landfills. Conversely, PO3 has a more limited impact on fossil emission reductions and in isolation does not effectively address risks of diversion </w:t>
      </w:r>
      <w:bookmarkEnd w:id="716"/>
      <w:r>
        <w:rPr>
          <w:noProof/>
        </w:rPr>
        <w:t>of fossil waste to landfills, which are ultimately subject to the enforcement and implementation of the waste policy framework. The cap estimate includes the emissions for the incineration sectors in the overall PRIMES modelling vis-a-vis the baseline. Emissions from landfilling could not be modelled in PRIMES as the model is constrained to CO2 emissions only, whereas landfill emissions are mainly driven by CH4. Landfill emissions have been separately modelled in GAINS. As a result, GAINS does not allow to separately model the disaggregated contribution of the carbon price to emissions reductions from non-hazardous landfilling under PO3. </w:t>
      </w:r>
    </w:p>
    <w:p w14:paraId="319B2033" w14:textId="77777777" w:rsidR="00A71942" w:rsidRPr="002B0D84" w:rsidRDefault="00A71942" w:rsidP="00E276C8">
      <w:pPr>
        <w:spacing w:line="240" w:lineRule="auto"/>
        <w:rPr>
          <w:noProof/>
        </w:rPr>
      </w:pPr>
      <w:bookmarkStart w:id="717" w:name="_Toc211963232"/>
      <w:r>
        <w:rPr>
          <w:noProof/>
        </w:rPr>
        <w:t xml:space="preserve">The stakeholder consultation indicated broad support for the inclusion of municipal waste incineration installations in the EU ETS, with more than half of respondents to the OPC (51%), including companies/businesses and business associations as well as NGOs and environmental organisations, supporting an inclusion. Conversely, there was no agreement on a potential inclusion of hazardous waste incineration installations, with roughly equal shares in favour and against, although the latter was slightly larger. The consultation also highlighted that measures to address the risk of waste diversion to landfills would be important to ensure the robustness of the EU ETS expansion to waste incineration, whether through regulatory, fiscal or carbon pricing policies. The complete assessment is set out in Annex </w:t>
      </w:r>
      <w:bookmarkEnd w:id="717"/>
      <w:r>
        <w:rPr>
          <w:noProof/>
        </w:rPr>
        <w:t>13.</w:t>
      </w:r>
    </w:p>
    <w:p w14:paraId="272F0B90" w14:textId="77777777" w:rsidR="00A71942" w:rsidRPr="002B0D84" w:rsidRDefault="00A71942" w:rsidP="00E276C8">
      <w:pPr>
        <w:pStyle w:val="Tabletitle"/>
        <w:spacing w:after="120" w:line="240" w:lineRule="auto"/>
        <w:ind w:left="720"/>
        <w:rPr>
          <w:noProof/>
        </w:rPr>
      </w:pPr>
      <w:bookmarkStart w:id="718" w:name="_Toc232608952"/>
      <w:bookmarkStart w:id="719" w:name="_Toc232609688"/>
      <w:bookmarkStart w:id="720" w:name="_Toc232611563"/>
      <w:bookmarkStart w:id="721" w:name="_Toc232672622"/>
      <w:bookmarkStart w:id="722" w:name="_Toc232758474"/>
      <w:r>
        <w:rPr>
          <w:noProof/>
        </w:rPr>
        <w:t>Policy measures for waste</w:t>
      </w:r>
      <w:bookmarkEnd w:id="718"/>
      <w:bookmarkEnd w:id="719"/>
      <w:bookmarkEnd w:id="720"/>
      <w:bookmarkEnd w:id="721"/>
      <w:bookmarkEnd w:id="722"/>
    </w:p>
    <w:tbl>
      <w:tblPr>
        <w:tblW w:w="0" w:type="auto"/>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7220"/>
        <w:gridCol w:w="610"/>
        <w:gridCol w:w="610"/>
        <w:gridCol w:w="610"/>
      </w:tblGrid>
      <w:tr w:rsidR="00A71942" w:rsidRPr="002B0D84" w14:paraId="43E88083" w14:textId="77777777" w:rsidTr="00E276C8">
        <w:trPr>
          <w:trHeight w:val="144"/>
        </w:trPr>
        <w:tc>
          <w:tcPr>
            <w:tcW w:w="7220" w:type="dxa"/>
            <w:vAlign w:val="center"/>
            <w:hideMark/>
          </w:tcPr>
          <w:p w14:paraId="52DB4E48" w14:textId="77777777" w:rsidR="00A71942" w:rsidRPr="002B0D84" w:rsidRDefault="00A71942" w:rsidP="00E276C8">
            <w:pPr>
              <w:spacing w:line="240" w:lineRule="auto"/>
              <w:jc w:val="left"/>
              <w:rPr>
                <w:b/>
                <w:bCs/>
                <w:noProof/>
                <w:sz w:val="22"/>
                <w:szCs w:val="22"/>
                <w:lang w:val="en-IE" w:eastAsia="en-IE"/>
              </w:rPr>
            </w:pPr>
            <w:bookmarkStart w:id="723" w:name="_Toc211963233"/>
            <w:r w:rsidRPr="1FC5E705">
              <w:rPr>
                <w:b/>
                <w:bCs/>
                <w:noProof/>
                <w:sz w:val="22"/>
                <w:szCs w:val="22"/>
              </w:rPr>
              <w:t>Policy measure</w:t>
            </w:r>
            <w:bookmarkEnd w:id="723"/>
          </w:p>
        </w:tc>
        <w:tc>
          <w:tcPr>
            <w:tcW w:w="610" w:type="dxa"/>
            <w:vAlign w:val="center"/>
            <w:hideMark/>
          </w:tcPr>
          <w:p w14:paraId="4256F81F" w14:textId="77777777" w:rsidR="00A71942" w:rsidRPr="002B0D84" w:rsidRDefault="00A71942" w:rsidP="00E276C8">
            <w:pPr>
              <w:spacing w:line="240" w:lineRule="auto"/>
              <w:jc w:val="center"/>
              <w:rPr>
                <w:b/>
                <w:bCs/>
                <w:noProof/>
                <w:sz w:val="22"/>
                <w:szCs w:val="22"/>
                <w:lang w:val="en-IE" w:eastAsia="en-IE"/>
              </w:rPr>
            </w:pPr>
            <w:bookmarkStart w:id="724" w:name="_Toc211963234"/>
            <w:r w:rsidRPr="1FC5E705">
              <w:rPr>
                <w:b/>
                <w:bCs/>
                <w:noProof/>
                <w:sz w:val="22"/>
                <w:szCs w:val="22"/>
              </w:rPr>
              <w:t>PO1</w:t>
            </w:r>
            <w:bookmarkEnd w:id="724"/>
          </w:p>
        </w:tc>
        <w:tc>
          <w:tcPr>
            <w:tcW w:w="610" w:type="dxa"/>
            <w:vAlign w:val="center"/>
            <w:hideMark/>
          </w:tcPr>
          <w:p w14:paraId="1D79A08B" w14:textId="77777777" w:rsidR="00A71942" w:rsidRPr="002B0D84" w:rsidRDefault="00A71942" w:rsidP="00E276C8">
            <w:pPr>
              <w:spacing w:line="240" w:lineRule="auto"/>
              <w:jc w:val="center"/>
              <w:rPr>
                <w:b/>
                <w:bCs/>
                <w:noProof/>
                <w:sz w:val="22"/>
                <w:szCs w:val="22"/>
                <w:lang w:val="en-IE" w:eastAsia="en-IE"/>
              </w:rPr>
            </w:pPr>
            <w:bookmarkStart w:id="725" w:name="_Toc211963235"/>
            <w:r w:rsidRPr="1FC5E705">
              <w:rPr>
                <w:b/>
                <w:bCs/>
                <w:noProof/>
                <w:sz w:val="22"/>
                <w:szCs w:val="22"/>
              </w:rPr>
              <w:t>PO2</w:t>
            </w:r>
            <w:bookmarkEnd w:id="725"/>
          </w:p>
        </w:tc>
        <w:tc>
          <w:tcPr>
            <w:tcW w:w="610" w:type="dxa"/>
            <w:vAlign w:val="center"/>
            <w:hideMark/>
          </w:tcPr>
          <w:p w14:paraId="5E10C1D2" w14:textId="77777777" w:rsidR="00A71942" w:rsidRPr="002B0D84" w:rsidRDefault="00A71942" w:rsidP="00E276C8">
            <w:pPr>
              <w:spacing w:line="240" w:lineRule="auto"/>
              <w:jc w:val="center"/>
              <w:rPr>
                <w:b/>
                <w:bCs/>
                <w:noProof/>
                <w:sz w:val="22"/>
                <w:szCs w:val="22"/>
                <w:lang w:eastAsia="en-IE"/>
              </w:rPr>
            </w:pPr>
            <w:bookmarkStart w:id="726" w:name="_Toc211963236"/>
            <w:r w:rsidRPr="1FC5E705">
              <w:rPr>
                <w:b/>
                <w:bCs/>
                <w:noProof/>
                <w:sz w:val="22"/>
                <w:szCs w:val="22"/>
              </w:rPr>
              <w:t>PO3</w:t>
            </w:r>
            <w:bookmarkEnd w:id="726"/>
          </w:p>
        </w:tc>
      </w:tr>
      <w:tr w:rsidR="00A71942" w:rsidRPr="002B0D84" w14:paraId="7341B4D9" w14:textId="77777777" w:rsidTr="00E276C8">
        <w:trPr>
          <w:trHeight w:val="332"/>
        </w:trPr>
        <w:tc>
          <w:tcPr>
            <w:tcW w:w="7220" w:type="dxa"/>
            <w:vAlign w:val="center"/>
            <w:hideMark/>
          </w:tcPr>
          <w:p w14:paraId="4996F8A8" w14:textId="77777777" w:rsidR="00A71942" w:rsidRPr="002B0D84" w:rsidRDefault="00A71942" w:rsidP="00E276C8">
            <w:pPr>
              <w:spacing w:line="240" w:lineRule="auto"/>
              <w:rPr>
                <w:noProof/>
                <w:sz w:val="22"/>
                <w:szCs w:val="22"/>
                <w:lang w:val="en-IE" w:eastAsia="en-IE"/>
              </w:rPr>
            </w:pPr>
            <w:bookmarkStart w:id="727" w:name="_Toc211963237"/>
            <w:r w:rsidRPr="1FC5E705">
              <w:rPr>
                <w:noProof/>
                <w:sz w:val="22"/>
                <w:szCs w:val="22"/>
              </w:rPr>
              <w:t>W0: No inclusion of additional waste management processes in the EU ETS.</w:t>
            </w:r>
            <w:bookmarkEnd w:id="727"/>
            <w:r w:rsidRPr="1FC5E705">
              <w:rPr>
                <w:noProof/>
                <w:sz w:val="22"/>
                <w:szCs w:val="22"/>
              </w:rPr>
              <w:t xml:space="preserve"> </w:t>
            </w:r>
          </w:p>
        </w:tc>
        <w:tc>
          <w:tcPr>
            <w:tcW w:w="610" w:type="dxa"/>
            <w:vAlign w:val="center"/>
            <w:hideMark/>
          </w:tcPr>
          <w:p w14:paraId="3FCE216B" w14:textId="77777777" w:rsidR="00A71942" w:rsidRPr="002B0D84" w:rsidRDefault="00A71942" w:rsidP="00E276C8">
            <w:pPr>
              <w:spacing w:line="240" w:lineRule="auto"/>
              <w:jc w:val="center"/>
              <w:rPr>
                <w:noProof/>
                <w:sz w:val="22"/>
                <w:szCs w:val="22"/>
                <w:lang w:val="en-IE" w:eastAsia="en-IE"/>
              </w:rPr>
            </w:pPr>
            <w:bookmarkStart w:id="728" w:name="_Toc211963238"/>
            <w:r w:rsidRPr="1FC5E705">
              <w:rPr>
                <w:noProof/>
                <w:sz w:val="22"/>
                <w:szCs w:val="22"/>
              </w:rPr>
              <w:t>X</w:t>
            </w:r>
            <w:bookmarkEnd w:id="728"/>
          </w:p>
        </w:tc>
        <w:tc>
          <w:tcPr>
            <w:tcW w:w="610" w:type="dxa"/>
            <w:vAlign w:val="center"/>
            <w:hideMark/>
          </w:tcPr>
          <w:p w14:paraId="61E4DE49" w14:textId="77777777" w:rsidR="00A71942" w:rsidRPr="002B0D84" w:rsidRDefault="00A71942" w:rsidP="00E276C8">
            <w:pPr>
              <w:spacing w:line="240" w:lineRule="auto"/>
              <w:jc w:val="center"/>
              <w:rPr>
                <w:noProof/>
                <w:sz w:val="22"/>
                <w:szCs w:val="22"/>
                <w:lang w:val="en-IE" w:eastAsia="en-IE"/>
              </w:rPr>
            </w:pPr>
          </w:p>
        </w:tc>
        <w:tc>
          <w:tcPr>
            <w:tcW w:w="610" w:type="dxa"/>
            <w:vAlign w:val="center"/>
            <w:hideMark/>
          </w:tcPr>
          <w:p w14:paraId="24307D40" w14:textId="77777777" w:rsidR="00A71942" w:rsidRPr="002B0D84" w:rsidRDefault="00A71942" w:rsidP="00E276C8">
            <w:pPr>
              <w:spacing w:line="240" w:lineRule="auto"/>
              <w:jc w:val="center"/>
              <w:rPr>
                <w:noProof/>
                <w:sz w:val="22"/>
                <w:szCs w:val="22"/>
                <w:lang w:val="en-IE" w:eastAsia="en-IE"/>
              </w:rPr>
            </w:pPr>
          </w:p>
        </w:tc>
      </w:tr>
      <w:tr w:rsidR="00A71942" w:rsidRPr="002B0D84" w14:paraId="74E22C12" w14:textId="77777777" w:rsidTr="00E276C8">
        <w:trPr>
          <w:trHeight w:val="332"/>
        </w:trPr>
        <w:tc>
          <w:tcPr>
            <w:tcW w:w="7220" w:type="dxa"/>
            <w:vAlign w:val="center"/>
          </w:tcPr>
          <w:p w14:paraId="3AC3D64E" w14:textId="77777777" w:rsidR="00A71942" w:rsidRPr="002B0D84" w:rsidRDefault="00A71942" w:rsidP="00E276C8">
            <w:pPr>
              <w:spacing w:line="240" w:lineRule="auto"/>
              <w:rPr>
                <w:noProof/>
                <w:sz w:val="22"/>
                <w:szCs w:val="22"/>
                <w:lang w:val="en-IE" w:eastAsia="en-IE"/>
              </w:rPr>
            </w:pPr>
            <w:bookmarkStart w:id="729" w:name="_Toc211963239"/>
            <w:r w:rsidRPr="1FC5E705">
              <w:rPr>
                <w:noProof/>
                <w:sz w:val="22"/>
                <w:szCs w:val="22"/>
              </w:rPr>
              <w:t xml:space="preserve">W1 Inclusion of the non-hazardous waste incineration installations in the EU </w:t>
            </w:r>
            <w:bookmarkEnd w:id="729"/>
            <w:r w:rsidRPr="1FC5E705">
              <w:rPr>
                <w:noProof/>
                <w:sz w:val="22"/>
                <w:szCs w:val="22"/>
              </w:rPr>
              <w:t>ETS</w:t>
            </w:r>
          </w:p>
        </w:tc>
        <w:tc>
          <w:tcPr>
            <w:tcW w:w="610" w:type="dxa"/>
            <w:vAlign w:val="center"/>
          </w:tcPr>
          <w:p w14:paraId="0601305A"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76A8A124" w14:textId="77777777" w:rsidR="00A71942" w:rsidRPr="002B0D84" w:rsidRDefault="00A71942" w:rsidP="00E276C8">
            <w:pPr>
              <w:spacing w:line="240" w:lineRule="auto"/>
              <w:jc w:val="center"/>
              <w:rPr>
                <w:noProof/>
                <w:sz w:val="22"/>
                <w:szCs w:val="22"/>
                <w:lang w:val="en-IE" w:eastAsia="en-IE"/>
              </w:rPr>
            </w:pPr>
            <w:r w:rsidRPr="1FC5E705">
              <w:rPr>
                <w:noProof/>
                <w:sz w:val="22"/>
                <w:szCs w:val="22"/>
              </w:rPr>
              <w:t>X</w:t>
            </w:r>
          </w:p>
        </w:tc>
        <w:tc>
          <w:tcPr>
            <w:tcW w:w="610" w:type="dxa"/>
            <w:vAlign w:val="center"/>
          </w:tcPr>
          <w:p w14:paraId="3E3AE7FA" w14:textId="77777777" w:rsidR="00A71942" w:rsidRPr="002B0D84" w:rsidRDefault="00A71942" w:rsidP="00E276C8">
            <w:pPr>
              <w:spacing w:line="240" w:lineRule="auto"/>
              <w:jc w:val="center"/>
              <w:rPr>
                <w:noProof/>
                <w:sz w:val="22"/>
                <w:szCs w:val="22"/>
                <w:lang w:val="en-IE" w:eastAsia="en-IE"/>
              </w:rPr>
            </w:pPr>
          </w:p>
        </w:tc>
      </w:tr>
      <w:tr w:rsidR="00A71942" w:rsidRPr="002B0D84" w14:paraId="5FFD9053" w14:textId="77777777" w:rsidTr="00E276C8">
        <w:trPr>
          <w:trHeight w:val="332"/>
        </w:trPr>
        <w:tc>
          <w:tcPr>
            <w:tcW w:w="7220" w:type="dxa"/>
            <w:vAlign w:val="center"/>
            <w:hideMark/>
          </w:tcPr>
          <w:p w14:paraId="23C1AEF8" w14:textId="77777777" w:rsidR="00A71942" w:rsidRPr="002B0D84" w:rsidRDefault="00A71942" w:rsidP="00E276C8">
            <w:pPr>
              <w:spacing w:line="240" w:lineRule="auto"/>
              <w:rPr>
                <w:noProof/>
                <w:sz w:val="22"/>
                <w:szCs w:val="22"/>
                <w:lang w:val="en-IE" w:eastAsia="en-IE"/>
              </w:rPr>
            </w:pPr>
            <w:bookmarkStart w:id="730" w:name="_Toc211963240"/>
            <w:r w:rsidRPr="1FC5E705">
              <w:rPr>
                <w:noProof/>
                <w:sz w:val="22"/>
                <w:szCs w:val="22"/>
              </w:rPr>
              <w:t xml:space="preserve">W2 Inclusion of all waste incineration installations in the EU </w:t>
            </w:r>
            <w:bookmarkEnd w:id="730"/>
            <w:r w:rsidRPr="1FC5E705">
              <w:rPr>
                <w:noProof/>
                <w:sz w:val="22"/>
                <w:szCs w:val="22"/>
              </w:rPr>
              <w:t>ETS</w:t>
            </w:r>
          </w:p>
        </w:tc>
        <w:tc>
          <w:tcPr>
            <w:tcW w:w="610" w:type="dxa"/>
            <w:vAlign w:val="center"/>
            <w:hideMark/>
          </w:tcPr>
          <w:p w14:paraId="58622075" w14:textId="77777777" w:rsidR="00A71942" w:rsidRPr="002B0D84" w:rsidRDefault="00A71942" w:rsidP="00E276C8">
            <w:pPr>
              <w:spacing w:line="240" w:lineRule="auto"/>
              <w:jc w:val="center"/>
              <w:rPr>
                <w:noProof/>
                <w:sz w:val="22"/>
                <w:szCs w:val="22"/>
                <w:lang w:val="en-IE" w:eastAsia="en-IE"/>
              </w:rPr>
            </w:pPr>
          </w:p>
        </w:tc>
        <w:tc>
          <w:tcPr>
            <w:tcW w:w="610" w:type="dxa"/>
            <w:vAlign w:val="center"/>
            <w:hideMark/>
          </w:tcPr>
          <w:p w14:paraId="47840377"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2E85D9B4" w14:textId="77777777" w:rsidR="00A71942" w:rsidRPr="002B0D84" w:rsidRDefault="00A71942" w:rsidP="00E276C8">
            <w:pPr>
              <w:spacing w:line="240" w:lineRule="auto"/>
              <w:jc w:val="center"/>
              <w:rPr>
                <w:noProof/>
                <w:sz w:val="22"/>
                <w:szCs w:val="22"/>
                <w:lang w:val="en-IE" w:eastAsia="en-IE"/>
              </w:rPr>
            </w:pPr>
          </w:p>
        </w:tc>
      </w:tr>
      <w:tr w:rsidR="00A71942" w:rsidRPr="002B0D84" w14:paraId="1E68A879" w14:textId="77777777" w:rsidTr="00E276C8">
        <w:trPr>
          <w:trHeight w:val="332"/>
        </w:trPr>
        <w:tc>
          <w:tcPr>
            <w:tcW w:w="7220" w:type="dxa"/>
            <w:vAlign w:val="center"/>
            <w:hideMark/>
          </w:tcPr>
          <w:p w14:paraId="1D96BA5D" w14:textId="77777777" w:rsidR="00A71942" w:rsidRPr="002B0D84" w:rsidRDefault="00A71942" w:rsidP="00E276C8">
            <w:pPr>
              <w:spacing w:line="240" w:lineRule="auto"/>
              <w:rPr>
                <w:noProof/>
                <w:sz w:val="22"/>
                <w:szCs w:val="22"/>
                <w:lang w:val="en-IE" w:eastAsia="en-IE"/>
              </w:rPr>
            </w:pPr>
            <w:bookmarkStart w:id="731" w:name="_Toc211963242"/>
            <w:r w:rsidRPr="1FC5E705">
              <w:rPr>
                <w:noProof/>
                <w:sz w:val="22"/>
                <w:szCs w:val="22"/>
              </w:rPr>
              <w:t xml:space="preserve">W3 Inclusion of all waste incineration installations and landfills of non-hazardous waste in the EU </w:t>
            </w:r>
            <w:bookmarkEnd w:id="731"/>
            <w:r w:rsidRPr="1FC5E705">
              <w:rPr>
                <w:noProof/>
                <w:sz w:val="22"/>
                <w:szCs w:val="22"/>
              </w:rPr>
              <w:t>ETS</w:t>
            </w:r>
          </w:p>
        </w:tc>
        <w:tc>
          <w:tcPr>
            <w:tcW w:w="610" w:type="dxa"/>
            <w:vAlign w:val="center"/>
            <w:hideMark/>
          </w:tcPr>
          <w:p w14:paraId="3A783F14" w14:textId="77777777" w:rsidR="00A71942" w:rsidRPr="002B0D84" w:rsidRDefault="00A71942" w:rsidP="00E276C8">
            <w:pPr>
              <w:spacing w:line="240" w:lineRule="auto"/>
              <w:jc w:val="center"/>
              <w:rPr>
                <w:noProof/>
                <w:sz w:val="22"/>
                <w:szCs w:val="22"/>
                <w:lang w:val="en-IE" w:eastAsia="en-IE"/>
              </w:rPr>
            </w:pPr>
          </w:p>
        </w:tc>
        <w:tc>
          <w:tcPr>
            <w:tcW w:w="610" w:type="dxa"/>
            <w:vAlign w:val="center"/>
            <w:hideMark/>
          </w:tcPr>
          <w:p w14:paraId="3218AC12"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778E0527" w14:textId="77777777" w:rsidR="00A71942" w:rsidRPr="002B0D84" w:rsidRDefault="00A71942" w:rsidP="00E276C8">
            <w:pPr>
              <w:spacing w:line="240" w:lineRule="auto"/>
              <w:jc w:val="center"/>
              <w:rPr>
                <w:noProof/>
                <w:sz w:val="22"/>
                <w:szCs w:val="22"/>
                <w:lang w:val="en-IE" w:eastAsia="en-IE"/>
              </w:rPr>
            </w:pPr>
            <w:bookmarkStart w:id="732" w:name="_Toc211963243"/>
            <w:r w:rsidRPr="1FC5E705">
              <w:rPr>
                <w:noProof/>
                <w:sz w:val="22"/>
                <w:szCs w:val="22"/>
              </w:rPr>
              <w:t>X</w:t>
            </w:r>
            <w:bookmarkEnd w:id="732"/>
          </w:p>
        </w:tc>
      </w:tr>
      <w:tr w:rsidR="00A71942" w:rsidRPr="002B0D84" w14:paraId="400A3A72" w14:textId="77777777" w:rsidTr="00E276C8">
        <w:trPr>
          <w:trHeight w:val="332"/>
        </w:trPr>
        <w:tc>
          <w:tcPr>
            <w:tcW w:w="7220" w:type="dxa"/>
            <w:vAlign w:val="center"/>
            <w:hideMark/>
          </w:tcPr>
          <w:p w14:paraId="3013F4D0" w14:textId="77777777" w:rsidR="00A71942" w:rsidRPr="002B0D84" w:rsidRDefault="00A71942" w:rsidP="00E276C8">
            <w:pPr>
              <w:spacing w:line="240" w:lineRule="auto"/>
              <w:rPr>
                <w:noProof/>
                <w:sz w:val="22"/>
                <w:szCs w:val="22"/>
                <w:lang w:val="en-IE" w:eastAsia="en-IE"/>
              </w:rPr>
            </w:pPr>
            <w:bookmarkStart w:id="733" w:name="_Toc211963244"/>
            <w:r w:rsidRPr="1FC5E705">
              <w:rPr>
                <w:noProof/>
                <w:sz w:val="22"/>
                <w:szCs w:val="22"/>
              </w:rPr>
              <w:t>W4 Inclusion of all waste incineration installations, landfills of non-hazardous waste and chemical recycling processes in the EU ETS.</w:t>
            </w:r>
            <w:bookmarkEnd w:id="733"/>
          </w:p>
        </w:tc>
        <w:tc>
          <w:tcPr>
            <w:tcW w:w="610" w:type="dxa"/>
            <w:vAlign w:val="center"/>
            <w:hideMark/>
          </w:tcPr>
          <w:p w14:paraId="08A394A6" w14:textId="77777777" w:rsidR="00A71942" w:rsidRPr="002B0D84" w:rsidRDefault="00A71942" w:rsidP="00E276C8">
            <w:pPr>
              <w:spacing w:line="240" w:lineRule="auto"/>
              <w:jc w:val="center"/>
              <w:rPr>
                <w:noProof/>
                <w:sz w:val="22"/>
                <w:szCs w:val="22"/>
                <w:lang w:val="en-IE" w:eastAsia="en-IE"/>
              </w:rPr>
            </w:pPr>
          </w:p>
        </w:tc>
        <w:tc>
          <w:tcPr>
            <w:tcW w:w="610" w:type="dxa"/>
            <w:vAlign w:val="center"/>
            <w:hideMark/>
          </w:tcPr>
          <w:p w14:paraId="068A69EB"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070E0609" w14:textId="77777777" w:rsidR="00A71942" w:rsidRPr="002B0D84" w:rsidRDefault="00A71942" w:rsidP="00E276C8">
            <w:pPr>
              <w:spacing w:line="240" w:lineRule="auto"/>
              <w:jc w:val="center"/>
              <w:rPr>
                <w:noProof/>
                <w:sz w:val="22"/>
                <w:szCs w:val="22"/>
                <w:lang w:val="en-IE" w:eastAsia="en-IE"/>
              </w:rPr>
            </w:pPr>
          </w:p>
        </w:tc>
      </w:tr>
      <w:tr w:rsidR="00A71942" w:rsidRPr="002B0D84" w14:paraId="75319BAA" w14:textId="77777777" w:rsidTr="00E276C8">
        <w:trPr>
          <w:trHeight w:val="332"/>
        </w:trPr>
        <w:tc>
          <w:tcPr>
            <w:tcW w:w="7220" w:type="dxa"/>
            <w:vAlign w:val="center"/>
          </w:tcPr>
          <w:p w14:paraId="63710393" w14:textId="77777777" w:rsidR="00A71942" w:rsidRPr="002B0D84" w:rsidRDefault="00A71942" w:rsidP="00E276C8">
            <w:pPr>
              <w:spacing w:line="240" w:lineRule="auto"/>
              <w:rPr>
                <w:noProof/>
                <w:sz w:val="22"/>
                <w:szCs w:val="22"/>
                <w:lang w:eastAsia="en-IE"/>
              </w:rPr>
            </w:pPr>
            <w:bookmarkStart w:id="734" w:name="_Toc211963245"/>
            <w:r w:rsidRPr="1FC5E705">
              <w:rPr>
                <w:noProof/>
                <w:sz w:val="22"/>
                <w:szCs w:val="22"/>
              </w:rPr>
              <w:t xml:space="preserve">W5 Inclusion of all waste incineration installations, landfills of non-hazardous waste and recycling processes in the EU </w:t>
            </w:r>
            <w:bookmarkEnd w:id="734"/>
            <w:r w:rsidRPr="1FC5E705">
              <w:rPr>
                <w:noProof/>
                <w:sz w:val="22"/>
                <w:szCs w:val="22"/>
              </w:rPr>
              <w:t>ETS</w:t>
            </w:r>
          </w:p>
        </w:tc>
        <w:tc>
          <w:tcPr>
            <w:tcW w:w="610" w:type="dxa"/>
            <w:vAlign w:val="center"/>
          </w:tcPr>
          <w:p w14:paraId="01A30848"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66815884"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0B2DC029" w14:textId="77777777" w:rsidR="00A71942" w:rsidRPr="002B0D84" w:rsidRDefault="00A71942" w:rsidP="00E276C8">
            <w:pPr>
              <w:spacing w:line="240" w:lineRule="auto"/>
              <w:jc w:val="center"/>
              <w:rPr>
                <w:noProof/>
                <w:sz w:val="22"/>
                <w:szCs w:val="22"/>
                <w:lang w:eastAsia="en-IE"/>
              </w:rPr>
            </w:pPr>
          </w:p>
        </w:tc>
      </w:tr>
      <w:tr w:rsidR="00A71942" w:rsidRPr="002B0D84" w14:paraId="6FEFA90E" w14:textId="77777777" w:rsidTr="00E276C8">
        <w:trPr>
          <w:trHeight w:val="332"/>
        </w:trPr>
        <w:tc>
          <w:tcPr>
            <w:tcW w:w="7220" w:type="dxa"/>
            <w:vAlign w:val="center"/>
          </w:tcPr>
          <w:p w14:paraId="0B2DC07F" w14:textId="77777777" w:rsidR="00A71942" w:rsidRPr="002B0D84" w:rsidRDefault="00A71942" w:rsidP="00E276C8">
            <w:pPr>
              <w:spacing w:line="240" w:lineRule="auto"/>
              <w:rPr>
                <w:noProof/>
                <w:sz w:val="22"/>
                <w:szCs w:val="22"/>
                <w:lang w:eastAsia="en-IE"/>
              </w:rPr>
            </w:pPr>
            <w:bookmarkStart w:id="735" w:name="_Toc211963246"/>
            <w:r w:rsidRPr="1FC5E705">
              <w:rPr>
                <w:noProof/>
                <w:sz w:val="22"/>
                <w:szCs w:val="22"/>
              </w:rPr>
              <w:t xml:space="preserve">W6 Inclusion of all waste incineration installations, landfills of non-hazardous waste and recycling processes, as well as other waste management process (fermentation, composting and mechanical-biological treatment) in the EU </w:t>
            </w:r>
            <w:bookmarkEnd w:id="735"/>
            <w:r w:rsidRPr="1FC5E705">
              <w:rPr>
                <w:noProof/>
                <w:sz w:val="22"/>
                <w:szCs w:val="22"/>
              </w:rPr>
              <w:t>ETS</w:t>
            </w:r>
          </w:p>
        </w:tc>
        <w:tc>
          <w:tcPr>
            <w:tcW w:w="610" w:type="dxa"/>
            <w:vAlign w:val="center"/>
          </w:tcPr>
          <w:p w14:paraId="753E85CD"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7A9FF61E" w14:textId="77777777" w:rsidR="00A71942" w:rsidRPr="002B0D84" w:rsidRDefault="00A71942" w:rsidP="00E276C8">
            <w:pPr>
              <w:spacing w:line="240" w:lineRule="auto"/>
              <w:jc w:val="center"/>
              <w:rPr>
                <w:noProof/>
                <w:sz w:val="22"/>
                <w:szCs w:val="22"/>
                <w:lang w:val="en-IE" w:eastAsia="en-IE"/>
              </w:rPr>
            </w:pPr>
          </w:p>
        </w:tc>
        <w:tc>
          <w:tcPr>
            <w:tcW w:w="610" w:type="dxa"/>
            <w:vAlign w:val="center"/>
          </w:tcPr>
          <w:p w14:paraId="65B1C56C" w14:textId="77777777" w:rsidR="00A71942" w:rsidRPr="002B0D84" w:rsidRDefault="00A71942" w:rsidP="00E276C8">
            <w:pPr>
              <w:spacing w:line="240" w:lineRule="auto"/>
              <w:jc w:val="center"/>
              <w:rPr>
                <w:noProof/>
                <w:sz w:val="22"/>
                <w:szCs w:val="22"/>
                <w:lang w:eastAsia="en-IE"/>
              </w:rPr>
            </w:pPr>
          </w:p>
        </w:tc>
      </w:tr>
    </w:tbl>
    <w:p w14:paraId="583582B5" w14:textId="77777777" w:rsidR="00A71942" w:rsidRPr="002B0D84" w:rsidRDefault="00A71942" w:rsidP="00E276C8">
      <w:pPr>
        <w:pStyle w:val="Heading2COM"/>
        <w:spacing w:before="120" w:after="120" w:line="240" w:lineRule="auto"/>
        <w:outlineLvl w:val="2"/>
        <w15:collapsed w:val="0"/>
        <w:rPr>
          <w:noProof/>
        </w:rPr>
      </w:pPr>
      <w:bookmarkStart w:id="736" w:name="_Toc219466682"/>
      <w:bookmarkStart w:id="737" w:name="_Toc232611540"/>
      <w:bookmarkStart w:id="738" w:name="_Toc232758225"/>
      <w:r>
        <w:rPr>
          <w:noProof/>
        </w:rPr>
        <w:t>CCU</w:t>
      </w:r>
      <w:bookmarkEnd w:id="736"/>
      <w:bookmarkEnd w:id="737"/>
      <w:bookmarkEnd w:id="738"/>
    </w:p>
    <w:p w14:paraId="17E44714" w14:textId="77777777" w:rsidR="00A71942" w:rsidRPr="002B0D84" w:rsidRDefault="00A71942" w:rsidP="00E276C8">
      <w:pPr>
        <w:spacing w:line="240" w:lineRule="auto"/>
        <w:rPr>
          <w:noProof/>
        </w:rPr>
      </w:pPr>
      <w:bookmarkStart w:id="739" w:name="_Toc211963247"/>
      <w:r>
        <w:rPr>
          <w:noProof/>
        </w:rPr>
        <w:t xml:space="preserve">The recognition of non-permanent carbon reuse or </w:t>
      </w:r>
      <w:r w:rsidRPr="1FC5E705">
        <w:rPr>
          <w:b/>
          <w:bCs/>
          <w:noProof/>
        </w:rPr>
        <w:t>CCU (P2)</w:t>
      </w:r>
      <w:r>
        <w:rPr>
          <w:noProof/>
        </w:rPr>
        <w:t xml:space="preserve"> in ETS represents an accounting challenge, as emissions resulting from an ETS activity are captured and utilised in products that do not ensure their permanent storage to be then released in a different place and time. Therefore, the CCU measures are formulated around the different possible accounting options and assessed whether they ensure that emissions within the scope is effectively accounted, i.e. reported and the corresponding allowances surrendered, while avoiding the double counting or under-counting of emissions. In addition, the measures are assessed on whether they provide a level playing field or incentivise novel CCU products compared to their fossil-based equivalent.</w:t>
      </w:r>
      <w:bookmarkEnd w:id="739"/>
      <w:r>
        <w:rPr>
          <w:noProof/>
        </w:rPr>
        <w:t xml:space="preserve"> </w:t>
      </w:r>
    </w:p>
    <w:p w14:paraId="2B877E44" w14:textId="77777777" w:rsidR="00A71942" w:rsidRPr="002B0D84" w:rsidRDefault="00A71942" w:rsidP="00E276C8">
      <w:pPr>
        <w:spacing w:line="240" w:lineRule="auto"/>
        <w:rPr>
          <w:noProof/>
        </w:rPr>
      </w:pPr>
      <w:bookmarkStart w:id="740" w:name="_Toc211963248"/>
      <w:r>
        <w:rPr>
          <w:noProof/>
        </w:rPr>
        <w:t xml:space="preserve">As the carbon accounting in the EU ETS is dependent on the scope of the EU ETS coverage of waste incineration, the different policy measures need to reflect the inclusion or lack of it in the EU ETS. </w:t>
      </w:r>
      <w:r w:rsidRPr="0076661B">
        <w:rPr>
          <w:b/>
          <w:bCs/>
          <w:noProof/>
        </w:rPr>
        <w:t>CCU0</w:t>
      </w:r>
      <w:r>
        <w:rPr>
          <w:noProof/>
        </w:rPr>
        <w:t xml:space="preserve"> represents no change from the baseline, continuing the upstream accounting in the context of no inclusion of waste incineration in the EU ETS. Measure </w:t>
      </w:r>
      <w:r w:rsidRPr="002B0D84">
        <w:rPr>
          <w:b/>
          <w:bCs/>
          <w:noProof/>
        </w:rPr>
        <w:t>CCU1</w:t>
      </w:r>
      <w:r w:rsidRPr="002B0D84">
        <w:rPr>
          <w:noProof/>
        </w:rPr>
        <w:t xml:space="preserve"> retains the current </w:t>
      </w:r>
      <w:r w:rsidRPr="002B0D84">
        <w:rPr>
          <w:b/>
          <w:bCs/>
          <w:noProof/>
        </w:rPr>
        <w:t xml:space="preserve">upstream accounting system¸ </w:t>
      </w:r>
      <w:r w:rsidRPr="002B0D84">
        <w:rPr>
          <w:noProof/>
        </w:rPr>
        <w:t>which means that the emitter pays for any captured emissions, unless they are permanently stored.</w:t>
      </w:r>
      <w:r>
        <w:rPr>
          <w:noProof/>
        </w:rPr>
        <w:t xml:space="preserve"> However, unlike CCU0, CCU1 assumes that waste incineration has been included in the EU ETS.</w:t>
      </w:r>
      <w:r w:rsidRPr="002B0D84">
        <w:rPr>
          <w:noProof/>
        </w:rPr>
        <w:t xml:space="preserve"> Measure </w:t>
      </w:r>
      <w:r w:rsidRPr="002B0D84">
        <w:rPr>
          <w:b/>
          <w:bCs/>
          <w:noProof/>
        </w:rPr>
        <w:t>CCU2</w:t>
      </w:r>
      <w:r w:rsidRPr="002B0D84">
        <w:rPr>
          <w:noProof/>
        </w:rPr>
        <w:t xml:space="preserve"> moves the point of </w:t>
      </w:r>
      <w:r w:rsidRPr="002B0D84">
        <w:rPr>
          <w:b/>
          <w:bCs/>
          <w:noProof/>
        </w:rPr>
        <w:t xml:space="preserve">accounting downstream, </w:t>
      </w:r>
      <w:r w:rsidRPr="002B0D84">
        <w:rPr>
          <w:noProof/>
        </w:rPr>
        <w:t xml:space="preserve">which requires that the emissions contained in a CCU product are accounted at the point where they are finally emitted, which can be at the point of consumption for a product such as e-fuels or during the end-of-life treatment, such as when plastics or other materials are incinerated. Measure </w:t>
      </w:r>
      <w:r w:rsidRPr="002B0D84">
        <w:rPr>
          <w:b/>
          <w:bCs/>
          <w:noProof/>
        </w:rPr>
        <w:t>CCU3</w:t>
      </w:r>
      <w:r w:rsidRPr="002B0D84">
        <w:rPr>
          <w:noProof/>
        </w:rPr>
        <w:t xml:space="preserve"> represents a hybrid accounting maintaining </w:t>
      </w:r>
      <w:r w:rsidRPr="002B0D84">
        <w:rPr>
          <w:b/>
          <w:bCs/>
          <w:noProof/>
        </w:rPr>
        <w:t xml:space="preserve">the downstream accounting for most CCU products, </w:t>
      </w:r>
      <w:r w:rsidRPr="002B0D84">
        <w:rPr>
          <w:noProof/>
        </w:rPr>
        <w:t xml:space="preserve">except for </w:t>
      </w:r>
      <w:r w:rsidRPr="002B0D84">
        <w:rPr>
          <w:b/>
          <w:bCs/>
          <w:noProof/>
        </w:rPr>
        <w:t xml:space="preserve">e-fuels for which a midstream accounting </w:t>
      </w:r>
      <w:r w:rsidRPr="002B0D84">
        <w:rPr>
          <w:noProof/>
        </w:rPr>
        <w:t>would be applied. This measure adapts the downstream accounting to the specificity of e-fuels, for which a developed regulatory framework and incentives</w:t>
      </w:r>
      <w:r w:rsidRPr="1FC5E705">
        <w:rPr>
          <w:noProof/>
          <w:vertAlign w:val="superscript"/>
        </w:rPr>
        <w:footnoteReference w:id="74"/>
      </w:r>
      <w:r w:rsidRPr="002B0D84">
        <w:rPr>
          <w:noProof/>
        </w:rPr>
        <w:t xml:space="preserve"> are already in place. Under CCU3, e-fuels producers or distributers would be required to account and pay for any fossil emissions embedded in the e-fuels, which allows to consider them as zero-rated fuels for the end user.</w:t>
      </w:r>
      <w:bookmarkEnd w:id="740"/>
      <w:r w:rsidRPr="002B0D84">
        <w:rPr>
          <w:noProof/>
        </w:rPr>
        <w:t xml:space="preserve"> </w:t>
      </w:r>
    </w:p>
    <w:p w14:paraId="0803D2CB" w14:textId="77777777" w:rsidR="00A71942" w:rsidRPr="002B0D84" w:rsidRDefault="00A71942" w:rsidP="00E276C8">
      <w:pPr>
        <w:pStyle w:val="Tabletitle"/>
        <w:spacing w:after="120" w:line="240" w:lineRule="auto"/>
        <w:ind w:left="720"/>
        <w:rPr>
          <w:noProof/>
        </w:rPr>
      </w:pPr>
      <w:bookmarkStart w:id="741" w:name="_Toc232608953"/>
      <w:bookmarkStart w:id="742" w:name="_Toc232609689"/>
      <w:bookmarkStart w:id="743" w:name="_Toc232611564"/>
      <w:bookmarkStart w:id="744" w:name="_Toc232672623"/>
      <w:bookmarkStart w:id="745" w:name="_Toc232758475"/>
      <w:r>
        <w:rPr>
          <w:noProof/>
        </w:rPr>
        <w:t>Policy measures for CCU</w:t>
      </w:r>
      <w:bookmarkEnd w:id="741"/>
      <w:bookmarkEnd w:id="742"/>
      <w:bookmarkEnd w:id="743"/>
      <w:bookmarkEnd w:id="744"/>
      <w:bookmarkEnd w:id="745"/>
    </w:p>
    <w:tbl>
      <w:tblPr>
        <w:tblW w:w="8759" w:type="dxa"/>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CellMar>
          <w:left w:w="0" w:type="dxa"/>
          <w:right w:w="0" w:type="dxa"/>
        </w:tblCellMar>
        <w:tblLook w:val="04A0" w:firstRow="1" w:lastRow="0" w:firstColumn="1" w:lastColumn="0" w:noHBand="0" w:noVBand="1"/>
      </w:tblPr>
      <w:tblGrid>
        <w:gridCol w:w="4853"/>
        <w:gridCol w:w="1303"/>
        <w:gridCol w:w="1300"/>
        <w:gridCol w:w="1303"/>
      </w:tblGrid>
      <w:tr w:rsidR="00A71942" w:rsidRPr="002B0D84" w14:paraId="1B7FF0E2" w14:textId="77777777" w:rsidTr="1FC5E705">
        <w:trPr>
          <w:trHeight w:val="144"/>
        </w:trPr>
        <w:tc>
          <w:tcPr>
            <w:tcW w:w="4853" w:type="dxa"/>
            <w:hideMark/>
          </w:tcPr>
          <w:p w14:paraId="15BA724B" w14:textId="77777777" w:rsidR="00A71942" w:rsidRPr="002B0D84" w:rsidRDefault="00A71942" w:rsidP="00E276C8">
            <w:pPr>
              <w:spacing w:line="240" w:lineRule="auto"/>
              <w:rPr>
                <w:b/>
                <w:bCs/>
                <w:noProof/>
                <w:sz w:val="22"/>
                <w:szCs w:val="22"/>
                <w:lang w:val="en-IE" w:eastAsia="en-IE"/>
              </w:rPr>
            </w:pPr>
            <w:bookmarkStart w:id="746" w:name="_Toc211963251"/>
            <w:r w:rsidRPr="1FC5E705">
              <w:rPr>
                <w:b/>
                <w:bCs/>
                <w:noProof/>
                <w:sz w:val="22"/>
                <w:szCs w:val="22"/>
              </w:rPr>
              <w:t>Policy measure</w:t>
            </w:r>
            <w:bookmarkEnd w:id="746"/>
            <w:r w:rsidRPr="1FC5E705">
              <w:rPr>
                <w:b/>
                <w:bCs/>
                <w:noProof/>
                <w:sz w:val="22"/>
                <w:szCs w:val="22"/>
              </w:rPr>
              <w:t> </w:t>
            </w:r>
          </w:p>
        </w:tc>
        <w:tc>
          <w:tcPr>
            <w:tcW w:w="1303" w:type="dxa"/>
            <w:hideMark/>
          </w:tcPr>
          <w:p w14:paraId="2CBF51BB" w14:textId="77777777" w:rsidR="00A71942" w:rsidRPr="002B0D84" w:rsidRDefault="00A71942" w:rsidP="00E276C8">
            <w:pPr>
              <w:spacing w:line="240" w:lineRule="auto"/>
              <w:jc w:val="center"/>
              <w:rPr>
                <w:b/>
                <w:bCs/>
                <w:noProof/>
                <w:sz w:val="22"/>
                <w:szCs w:val="22"/>
                <w:lang w:val="en-IE" w:eastAsia="en-IE"/>
              </w:rPr>
            </w:pPr>
            <w:bookmarkStart w:id="747" w:name="_Toc211963252"/>
            <w:r w:rsidRPr="1FC5E705">
              <w:rPr>
                <w:b/>
                <w:bCs/>
                <w:noProof/>
                <w:sz w:val="22"/>
                <w:szCs w:val="22"/>
              </w:rPr>
              <w:t>PO1</w:t>
            </w:r>
            <w:bookmarkEnd w:id="747"/>
          </w:p>
        </w:tc>
        <w:tc>
          <w:tcPr>
            <w:tcW w:w="1300" w:type="dxa"/>
            <w:hideMark/>
          </w:tcPr>
          <w:p w14:paraId="42AF4C66" w14:textId="77777777" w:rsidR="00A71942" w:rsidRPr="002B0D84" w:rsidRDefault="00A71942" w:rsidP="00E276C8">
            <w:pPr>
              <w:spacing w:line="240" w:lineRule="auto"/>
              <w:jc w:val="center"/>
              <w:rPr>
                <w:b/>
                <w:bCs/>
                <w:noProof/>
                <w:sz w:val="22"/>
                <w:szCs w:val="22"/>
                <w:lang w:val="en-IE" w:eastAsia="en-IE"/>
              </w:rPr>
            </w:pPr>
            <w:bookmarkStart w:id="748" w:name="_Toc211963253"/>
            <w:r w:rsidRPr="1FC5E705">
              <w:rPr>
                <w:b/>
                <w:bCs/>
                <w:noProof/>
                <w:sz w:val="22"/>
                <w:szCs w:val="22"/>
              </w:rPr>
              <w:t>PO2</w:t>
            </w:r>
            <w:bookmarkEnd w:id="748"/>
          </w:p>
        </w:tc>
        <w:tc>
          <w:tcPr>
            <w:tcW w:w="1303" w:type="dxa"/>
            <w:hideMark/>
          </w:tcPr>
          <w:p w14:paraId="5A12BA3F" w14:textId="77777777" w:rsidR="00A71942" w:rsidRPr="002B0D84" w:rsidRDefault="00A71942" w:rsidP="00E276C8">
            <w:pPr>
              <w:spacing w:line="240" w:lineRule="auto"/>
              <w:jc w:val="center"/>
              <w:rPr>
                <w:b/>
                <w:bCs/>
                <w:noProof/>
                <w:sz w:val="22"/>
                <w:szCs w:val="22"/>
                <w:lang w:val="en-IE" w:eastAsia="en-IE"/>
              </w:rPr>
            </w:pPr>
            <w:bookmarkStart w:id="749" w:name="_Toc211963254"/>
            <w:r w:rsidRPr="1FC5E705">
              <w:rPr>
                <w:b/>
                <w:bCs/>
                <w:noProof/>
                <w:sz w:val="22"/>
                <w:szCs w:val="22"/>
              </w:rPr>
              <w:t>PO3</w:t>
            </w:r>
            <w:bookmarkEnd w:id="749"/>
          </w:p>
        </w:tc>
      </w:tr>
      <w:tr w:rsidR="00A71942" w:rsidRPr="002B0D84" w14:paraId="0CB43309" w14:textId="77777777" w:rsidTr="1FC5E705">
        <w:trPr>
          <w:trHeight w:val="381"/>
        </w:trPr>
        <w:tc>
          <w:tcPr>
            <w:tcW w:w="4853" w:type="dxa"/>
            <w:vAlign w:val="center"/>
          </w:tcPr>
          <w:p w14:paraId="1648DA75" w14:textId="77777777" w:rsidR="00A71942" w:rsidRPr="002B0D84" w:rsidRDefault="00A71942" w:rsidP="00E276C8">
            <w:pPr>
              <w:spacing w:line="240" w:lineRule="auto"/>
              <w:rPr>
                <w:noProof/>
                <w:sz w:val="22"/>
                <w:szCs w:val="22"/>
                <w:lang w:eastAsia="en-IE"/>
              </w:rPr>
            </w:pPr>
            <w:r w:rsidRPr="1FC5E705">
              <w:rPr>
                <w:noProof/>
                <w:sz w:val="22"/>
                <w:szCs w:val="22"/>
              </w:rPr>
              <w:t>CCU0:‘Upstream accounting’ with current waste scope</w:t>
            </w:r>
          </w:p>
        </w:tc>
        <w:tc>
          <w:tcPr>
            <w:tcW w:w="1303" w:type="dxa"/>
            <w:vAlign w:val="center"/>
          </w:tcPr>
          <w:p w14:paraId="03F17181" w14:textId="77777777" w:rsidR="00A71942" w:rsidRPr="002B0D84" w:rsidRDefault="00A71942" w:rsidP="00E276C8">
            <w:pPr>
              <w:spacing w:line="240" w:lineRule="auto"/>
              <w:jc w:val="center"/>
              <w:rPr>
                <w:noProof/>
                <w:sz w:val="22"/>
                <w:szCs w:val="22"/>
                <w:lang w:eastAsia="en-IE"/>
              </w:rPr>
            </w:pPr>
            <w:r w:rsidRPr="1FC5E705">
              <w:rPr>
                <w:noProof/>
                <w:sz w:val="22"/>
                <w:szCs w:val="22"/>
              </w:rPr>
              <w:t>X</w:t>
            </w:r>
          </w:p>
        </w:tc>
        <w:tc>
          <w:tcPr>
            <w:tcW w:w="1300" w:type="dxa"/>
            <w:vAlign w:val="center"/>
          </w:tcPr>
          <w:p w14:paraId="609C21C7" w14:textId="77777777" w:rsidR="00A71942" w:rsidRPr="002B0D84" w:rsidRDefault="00A71942" w:rsidP="00E276C8">
            <w:pPr>
              <w:spacing w:line="240" w:lineRule="auto"/>
              <w:jc w:val="center"/>
              <w:rPr>
                <w:noProof/>
                <w:sz w:val="22"/>
                <w:szCs w:val="22"/>
                <w:lang w:val="en-IE" w:eastAsia="en-IE"/>
              </w:rPr>
            </w:pPr>
          </w:p>
        </w:tc>
        <w:tc>
          <w:tcPr>
            <w:tcW w:w="1303" w:type="dxa"/>
            <w:vAlign w:val="center"/>
          </w:tcPr>
          <w:p w14:paraId="60C8A6CF" w14:textId="77777777" w:rsidR="00A71942" w:rsidRPr="002B0D84" w:rsidRDefault="00A71942" w:rsidP="00E276C8">
            <w:pPr>
              <w:spacing w:line="240" w:lineRule="auto"/>
              <w:jc w:val="center"/>
              <w:rPr>
                <w:noProof/>
                <w:sz w:val="22"/>
                <w:szCs w:val="22"/>
                <w:lang w:val="en-IE" w:eastAsia="en-IE"/>
              </w:rPr>
            </w:pPr>
          </w:p>
        </w:tc>
      </w:tr>
      <w:tr w:rsidR="00A71942" w:rsidRPr="002B0D84" w14:paraId="264451AC" w14:textId="77777777" w:rsidTr="1FC5E705">
        <w:trPr>
          <w:trHeight w:val="381"/>
        </w:trPr>
        <w:tc>
          <w:tcPr>
            <w:tcW w:w="4853" w:type="dxa"/>
            <w:vAlign w:val="center"/>
            <w:hideMark/>
          </w:tcPr>
          <w:p w14:paraId="78169FF5" w14:textId="77777777" w:rsidR="00A71942" w:rsidRPr="002B0D84" w:rsidRDefault="00A71942" w:rsidP="00E276C8">
            <w:pPr>
              <w:spacing w:line="240" w:lineRule="auto"/>
              <w:rPr>
                <w:noProof/>
                <w:sz w:val="22"/>
                <w:szCs w:val="22"/>
                <w:lang w:val="en-IE" w:eastAsia="en-IE"/>
              </w:rPr>
            </w:pPr>
            <w:bookmarkStart w:id="750" w:name="_Toc211963255"/>
            <w:r w:rsidRPr="1FC5E705">
              <w:rPr>
                <w:noProof/>
                <w:sz w:val="22"/>
                <w:szCs w:val="22"/>
              </w:rPr>
              <w:t>CCU1: ‘Upstream accounting’</w:t>
            </w:r>
            <w:bookmarkEnd w:id="750"/>
            <w:r w:rsidRPr="1FC5E705">
              <w:rPr>
                <w:noProof/>
                <w:sz w:val="22"/>
                <w:szCs w:val="22"/>
              </w:rPr>
              <w:t xml:space="preserve"> with MWI inclusion</w:t>
            </w:r>
          </w:p>
        </w:tc>
        <w:tc>
          <w:tcPr>
            <w:tcW w:w="1303" w:type="dxa"/>
            <w:vAlign w:val="center"/>
            <w:hideMark/>
          </w:tcPr>
          <w:p w14:paraId="170362FB" w14:textId="77777777" w:rsidR="00A71942" w:rsidRPr="002B0D84" w:rsidRDefault="00A71942" w:rsidP="00E276C8">
            <w:pPr>
              <w:spacing w:line="240" w:lineRule="auto"/>
              <w:jc w:val="center"/>
              <w:rPr>
                <w:noProof/>
                <w:sz w:val="22"/>
                <w:szCs w:val="22"/>
                <w:lang w:val="en-IE" w:eastAsia="en-IE"/>
              </w:rPr>
            </w:pPr>
          </w:p>
        </w:tc>
        <w:tc>
          <w:tcPr>
            <w:tcW w:w="1300" w:type="dxa"/>
            <w:vAlign w:val="center"/>
            <w:hideMark/>
          </w:tcPr>
          <w:p w14:paraId="77F8FD17" w14:textId="77777777" w:rsidR="00A71942" w:rsidRPr="002B0D84" w:rsidRDefault="00A71942" w:rsidP="00E276C8">
            <w:pPr>
              <w:spacing w:line="240" w:lineRule="auto"/>
              <w:jc w:val="center"/>
              <w:rPr>
                <w:noProof/>
                <w:sz w:val="22"/>
                <w:szCs w:val="22"/>
                <w:lang w:val="en-IE" w:eastAsia="en-IE"/>
              </w:rPr>
            </w:pPr>
          </w:p>
        </w:tc>
        <w:tc>
          <w:tcPr>
            <w:tcW w:w="1303" w:type="dxa"/>
            <w:vAlign w:val="center"/>
            <w:hideMark/>
          </w:tcPr>
          <w:p w14:paraId="26124741" w14:textId="77777777" w:rsidR="00A71942" w:rsidRPr="002B0D84" w:rsidRDefault="00A71942" w:rsidP="00E276C8">
            <w:pPr>
              <w:spacing w:line="240" w:lineRule="auto"/>
              <w:jc w:val="center"/>
              <w:rPr>
                <w:noProof/>
                <w:sz w:val="22"/>
                <w:szCs w:val="22"/>
                <w:lang w:val="en-IE" w:eastAsia="en-IE"/>
              </w:rPr>
            </w:pPr>
          </w:p>
        </w:tc>
      </w:tr>
      <w:tr w:rsidR="00A71942" w:rsidRPr="002B0D84" w14:paraId="0855BF5B" w14:textId="77777777" w:rsidTr="1FC5E705">
        <w:trPr>
          <w:trHeight w:val="381"/>
        </w:trPr>
        <w:tc>
          <w:tcPr>
            <w:tcW w:w="4853" w:type="dxa"/>
            <w:vAlign w:val="center"/>
            <w:hideMark/>
          </w:tcPr>
          <w:p w14:paraId="25FDEAC9" w14:textId="77777777" w:rsidR="00A71942" w:rsidRPr="002B0D84" w:rsidRDefault="00A71942" w:rsidP="00E276C8">
            <w:pPr>
              <w:spacing w:line="240" w:lineRule="auto"/>
              <w:rPr>
                <w:noProof/>
                <w:sz w:val="22"/>
                <w:szCs w:val="22"/>
                <w:lang w:val="en-IE" w:eastAsia="en-IE"/>
              </w:rPr>
            </w:pPr>
            <w:bookmarkStart w:id="751" w:name="_Toc211963257"/>
            <w:r w:rsidRPr="1FC5E705">
              <w:rPr>
                <w:noProof/>
                <w:sz w:val="22"/>
                <w:szCs w:val="22"/>
              </w:rPr>
              <w:t>CCU2 ‘Downstream accounting’</w:t>
            </w:r>
            <w:bookmarkEnd w:id="751"/>
          </w:p>
        </w:tc>
        <w:tc>
          <w:tcPr>
            <w:tcW w:w="1303" w:type="dxa"/>
            <w:vAlign w:val="center"/>
            <w:hideMark/>
          </w:tcPr>
          <w:p w14:paraId="1924D672" w14:textId="77777777" w:rsidR="00A71942" w:rsidRPr="002B0D84" w:rsidRDefault="00A71942" w:rsidP="00E276C8">
            <w:pPr>
              <w:spacing w:line="240" w:lineRule="auto"/>
              <w:jc w:val="center"/>
              <w:rPr>
                <w:noProof/>
                <w:sz w:val="22"/>
                <w:szCs w:val="22"/>
                <w:lang w:val="en-IE" w:eastAsia="en-IE"/>
              </w:rPr>
            </w:pPr>
          </w:p>
        </w:tc>
        <w:tc>
          <w:tcPr>
            <w:tcW w:w="1300" w:type="dxa"/>
            <w:vAlign w:val="center"/>
            <w:hideMark/>
          </w:tcPr>
          <w:p w14:paraId="35439A72" w14:textId="77777777" w:rsidR="00A71942" w:rsidRPr="002B0D84" w:rsidRDefault="00A71942" w:rsidP="00E276C8">
            <w:pPr>
              <w:spacing w:line="240" w:lineRule="auto"/>
              <w:jc w:val="center"/>
              <w:rPr>
                <w:noProof/>
                <w:sz w:val="22"/>
                <w:szCs w:val="22"/>
                <w:lang w:val="en-IE" w:eastAsia="en-IE"/>
              </w:rPr>
            </w:pPr>
          </w:p>
        </w:tc>
        <w:tc>
          <w:tcPr>
            <w:tcW w:w="1303" w:type="dxa"/>
            <w:vAlign w:val="center"/>
          </w:tcPr>
          <w:p w14:paraId="7D88E8BE" w14:textId="77777777" w:rsidR="00A71942" w:rsidRPr="002B0D84" w:rsidRDefault="00A71942" w:rsidP="00E276C8">
            <w:pPr>
              <w:spacing w:line="240" w:lineRule="auto"/>
              <w:jc w:val="center"/>
              <w:rPr>
                <w:noProof/>
                <w:sz w:val="22"/>
                <w:szCs w:val="22"/>
                <w:lang w:val="en-IE" w:eastAsia="en-IE"/>
              </w:rPr>
            </w:pPr>
          </w:p>
        </w:tc>
      </w:tr>
      <w:tr w:rsidR="00A71942" w:rsidRPr="00E6425A" w14:paraId="195795C8" w14:textId="77777777" w:rsidTr="1FC5E705">
        <w:trPr>
          <w:trHeight w:val="381"/>
        </w:trPr>
        <w:tc>
          <w:tcPr>
            <w:tcW w:w="4853" w:type="dxa"/>
            <w:vAlign w:val="center"/>
            <w:hideMark/>
          </w:tcPr>
          <w:p w14:paraId="5C9AC320" w14:textId="77777777" w:rsidR="00A71942" w:rsidRPr="002B0D84" w:rsidRDefault="00A71942" w:rsidP="00E276C8">
            <w:pPr>
              <w:spacing w:line="240" w:lineRule="auto"/>
              <w:rPr>
                <w:noProof/>
                <w:sz w:val="22"/>
                <w:szCs w:val="22"/>
                <w:lang w:val="en-IE" w:eastAsia="en-IE"/>
              </w:rPr>
            </w:pPr>
            <w:bookmarkStart w:id="752" w:name="_Toc211963258"/>
            <w:r w:rsidRPr="1FC5E705">
              <w:rPr>
                <w:noProof/>
                <w:sz w:val="22"/>
                <w:szCs w:val="22"/>
              </w:rPr>
              <w:t>CCU3 ‘Midstream accounting’</w:t>
            </w:r>
            <w:bookmarkEnd w:id="752"/>
          </w:p>
        </w:tc>
        <w:tc>
          <w:tcPr>
            <w:tcW w:w="1303" w:type="dxa"/>
            <w:vAlign w:val="center"/>
            <w:hideMark/>
          </w:tcPr>
          <w:p w14:paraId="383C7DE3" w14:textId="77777777" w:rsidR="00A71942" w:rsidRPr="002B0D84" w:rsidRDefault="00A71942" w:rsidP="00E276C8">
            <w:pPr>
              <w:spacing w:line="240" w:lineRule="auto"/>
              <w:jc w:val="center"/>
              <w:rPr>
                <w:noProof/>
                <w:sz w:val="22"/>
                <w:szCs w:val="22"/>
                <w:lang w:val="en-IE" w:eastAsia="en-IE"/>
              </w:rPr>
            </w:pPr>
          </w:p>
        </w:tc>
        <w:tc>
          <w:tcPr>
            <w:tcW w:w="1300" w:type="dxa"/>
            <w:vAlign w:val="center"/>
            <w:hideMark/>
          </w:tcPr>
          <w:p w14:paraId="03B65073" w14:textId="77777777" w:rsidR="00A71942" w:rsidRPr="002B0D84" w:rsidRDefault="00A71942" w:rsidP="00E276C8">
            <w:pPr>
              <w:spacing w:line="240" w:lineRule="auto"/>
              <w:jc w:val="center"/>
              <w:rPr>
                <w:noProof/>
                <w:sz w:val="22"/>
                <w:szCs w:val="22"/>
                <w:lang w:val="en-IE" w:eastAsia="en-IE"/>
              </w:rPr>
            </w:pPr>
            <w:bookmarkStart w:id="753" w:name="_Toc211963259"/>
            <w:r w:rsidRPr="1FC5E705">
              <w:rPr>
                <w:noProof/>
                <w:sz w:val="22"/>
                <w:szCs w:val="22"/>
              </w:rPr>
              <w:t>X</w:t>
            </w:r>
            <w:bookmarkEnd w:id="753"/>
          </w:p>
        </w:tc>
        <w:tc>
          <w:tcPr>
            <w:tcW w:w="1303" w:type="dxa"/>
            <w:vAlign w:val="center"/>
          </w:tcPr>
          <w:p w14:paraId="0438FD3C" w14:textId="77777777" w:rsidR="00A71942" w:rsidRPr="00E6425A" w:rsidRDefault="00A71942" w:rsidP="00E276C8">
            <w:pPr>
              <w:spacing w:line="240" w:lineRule="auto"/>
              <w:jc w:val="center"/>
              <w:rPr>
                <w:noProof/>
                <w:sz w:val="22"/>
                <w:szCs w:val="22"/>
                <w:lang w:val="en-IE" w:eastAsia="en-IE"/>
              </w:rPr>
            </w:pPr>
            <w:bookmarkStart w:id="754" w:name="_Toc211963260"/>
            <w:r w:rsidRPr="1FC5E705">
              <w:rPr>
                <w:noProof/>
                <w:sz w:val="22"/>
                <w:szCs w:val="22"/>
              </w:rPr>
              <w:t>X</w:t>
            </w:r>
            <w:bookmarkEnd w:id="754"/>
          </w:p>
        </w:tc>
      </w:tr>
    </w:tbl>
    <w:p w14:paraId="5019C8DC" w14:textId="77777777" w:rsidR="00A71942" w:rsidRDefault="00A71942" w:rsidP="00E276C8">
      <w:pPr>
        <w:spacing w:line="240" w:lineRule="auto"/>
        <w:rPr>
          <w:noProof/>
          <w:lang w:eastAsia="en-IE"/>
        </w:rPr>
      </w:pPr>
    </w:p>
    <w:bookmarkEnd w:id="1"/>
    <w:bookmarkEnd w:id="2"/>
    <w:p w14:paraId="4C9601B8" w14:textId="026DFE44" w:rsidR="000F29F9" w:rsidRPr="00C600D7" w:rsidRDefault="000F29F9" w:rsidP="00E276C8">
      <w:pPr>
        <w:pStyle w:val="Heading1COM"/>
        <w:numPr>
          <w:ilvl w:val="0"/>
          <w:numId w:val="0"/>
        </w:numPr>
        <w:spacing w:before="120" w:after="120" w:line="240" w:lineRule="auto"/>
        <w:rPr>
          <w:noProof/>
        </w:rPr>
      </w:pPr>
    </w:p>
    <w:sectPr w:rsidR="000F29F9" w:rsidRPr="00C600D7" w:rsidSect="00A71942">
      <w:headerReference w:type="default" r:id="rId60"/>
      <w:footerReference w:type="default" r:id="rId61"/>
      <w:pgSz w:w="11906" w:h="16838" w:code="9"/>
      <w:pgMar w:top="1134" w:right="1418" w:bottom="1134" w:left="1418"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61C0" w14:textId="77777777" w:rsidR="00036DBD" w:rsidRPr="000653A9" w:rsidRDefault="00036DBD" w:rsidP="00F73B5B">
      <w:r w:rsidRPr="000653A9">
        <w:separator/>
      </w:r>
    </w:p>
    <w:p w14:paraId="55F8DC97" w14:textId="77777777" w:rsidR="00036DBD" w:rsidRPr="000653A9" w:rsidRDefault="00036DBD" w:rsidP="00F73B5B"/>
  </w:endnote>
  <w:endnote w:type="continuationSeparator" w:id="0">
    <w:p w14:paraId="18BE3A6F" w14:textId="77777777" w:rsidR="00036DBD" w:rsidRPr="000653A9" w:rsidRDefault="00036DBD" w:rsidP="00F73B5B">
      <w:r w:rsidRPr="000653A9">
        <w:continuationSeparator/>
      </w:r>
    </w:p>
    <w:p w14:paraId="54D4828C" w14:textId="77777777" w:rsidR="00036DBD" w:rsidRPr="000653A9" w:rsidRDefault="00036DBD" w:rsidP="00F73B5B"/>
  </w:endnote>
  <w:endnote w:type="continuationNotice" w:id="1">
    <w:p w14:paraId="7C6110CB" w14:textId="77777777" w:rsidR="00036DBD" w:rsidRPr="000653A9" w:rsidRDefault="00036DBD" w:rsidP="00F73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Italic">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quot;Aptos&quot;,sans-serif">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Roboto">
    <w:charset w:val="00"/>
    <w:family w:val="auto"/>
    <w:pitch w:val="variable"/>
    <w:sig w:usb0="E0000AFF" w:usb1="5000217F" w:usb2="00000021" w:usb3="00000000" w:csb0="0000019F" w:csb1="00000000"/>
  </w:font>
  <w:font w:name="Aptos Light">
    <w:charset w:val="00"/>
    <w:family w:val="swiss"/>
    <w:pitch w:val="variable"/>
    <w:sig w:usb0="20000287" w:usb1="00000003" w:usb2="00000000" w:usb3="00000000" w:csb0="0000019F" w:csb1="00000000"/>
  </w:font>
  <w:font w:name="TimesNewRomanPSMT">
    <w:panose1 w:val="00000000000000000000"/>
    <w:charset w:val="00"/>
    <w:family w:val="roman"/>
    <w:notTrueType/>
    <w:pitch w:val="default"/>
  </w:font>
  <w:font w:name="RijksoverheidSansText">
    <w:altName w:val="Calibri"/>
    <w:panose1 w:val="00000000000000000000"/>
    <w:charset w:val="00"/>
    <w:family w:val="swiss"/>
    <w:notTrueType/>
    <w:pitch w:val="variable"/>
    <w:sig w:usb0="00000087" w:usb1="00000001" w:usb2="00000000" w:usb3="00000000" w:csb0="0000009B" w:csb1="00000000"/>
  </w:font>
  <w:font w:name="CharisSIL">
    <w:altName w:val="Yu Gothic"/>
    <w:panose1 w:val="00000000000000000000"/>
    <w:charset w:val="00"/>
    <w:family w:val="roman"/>
    <w:notTrueType/>
    <w:pitch w:val="default"/>
  </w:font>
  <w:font w:name="EC Square Sans Cond Pro">
    <w:panose1 w:val="020B0506040000020004"/>
    <w:charset w:val="00"/>
    <w:family w:val="swiss"/>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Elza">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8369" w14:textId="755CBE75" w:rsidR="00667FB1" w:rsidRPr="00667FB1" w:rsidRDefault="00667FB1" w:rsidP="00667FB1">
    <w:pPr>
      <w:pStyle w:val="FooterCoverPage"/>
      <w:rPr>
        <w:rFonts w:ascii="Arial" w:hAnsi="Arial" w:cs="Arial"/>
        <w:b/>
        <w:sz w:val="48"/>
      </w:rPr>
    </w:pPr>
    <w:r w:rsidRPr="00667FB1">
      <w:rPr>
        <w:rFonts w:ascii="Arial" w:hAnsi="Arial" w:cs="Arial"/>
        <w:b/>
        <w:sz w:val="48"/>
      </w:rPr>
      <w:t>EN</w:t>
    </w:r>
    <w:r w:rsidRPr="00667FB1">
      <w:rPr>
        <w:rFonts w:ascii="Arial" w:hAnsi="Arial" w:cs="Arial"/>
        <w:b/>
        <w:sz w:val="48"/>
      </w:rPr>
      <w:tab/>
    </w:r>
    <w:r w:rsidRPr="00667FB1">
      <w:rPr>
        <w:rFonts w:ascii="Arial" w:hAnsi="Arial" w:cs="Arial"/>
        <w:b/>
        <w:sz w:val="48"/>
      </w:rPr>
      <w:tab/>
    </w:r>
    <w:r w:rsidRPr="00667FB1">
      <w:tab/>
    </w:r>
    <w:r w:rsidRPr="00667FB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4D02" w14:textId="5471F679" w:rsidR="00667FB1" w:rsidRPr="00667FB1" w:rsidRDefault="00667FB1" w:rsidP="00667FB1">
    <w:pPr>
      <w:pStyle w:val="FooterCoverPage"/>
      <w:rPr>
        <w:rFonts w:ascii="Arial" w:hAnsi="Arial" w:cs="Arial"/>
        <w:b/>
        <w:sz w:val="48"/>
      </w:rPr>
    </w:pPr>
    <w:r w:rsidRPr="00667FB1">
      <w:rPr>
        <w:rFonts w:ascii="Arial" w:hAnsi="Arial" w:cs="Arial"/>
        <w:b/>
        <w:sz w:val="48"/>
      </w:rPr>
      <w:t>EN</w:t>
    </w:r>
    <w:r w:rsidRPr="00667FB1">
      <w:rPr>
        <w:rFonts w:ascii="Arial" w:hAnsi="Arial" w:cs="Arial"/>
        <w:b/>
        <w:sz w:val="48"/>
      </w:rPr>
      <w:tab/>
    </w:r>
    <w:r w:rsidRPr="00667FB1">
      <w:rPr>
        <w:rFonts w:ascii="Arial" w:hAnsi="Arial" w:cs="Arial"/>
        <w:b/>
        <w:sz w:val="48"/>
      </w:rPr>
      <w:tab/>
    </w:r>
    <w:r w:rsidRPr="00667FB1">
      <w:tab/>
    </w:r>
    <w:r w:rsidRPr="00667FB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5435" w14:textId="77777777" w:rsidR="00667FB1" w:rsidRPr="00667FB1" w:rsidRDefault="00667FB1" w:rsidP="00667F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4B5E" w14:textId="77777777" w:rsidR="00667FB1" w:rsidRDefault="00667F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C43A" w14:textId="77777777" w:rsidR="00667FB1" w:rsidRDefault="00667F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3701" w14:textId="77777777" w:rsidR="00667FB1" w:rsidRDefault="00667F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7551" w14:textId="77777777" w:rsidR="00A71942" w:rsidRDefault="00A719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314769"/>
      <w:docPartObj>
        <w:docPartGallery w:val="Page Numbers (Bottom of Page)"/>
        <w:docPartUnique/>
      </w:docPartObj>
    </w:sdtPr>
    <w:sdtEndPr>
      <w:rPr>
        <w:sz w:val="24"/>
      </w:rPr>
    </w:sdtEndPr>
    <w:sdtContent>
      <w:p w14:paraId="42BF28A6" w14:textId="5D5E8C5D" w:rsidR="00A71942" w:rsidRPr="00E276C8" w:rsidRDefault="00A71942">
        <w:pPr>
          <w:pStyle w:val="Footer"/>
          <w:rPr>
            <w:sz w:val="24"/>
          </w:rPr>
        </w:pPr>
        <w:r w:rsidRPr="00E276C8">
          <w:rPr>
            <w:sz w:val="24"/>
          </w:rPr>
          <w:fldChar w:fldCharType="begin"/>
        </w:r>
        <w:r w:rsidRPr="00F514AE">
          <w:rPr>
            <w:sz w:val="24"/>
            <w:szCs w:val="24"/>
          </w:rPr>
          <w:instrText xml:space="preserve"> PAGE   \* MERGEFORMAT </w:instrText>
        </w:r>
        <w:r w:rsidRPr="00E276C8">
          <w:rPr>
            <w:sz w:val="24"/>
          </w:rPr>
          <w:fldChar w:fldCharType="separate"/>
        </w:r>
        <w:r w:rsidR="00667FB1">
          <w:rPr>
            <w:noProof/>
            <w:sz w:val="24"/>
            <w:szCs w:val="24"/>
          </w:rPr>
          <w:t>11</w:t>
        </w:r>
        <w:r w:rsidRPr="00E276C8">
          <w:rPr>
            <w:sz w:val="24"/>
          </w:rPr>
          <w:fldChar w:fldCharType="end"/>
        </w:r>
      </w:p>
    </w:sdtContent>
  </w:sdt>
  <w:p w14:paraId="3A87509B" w14:textId="77777777" w:rsidR="00A71942" w:rsidRPr="00B04996" w:rsidRDefault="00A719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750671"/>
      <w:docPartObj>
        <w:docPartGallery w:val="Page Numbers (Bottom of Page)"/>
        <w:docPartUnique/>
      </w:docPartObj>
    </w:sdtPr>
    <w:sdtEndPr>
      <w:rPr>
        <w:noProof/>
        <w:sz w:val="24"/>
        <w:szCs w:val="24"/>
      </w:rPr>
    </w:sdtEndPr>
    <w:sdtContent>
      <w:p w14:paraId="2904124F" w14:textId="6E56CD17" w:rsidR="00A71942" w:rsidRDefault="00A71942">
        <w:pPr>
          <w:pStyle w:val="Footer"/>
        </w:pPr>
        <w:r w:rsidRPr="00E276C8">
          <w:rPr>
            <w:sz w:val="24"/>
          </w:rPr>
          <w:fldChar w:fldCharType="begin"/>
        </w:r>
        <w:r w:rsidRPr="003D5F6A">
          <w:rPr>
            <w:sz w:val="24"/>
            <w:szCs w:val="24"/>
          </w:rPr>
          <w:instrText xml:space="preserve"> PAGE   \* MERGEFORMAT </w:instrText>
        </w:r>
        <w:r w:rsidRPr="00E276C8">
          <w:rPr>
            <w:sz w:val="24"/>
          </w:rPr>
          <w:fldChar w:fldCharType="separate"/>
        </w:r>
        <w:r w:rsidR="00667FB1">
          <w:rPr>
            <w:noProof/>
            <w:sz w:val="24"/>
            <w:szCs w:val="24"/>
          </w:rPr>
          <w:t>9</w:t>
        </w:r>
        <w:r w:rsidRPr="00E276C8">
          <w:rPr>
            <w:sz w:val="24"/>
          </w:rPr>
          <w:fldChar w:fldCharType="end"/>
        </w:r>
      </w:p>
      <w:p w14:paraId="733D0C12" w14:textId="1C3F32AC" w:rsidR="00A71942" w:rsidRPr="00E276C8" w:rsidRDefault="00ED735A" w:rsidP="003D5F6A">
        <w:pPr>
          <w:pStyle w:val="Footer"/>
          <w:rPr>
            <w:sz w:val="24"/>
          </w:rPr>
        </w:pP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783474"/>
      <w:docPartObj>
        <w:docPartGallery w:val="Page Numbers (Bottom of Page)"/>
        <w:docPartUnique/>
      </w:docPartObj>
    </w:sdtPr>
    <w:sdtEndPr>
      <w:rPr>
        <w:noProof/>
      </w:rPr>
    </w:sdtEndPr>
    <w:sdtContent>
      <w:p w14:paraId="3CFA9683" w14:textId="4A952DE1" w:rsidR="003B24BC" w:rsidRPr="00B04996" w:rsidRDefault="003B24BC" w:rsidP="00524D0A">
        <w:pPr>
          <w:pStyle w:val="Foote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401035"/>
      <w:docPartObj>
        <w:docPartGallery w:val="Page Numbers (Bottom of Page)"/>
        <w:docPartUnique/>
      </w:docPartObj>
    </w:sdtPr>
    <w:sdtEndPr/>
    <w:sdtContent>
      <w:p w14:paraId="7CFFF23C" w14:textId="55B282D6" w:rsidR="003B24BC" w:rsidRPr="00E276C8" w:rsidRDefault="003B24BC" w:rsidP="00524D0A">
        <w:pPr>
          <w:pStyle w:val="Footer"/>
          <w:rPr>
            <w:sz w:val="24"/>
          </w:rP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286891"/>
      <w:docPartObj>
        <w:docPartGallery w:val="Page Numbers (Bottom of Page)"/>
        <w:docPartUnique/>
      </w:docPartObj>
    </w:sdtPr>
    <w:sdtEndPr/>
    <w:sdtContent>
      <w:p w14:paraId="3FF269E9" w14:textId="7F3DB2F4" w:rsidR="003B24BC" w:rsidRPr="00E276C8" w:rsidRDefault="003B24BC" w:rsidP="00524D0A">
        <w:pPr>
          <w:pStyle w:val="Footer"/>
          <w:rPr>
            <w:sz w:val="24"/>
          </w:rP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726781"/>
      <w:docPartObj>
        <w:docPartGallery w:val="Page Numbers (Bottom of Page)"/>
        <w:docPartUnique/>
      </w:docPartObj>
    </w:sdtPr>
    <w:sdtEndPr/>
    <w:sdtContent>
      <w:p w14:paraId="00EAD889" w14:textId="26EBCD78" w:rsidR="003B24BC" w:rsidRPr="00E276C8" w:rsidRDefault="003B24BC" w:rsidP="00524D0A">
        <w:pPr>
          <w:pStyle w:val="Footer"/>
          <w:rPr>
            <w:sz w:val="24"/>
          </w:rP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182801"/>
      <w:docPartObj>
        <w:docPartGallery w:val="Page Numbers (Bottom of Page)"/>
        <w:docPartUnique/>
      </w:docPartObj>
    </w:sdtPr>
    <w:sdtEndPr>
      <w:rPr>
        <w:noProof/>
      </w:rPr>
    </w:sdtEndPr>
    <w:sdtContent>
      <w:p w14:paraId="051EF9BD" w14:textId="018BEDE9" w:rsidR="003B24BC" w:rsidRDefault="003B24BC" w:rsidP="00524D0A">
        <w:pPr>
          <w:pStyle w:val="Foote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284673"/>
      <w:docPartObj>
        <w:docPartGallery w:val="Page Numbers (Bottom of Page)"/>
        <w:docPartUnique/>
      </w:docPartObj>
    </w:sdtPr>
    <w:sdtEndPr>
      <w:rPr>
        <w:noProof/>
      </w:rPr>
    </w:sdtEndPr>
    <w:sdtContent>
      <w:p w14:paraId="13636480" w14:textId="2DA00E3A" w:rsidR="003B24BC" w:rsidRPr="00B04996" w:rsidRDefault="003B24BC" w:rsidP="00571A12">
        <w:pPr>
          <w:pStyle w:val="Foote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62346"/>
      <w:docPartObj>
        <w:docPartGallery w:val="Page Numbers (Bottom of Page)"/>
        <w:docPartUnique/>
      </w:docPartObj>
    </w:sdtPr>
    <w:sdtEndPr/>
    <w:sdtContent>
      <w:p w14:paraId="552AE820" w14:textId="7D2BAED9" w:rsidR="003B24BC" w:rsidRPr="00E276C8" w:rsidRDefault="003B24BC" w:rsidP="00571A12">
        <w:pPr>
          <w:pStyle w:val="Footer"/>
          <w:rPr>
            <w:sz w:val="24"/>
          </w:rP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272205"/>
      <w:docPartObj>
        <w:docPartGallery w:val="Page Numbers (Bottom of Page)"/>
        <w:docPartUnique/>
      </w:docPartObj>
    </w:sdtPr>
    <w:sdtEndPr>
      <w:rPr>
        <w:noProof/>
      </w:rPr>
    </w:sdtEndPr>
    <w:sdtContent>
      <w:p w14:paraId="59207AF0" w14:textId="3C5D308E" w:rsidR="003B24BC" w:rsidRPr="00B04996" w:rsidRDefault="003B24BC" w:rsidP="00571A12">
        <w:pPr>
          <w:pStyle w:val="Foote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862043"/>
      <w:docPartObj>
        <w:docPartGallery w:val="Page Numbers (Bottom of Page)"/>
        <w:docPartUnique/>
      </w:docPartObj>
    </w:sdtPr>
    <w:sdtEndPr/>
    <w:sdtContent>
      <w:p w14:paraId="63374A78" w14:textId="3DD148EA" w:rsidR="003B24BC" w:rsidRPr="00E276C8" w:rsidRDefault="003B24BC" w:rsidP="00571A12">
        <w:pPr>
          <w:pStyle w:val="Footer"/>
          <w:rPr>
            <w:sz w:val="24"/>
          </w:rPr>
        </w:pPr>
        <w:r w:rsidRPr="00E276C8">
          <w:rPr>
            <w:sz w:val="24"/>
          </w:rPr>
          <w:fldChar w:fldCharType="begin"/>
        </w:r>
        <w:r w:rsidRPr="00E276C8">
          <w:rPr>
            <w:sz w:val="24"/>
          </w:rPr>
          <w:instrText xml:space="preserve"> PAGE   \* MERGEFORMAT </w:instrText>
        </w:r>
        <w:r w:rsidRPr="00E276C8">
          <w:rPr>
            <w:sz w:val="24"/>
          </w:rPr>
          <w:fldChar w:fldCharType="separate"/>
        </w:r>
        <w:r w:rsidR="1FC5E705" w:rsidRPr="00E276C8">
          <w:rPr>
            <w:sz w:val="24"/>
          </w:rPr>
          <w:t>2</w:t>
        </w:r>
        <w:r w:rsidRPr="00E276C8">
          <w:rPr>
            <w:sz w:val="24"/>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836344"/>
      <w:docPartObj>
        <w:docPartGallery w:val="Page Numbers (Bottom of Page)"/>
        <w:docPartUnique/>
      </w:docPartObj>
    </w:sdtPr>
    <w:sdtEndPr>
      <w:rPr>
        <w:sz w:val="24"/>
        <w:szCs w:val="40"/>
      </w:rPr>
    </w:sdtEndPr>
    <w:sdtContent>
      <w:p w14:paraId="042D38F5" w14:textId="77777777" w:rsidR="003B24BC" w:rsidRPr="000653A9" w:rsidRDefault="003B24BC" w:rsidP="00E276C8">
        <w:pPr>
          <w:pStyle w:val="Footer"/>
          <w:rPr>
            <w:sz w:val="24"/>
            <w:szCs w:val="24"/>
          </w:rPr>
        </w:pPr>
        <w:r w:rsidRPr="1FC5E705">
          <w:rPr>
            <w:sz w:val="24"/>
            <w:szCs w:val="24"/>
          </w:rPr>
          <w:fldChar w:fldCharType="begin"/>
        </w:r>
        <w:r w:rsidRPr="1FC5E705">
          <w:rPr>
            <w:sz w:val="24"/>
            <w:szCs w:val="24"/>
          </w:rPr>
          <w:instrText xml:space="preserve"> PAGE   \* MERGEFORMAT </w:instrText>
        </w:r>
        <w:r w:rsidRPr="1FC5E705">
          <w:rPr>
            <w:sz w:val="24"/>
            <w:szCs w:val="24"/>
          </w:rPr>
          <w:fldChar w:fldCharType="separate"/>
        </w:r>
        <w:r w:rsidR="1FC5E705" w:rsidRPr="1FC5E705">
          <w:rPr>
            <w:sz w:val="24"/>
            <w:szCs w:val="24"/>
          </w:rPr>
          <w:t>2</w:t>
        </w:r>
        <w:r w:rsidRPr="1FC5E705">
          <w:rPr>
            <w:sz w:val="24"/>
            <w:szCs w:val="24"/>
          </w:rPr>
          <w:fldChar w:fldCharType="end"/>
        </w:r>
      </w:p>
    </w:sdtContent>
  </w:sdt>
  <w:p w14:paraId="55EEBF42" w14:textId="77777777" w:rsidR="003B24BC" w:rsidRPr="000653A9" w:rsidRDefault="003B24BC" w:rsidP="00F73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A04D" w14:textId="77777777" w:rsidR="00036DBD" w:rsidRPr="000653A9" w:rsidRDefault="00036DBD" w:rsidP="00F73B5B">
      <w:r w:rsidRPr="000653A9">
        <w:separator/>
      </w:r>
    </w:p>
  </w:footnote>
  <w:footnote w:type="continuationSeparator" w:id="0">
    <w:p w14:paraId="02C96FEA" w14:textId="77777777" w:rsidR="00036DBD" w:rsidRPr="000653A9" w:rsidRDefault="00036DBD" w:rsidP="00F73B5B">
      <w:r w:rsidRPr="000653A9">
        <w:continuationSeparator/>
      </w:r>
    </w:p>
    <w:p w14:paraId="04D71697" w14:textId="77777777" w:rsidR="00036DBD" w:rsidRPr="000653A9" w:rsidRDefault="00036DBD" w:rsidP="00F73B5B"/>
  </w:footnote>
  <w:footnote w:type="continuationNotice" w:id="1">
    <w:p w14:paraId="3543A98A" w14:textId="77777777" w:rsidR="00036DBD" w:rsidRPr="000653A9" w:rsidRDefault="00036DBD" w:rsidP="00F73B5B"/>
  </w:footnote>
  <w:footnote w:id="2">
    <w:p w14:paraId="1F80D6D4" w14:textId="32F604B5" w:rsidR="00A71942" w:rsidRPr="003D5F6A" w:rsidRDefault="00A71942" w:rsidP="00E276C8">
      <w:pPr>
        <w:spacing w:before="0" w:after="0" w:line="240" w:lineRule="auto"/>
        <w:ind w:left="357" w:hanging="357"/>
        <w:rPr>
          <w:sz w:val="20"/>
          <w:szCs w:val="20"/>
          <w:lang w:val="pt-BR"/>
        </w:rPr>
      </w:pPr>
      <w:r w:rsidRPr="003D5F6A">
        <w:rPr>
          <w:sz w:val="20"/>
          <w:szCs w:val="20"/>
          <w:vertAlign w:val="superscript"/>
        </w:rPr>
        <w:footnoteRef/>
      </w:r>
      <w:r w:rsidRPr="003D5F6A">
        <w:rPr>
          <w:sz w:val="20"/>
          <w:szCs w:val="20"/>
          <w:lang w:val="pt-BR"/>
        </w:rPr>
        <w:t xml:space="preserve"> </w:t>
      </w:r>
      <w:r w:rsidR="00DA44A2" w:rsidRPr="003D5F6A">
        <w:rPr>
          <w:sz w:val="20"/>
          <w:szCs w:val="20"/>
          <w:lang w:val="pt-BR"/>
        </w:rPr>
        <w:tab/>
      </w:r>
      <w:r w:rsidRPr="003D5F6A">
        <w:rPr>
          <w:sz w:val="20"/>
          <w:szCs w:val="20"/>
          <w:lang w:val="pt-BR"/>
        </w:rPr>
        <w:t>COM/2025/870 final</w:t>
      </w:r>
    </w:p>
  </w:footnote>
  <w:footnote w:id="3">
    <w:p w14:paraId="2CBE4E18" w14:textId="231F5B03" w:rsidR="00A71942" w:rsidRPr="003D5F6A" w:rsidRDefault="00A71942" w:rsidP="00E276C8">
      <w:pPr>
        <w:spacing w:before="0" w:after="0" w:line="240" w:lineRule="auto"/>
        <w:ind w:left="357" w:hanging="357"/>
        <w:rPr>
          <w:sz w:val="20"/>
          <w:szCs w:val="20"/>
          <w:lang w:val="pt-BR"/>
        </w:rPr>
      </w:pPr>
      <w:r w:rsidRPr="003D5F6A">
        <w:rPr>
          <w:sz w:val="20"/>
          <w:szCs w:val="20"/>
          <w:vertAlign w:val="superscript"/>
        </w:rPr>
        <w:footnoteRef/>
      </w:r>
      <w:r w:rsidRPr="003D5F6A">
        <w:rPr>
          <w:sz w:val="20"/>
          <w:szCs w:val="20"/>
          <w:lang w:val="pt-BR"/>
        </w:rPr>
        <w:t xml:space="preserve"> </w:t>
      </w:r>
      <w:r w:rsidR="00DA44A2" w:rsidRPr="003D5F6A">
        <w:rPr>
          <w:sz w:val="20"/>
          <w:szCs w:val="20"/>
          <w:lang w:val="pt-BR"/>
        </w:rPr>
        <w:tab/>
      </w:r>
      <w:r w:rsidRPr="003D5F6A">
        <w:rPr>
          <w:sz w:val="20"/>
          <w:szCs w:val="20"/>
          <w:lang w:val="pt-BR"/>
        </w:rPr>
        <w:t>SWD(2021) 601</w:t>
      </w:r>
    </w:p>
  </w:footnote>
  <w:footnote w:id="4">
    <w:p w14:paraId="1BC6C8B6" w14:textId="04F351F8" w:rsidR="00A71942" w:rsidRPr="003D5F6A" w:rsidRDefault="00A71942" w:rsidP="00E276C8">
      <w:pPr>
        <w:spacing w:before="0" w:after="0" w:line="240" w:lineRule="auto"/>
        <w:ind w:left="357" w:hanging="357"/>
        <w:rPr>
          <w:sz w:val="20"/>
          <w:szCs w:val="20"/>
          <w:lang w:val="pt-BR"/>
        </w:rPr>
      </w:pPr>
      <w:r w:rsidRPr="003D5F6A">
        <w:rPr>
          <w:sz w:val="20"/>
          <w:szCs w:val="20"/>
          <w:vertAlign w:val="superscript"/>
        </w:rPr>
        <w:footnoteRef/>
      </w:r>
      <w:r w:rsidRPr="003D5F6A">
        <w:rPr>
          <w:sz w:val="20"/>
          <w:szCs w:val="20"/>
          <w:lang w:val="pt-BR"/>
        </w:rPr>
        <w:t xml:space="preserve"> </w:t>
      </w:r>
      <w:r w:rsidR="00DA44A2" w:rsidRPr="003D5F6A">
        <w:rPr>
          <w:sz w:val="20"/>
          <w:szCs w:val="20"/>
          <w:lang w:val="pt-BR"/>
        </w:rPr>
        <w:tab/>
      </w:r>
      <w:r w:rsidRPr="003D5F6A">
        <w:rPr>
          <w:sz w:val="20"/>
          <w:szCs w:val="20"/>
          <w:lang w:val="pt-BR"/>
        </w:rPr>
        <w:t>SWD(2024) 63</w:t>
      </w:r>
    </w:p>
  </w:footnote>
  <w:footnote w:id="5">
    <w:p w14:paraId="340EA75D" w14:textId="2B74F0EF" w:rsidR="00A71942" w:rsidRPr="003D5F6A" w:rsidRDefault="00A71942" w:rsidP="00E276C8">
      <w:pPr>
        <w:spacing w:before="0" w:after="0" w:line="240" w:lineRule="auto"/>
        <w:ind w:left="357" w:hanging="357"/>
        <w:rPr>
          <w:sz w:val="20"/>
          <w:szCs w:val="20"/>
        </w:rPr>
      </w:pPr>
      <w:r w:rsidRPr="003D5F6A">
        <w:rPr>
          <w:sz w:val="20"/>
          <w:szCs w:val="20"/>
          <w:vertAlign w:val="superscript"/>
        </w:rPr>
        <w:footnoteRef/>
      </w:r>
      <w:r w:rsidRPr="003D5F6A">
        <w:rPr>
          <w:sz w:val="20"/>
          <w:szCs w:val="20"/>
          <w:lang w:val="pt-BR"/>
        </w:rPr>
        <w:t xml:space="preserve"> </w:t>
      </w:r>
      <w:r w:rsidR="00DA44A2" w:rsidRPr="003D5F6A">
        <w:rPr>
          <w:sz w:val="20"/>
          <w:szCs w:val="20"/>
          <w:lang w:val="pt-BR"/>
        </w:rPr>
        <w:tab/>
      </w:r>
      <w:r w:rsidRPr="003D5F6A">
        <w:rPr>
          <w:sz w:val="20"/>
          <w:szCs w:val="20"/>
          <w:lang w:val="pt-BR"/>
        </w:rPr>
        <w:t>Ricardo (</w:t>
      </w:r>
      <w:r w:rsidR="00DA44A2" w:rsidRPr="003D5F6A">
        <w:rPr>
          <w:sz w:val="20"/>
          <w:szCs w:val="20"/>
          <w:lang w:val="pt-BR"/>
        </w:rPr>
        <w:t>forthcoming</w:t>
      </w:r>
      <w:r w:rsidRPr="003D5F6A">
        <w:rPr>
          <w:sz w:val="20"/>
          <w:szCs w:val="20"/>
          <w:lang w:val="pt-BR"/>
        </w:rPr>
        <w:t xml:space="preserve">). </w:t>
      </w:r>
      <w:r w:rsidRPr="003D5F6A">
        <w:rPr>
          <w:sz w:val="20"/>
          <w:szCs w:val="20"/>
        </w:rPr>
        <w:t xml:space="preserve">Support for the 2026 review of the ETS directive for maritime, report prepared for DG CLIMA, </w:t>
      </w:r>
      <w:r w:rsidR="00DA44A2" w:rsidRPr="003D5F6A">
        <w:rPr>
          <w:sz w:val="20"/>
          <w:szCs w:val="20"/>
        </w:rPr>
        <w:t>(forthcoming)</w:t>
      </w:r>
      <w:r w:rsidRPr="003D5F6A">
        <w:rPr>
          <w:sz w:val="20"/>
          <w:szCs w:val="20"/>
        </w:rPr>
        <w:t xml:space="preserve">; </w:t>
      </w:r>
    </w:p>
    <w:p w14:paraId="345A92BA" w14:textId="5D10BFAB" w:rsidR="00DA44A2" w:rsidRPr="003D5F6A" w:rsidRDefault="00A71942" w:rsidP="00E276C8">
      <w:pPr>
        <w:spacing w:before="0" w:after="0" w:line="240" w:lineRule="auto"/>
        <w:ind w:left="357"/>
        <w:rPr>
          <w:sz w:val="20"/>
          <w:szCs w:val="20"/>
        </w:rPr>
      </w:pPr>
      <w:r w:rsidRPr="003D5F6A">
        <w:rPr>
          <w:sz w:val="20"/>
          <w:szCs w:val="20"/>
        </w:rPr>
        <w:t>Ricardo et al., (2024). Supporting study for the implementation of the ETS Directive and MRV requirements for maritime transport”, and more specifically “MRV maritime evaluation support” part (</w:t>
      </w:r>
      <w:r w:rsidR="00DA44A2" w:rsidRPr="003D5F6A">
        <w:rPr>
          <w:sz w:val="20"/>
          <w:szCs w:val="20"/>
        </w:rPr>
        <w:t>forthcoming</w:t>
      </w:r>
      <w:r w:rsidRPr="003D5F6A">
        <w:rPr>
          <w:sz w:val="20"/>
          <w:szCs w:val="20"/>
        </w:rPr>
        <w:t xml:space="preserve">):  </w:t>
      </w:r>
    </w:p>
    <w:p w14:paraId="16F1432F" w14:textId="7196B73A" w:rsidR="00A71942" w:rsidRPr="003D5F6A" w:rsidRDefault="00A71942" w:rsidP="00E276C8">
      <w:pPr>
        <w:spacing w:before="0" w:after="0" w:line="240" w:lineRule="auto"/>
        <w:ind w:left="357"/>
        <w:rPr>
          <w:sz w:val="20"/>
          <w:szCs w:val="20"/>
        </w:rPr>
      </w:pPr>
      <w:r w:rsidRPr="003D5F6A">
        <w:rPr>
          <w:sz w:val="20"/>
          <w:szCs w:val="20"/>
        </w:rPr>
        <w:t>Ricard</w:t>
      </w:r>
      <w:r w:rsidR="00DA44A2" w:rsidRPr="003D5F6A">
        <w:rPr>
          <w:sz w:val="20"/>
          <w:szCs w:val="20"/>
        </w:rPr>
        <w:t>o</w:t>
      </w:r>
      <w:r w:rsidRPr="003D5F6A">
        <w:rPr>
          <w:sz w:val="20"/>
          <w:szCs w:val="20"/>
        </w:rPr>
        <w:t xml:space="preserve"> (</w:t>
      </w:r>
      <w:r w:rsidR="00DA44A2" w:rsidRPr="003D5F6A">
        <w:rPr>
          <w:sz w:val="20"/>
          <w:szCs w:val="20"/>
        </w:rPr>
        <w:t>forthcoming</w:t>
      </w:r>
      <w:r w:rsidRPr="003D5F6A">
        <w:rPr>
          <w:sz w:val="20"/>
          <w:szCs w:val="20"/>
        </w:rPr>
        <w:t>) Opportunities of the Green Transition for the EU Maritime Industry and Value Chain.</w:t>
      </w:r>
    </w:p>
    <w:p w14:paraId="40AB2B34" w14:textId="55BD5FCB" w:rsidR="00A71942" w:rsidRPr="003D5F6A" w:rsidRDefault="00A71942" w:rsidP="00E276C8">
      <w:pPr>
        <w:spacing w:before="0" w:after="0" w:line="240" w:lineRule="auto"/>
        <w:ind w:left="357"/>
        <w:rPr>
          <w:sz w:val="20"/>
          <w:szCs w:val="20"/>
        </w:rPr>
      </w:pPr>
      <w:r w:rsidRPr="003D5F6A">
        <w:rPr>
          <w:sz w:val="20"/>
          <w:szCs w:val="20"/>
        </w:rPr>
        <w:t>Ricardo (</w:t>
      </w:r>
      <w:r w:rsidR="00DA44A2" w:rsidRPr="003D5F6A">
        <w:rPr>
          <w:sz w:val="20"/>
          <w:szCs w:val="20"/>
        </w:rPr>
        <w:t>forthcoming</w:t>
      </w:r>
      <w:r w:rsidRPr="003D5F6A">
        <w:rPr>
          <w:sz w:val="20"/>
          <w:szCs w:val="20"/>
        </w:rPr>
        <w:t>). Support for the review by the Commission concerning the implementation of ICAO’s CORSIA, and for Commission reports on certain types of flights, social impacts, and air connectivity of islands, remote territories and Iceland, prepared for DG CLIM</w:t>
      </w:r>
      <w:r w:rsidR="00DA44A2" w:rsidRPr="003D5F6A">
        <w:rPr>
          <w:sz w:val="20"/>
          <w:szCs w:val="20"/>
        </w:rPr>
        <w:t>A</w:t>
      </w:r>
      <w:r w:rsidRPr="003D5F6A">
        <w:rPr>
          <w:sz w:val="20"/>
          <w:szCs w:val="20"/>
        </w:rPr>
        <w:t>.</w:t>
      </w:r>
    </w:p>
  </w:footnote>
  <w:footnote w:id="6">
    <w:p w14:paraId="01A54E86" w14:textId="59359B0C" w:rsidR="00A71942" w:rsidRPr="003D5F6A" w:rsidRDefault="00A71942" w:rsidP="00E276C8">
      <w:pPr>
        <w:spacing w:before="0" w:after="0" w:line="240" w:lineRule="auto"/>
        <w:ind w:left="357" w:hanging="357"/>
        <w:rPr>
          <w:sz w:val="20"/>
          <w:szCs w:val="20"/>
        </w:rPr>
      </w:pPr>
      <w:r w:rsidRPr="003D5F6A">
        <w:rPr>
          <w:sz w:val="20"/>
          <w:szCs w:val="20"/>
          <w:vertAlign w:val="superscript"/>
        </w:rPr>
        <w:footnoteRef/>
      </w:r>
      <w:r w:rsidRPr="003D5F6A">
        <w:rPr>
          <w:sz w:val="20"/>
          <w:szCs w:val="20"/>
        </w:rPr>
        <w:t xml:space="preserve"> </w:t>
      </w:r>
      <w:r w:rsidR="00F514AE" w:rsidRPr="003D5F6A">
        <w:rPr>
          <w:sz w:val="20"/>
          <w:szCs w:val="20"/>
        </w:rPr>
        <w:tab/>
      </w:r>
      <w:r w:rsidRPr="003D5F6A">
        <w:rPr>
          <w:sz w:val="20"/>
          <w:szCs w:val="20"/>
        </w:rPr>
        <w:t xml:space="preserve">The details of the public consultation can be found at: </w:t>
      </w:r>
      <w:hyperlink r:id="rId1" w:history="1">
        <w:r w:rsidRPr="003D5F6A">
          <w:rPr>
            <w:rStyle w:val="TOC211"/>
            <w:sz w:val="20"/>
            <w:szCs w:val="20"/>
          </w:rPr>
          <w:t>EU emissions trading system for maritime, aviation and stationary installations, and market stability reserve – review</w:t>
        </w:r>
      </w:hyperlink>
      <w:r w:rsidRPr="003D5F6A">
        <w:rPr>
          <w:sz w:val="20"/>
          <w:szCs w:val="20"/>
        </w:rPr>
        <w:t xml:space="preserve">.  </w:t>
      </w:r>
    </w:p>
  </w:footnote>
  <w:footnote w:id="7">
    <w:p w14:paraId="3DC21BFC" w14:textId="788A01A2" w:rsidR="00A71942" w:rsidRPr="003D5F6A" w:rsidRDefault="00A71942" w:rsidP="00E276C8">
      <w:pPr>
        <w:spacing w:before="0" w:after="0" w:line="240" w:lineRule="auto"/>
        <w:ind w:left="357" w:hanging="357"/>
        <w:rPr>
          <w:rFonts w:eastAsia="Arial"/>
          <w:color w:val="242828"/>
          <w:sz w:val="20"/>
          <w:szCs w:val="20"/>
          <w:lang w:val="es-ES"/>
        </w:rPr>
      </w:pPr>
      <w:r w:rsidRPr="003D5F6A">
        <w:rPr>
          <w:sz w:val="20"/>
          <w:szCs w:val="20"/>
          <w:vertAlign w:val="superscript"/>
          <w:lang w:val="es-ES"/>
        </w:rPr>
        <w:footnoteRef/>
      </w:r>
      <w:r w:rsidRPr="003D5F6A">
        <w:rPr>
          <w:sz w:val="20"/>
          <w:szCs w:val="20"/>
          <w:lang w:val="es-ES"/>
        </w:rPr>
        <w:t xml:space="preserve"> </w:t>
      </w:r>
      <w:r w:rsidR="00F514AE" w:rsidRPr="003D5F6A">
        <w:rPr>
          <w:sz w:val="20"/>
          <w:szCs w:val="20"/>
          <w:lang w:val="es-ES"/>
        </w:rPr>
        <w:tab/>
      </w:r>
      <w:r w:rsidRPr="003D5F6A">
        <w:rPr>
          <w:sz w:val="20"/>
          <w:szCs w:val="20"/>
          <w:lang w:val="es-ES"/>
        </w:rPr>
        <w:t>Ricardo</w:t>
      </w:r>
      <w:r w:rsidRPr="003D5F6A">
        <w:rPr>
          <w:rFonts w:eastAsia="Times New Roman"/>
          <w:sz w:val="20"/>
          <w:szCs w:val="20"/>
          <w:lang w:val="es-ES"/>
        </w:rPr>
        <w:t xml:space="preserve">. </w:t>
      </w:r>
      <w:r w:rsidRPr="003D5F6A">
        <w:rPr>
          <w:rFonts w:eastAsia="Times New Roman"/>
          <w:color w:val="242828"/>
          <w:sz w:val="20"/>
          <w:szCs w:val="20"/>
          <w:lang w:val="es-ES"/>
        </w:rPr>
        <w:t>Service contract 090203/2024/924074/SER/CLIMA.B.1</w:t>
      </w:r>
    </w:p>
  </w:footnote>
  <w:footnote w:id="8">
    <w:p w14:paraId="5AB859F4" w14:textId="616DA1BB" w:rsidR="00A71942" w:rsidRPr="003D5F6A" w:rsidRDefault="00A71942" w:rsidP="00E276C8">
      <w:pPr>
        <w:spacing w:before="0" w:after="0" w:line="240" w:lineRule="auto"/>
        <w:ind w:left="357" w:hanging="357"/>
        <w:rPr>
          <w:sz w:val="20"/>
          <w:szCs w:val="20"/>
        </w:rPr>
      </w:pPr>
      <w:r w:rsidRPr="003D5F6A">
        <w:rPr>
          <w:sz w:val="20"/>
          <w:szCs w:val="20"/>
          <w:vertAlign w:val="superscript"/>
        </w:rPr>
        <w:footnoteRef/>
      </w:r>
      <w:r w:rsidRPr="003D5F6A">
        <w:rPr>
          <w:sz w:val="20"/>
          <w:szCs w:val="20"/>
        </w:rPr>
        <w:t xml:space="preserve"> </w:t>
      </w:r>
      <w:r w:rsidR="00F514AE" w:rsidRPr="003D5F6A">
        <w:rPr>
          <w:sz w:val="20"/>
          <w:szCs w:val="20"/>
        </w:rPr>
        <w:tab/>
      </w:r>
      <w:r w:rsidRPr="003D5F6A">
        <w:rPr>
          <w:sz w:val="20"/>
          <w:szCs w:val="20"/>
        </w:rPr>
        <w:t xml:space="preserve">Ricardo Nederland B.V; Viegand Maagøe A/S and SQ Consult.  </w:t>
      </w:r>
    </w:p>
  </w:footnote>
  <w:footnote w:id="9">
    <w:p w14:paraId="6D5FCEEA" w14:textId="6695E38D"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DA44A2" w:rsidRPr="003D5F6A">
        <w:rPr>
          <w:sz w:val="20"/>
          <w:szCs w:val="20"/>
        </w:rPr>
        <w:tab/>
      </w:r>
      <w:r w:rsidRPr="003D5F6A">
        <w:rPr>
          <w:rFonts w:eastAsia="Arial"/>
          <w:color w:val="242828"/>
          <w:sz w:val="20"/>
          <w:szCs w:val="20"/>
        </w:rPr>
        <w:t>Results for questions allowing multiple answers indicate the number of responses, which may exceed the total number of respondents.</w:t>
      </w:r>
    </w:p>
  </w:footnote>
  <w:footnote w:id="10">
    <w:p w14:paraId="0F91C8B8" w14:textId="1F478FA9"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DA44A2" w:rsidRPr="003D5F6A">
        <w:rPr>
          <w:sz w:val="20"/>
          <w:szCs w:val="20"/>
          <w:vertAlign w:val="superscript"/>
        </w:rPr>
        <w:tab/>
      </w:r>
      <w:r w:rsidRPr="003D5F6A">
        <w:rPr>
          <w:rFonts w:eastAsia="Arial"/>
          <w:color w:val="242828"/>
          <w:sz w:val="20"/>
          <w:szCs w:val="20"/>
        </w:rPr>
        <w:t>Same stakeholder type, same sector within a stakeholder type, or stakeholders within the same stakeholder type all located in the same Member State.</w:t>
      </w:r>
    </w:p>
  </w:footnote>
  <w:footnote w:id="11">
    <w:p w14:paraId="66CDE8EC" w14:textId="175F0E67"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DA44A2" w:rsidRPr="003D5F6A">
        <w:rPr>
          <w:sz w:val="20"/>
          <w:szCs w:val="20"/>
          <w:vertAlign w:val="superscript"/>
        </w:rPr>
        <w:tab/>
      </w:r>
      <w:r w:rsidRPr="003D5F6A">
        <w:rPr>
          <w:rFonts w:eastAsia="Arial"/>
          <w:color w:val="242828"/>
          <w:sz w:val="20"/>
          <w:szCs w:val="20"/>
        </w:rPr>
        <w:t>With the threshold for (R) set at 4 or higher.</w:t>
      </w:r>
    </w:p>
  </w:footnote>
  <w:footnote w:id="12">
    <w:p w14:paraId="046D9AC7" w14:textId="34B84E40"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DA44A2" w:rsidRPr="003D5F6A">
        <w:rPr>
          <w:sz w:val="20"/>
          <w:szCs w:val="20"/>
          <w:vertAlign w:val="superscript"/>
        </w:rPr>
        <w:tab/>
      </w:r>
      <w:r w:rsidRPr="003D5F6A">
        <w:rPr>
          <w:rFonts w:eastAsia="Arial"/>
          <w:color w:val="242828"/>
          <w:sz w:val="20"/>
          <w:szCs w:val="20"/>
        </w:rPr>
        <w:t>For open-ended questions, similarity was measured by exact, case-sensitive character overlap: a response was considered “repeated” if at least 30% of its characters matched another answer word-for-word. Groups were constructed iteratively, beginning with matching pairs and then expanding until stable clusters were formed. For closed questions, the assessment was merged with that of the open-ended questions as a correlation in coordinated responses was identified with most groups of respondents who coordinated responses to open-ended questions also having submitted coordinated responses to related closed question(s). For those closed questions, similarity was measured by a threshold of at least 80% of responses being identical.</w:t>
      </w:r>
    </w:p>
  </w:footnote>
  <w:footnote w:id="13">
    <w:p w14:paraId="7BD76D20" w14:textId="1C4736FB"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BF07F6" w:rsidRPr="003D5F6A">
        <w:rPr>
          <w:sz w:val="20"/>
          <w:szCs w:val="20"/>
        </w:rPr>
        <w:tab/>
      </w:r>
      <w:r w:rsidRPr="003D5F6A">
        <w:rPr>
          <w:rFonts w:eastAsia="Arial"/>
          <w:color w:val="242828"/>
          <w:sz w:val="20"/>
          <w:szCs w:val="20"/>
        </w:rPr>
        <w:t>This methodology allowed to identify stakeholders with coordinated responses ranging from large groups of respondents submitting similar responses to a targeted topic (f. ex. 25 local public authorities coordinating on questions on waste management), to smaller numbers of respondents submitting similar responses across multiple topics (f. ex 5 companies/businesses from the chemicals sector horizontally coordinating on different topics related to stationary installations in the impact assessment).</w:t>
      </w:r>
    </w:p>
  </w:footnote>
  <w:footnote w:id="14">
    <w:p w14:paraId="1282649B" w14:textId="73150E5A"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BF07F6" w:rsidRPr="003D5F6A">
        <w:rPr>
          <w:sz w:val="20"/>
          <w:szCs w:val="20"/>
        </w:rPr>
        <w:tab/>
      </w:r>
      <w:r w:rsidRPr="003D5F6A">
        <w:rPr>
          <w:rFonts w:eastAsia="Arial"/>
          <w:color w:val="242828"/>
          <w:sz w:val="20"/>
          <w:szCs w:val="20"/>
        </w:rPr>
        <w:t>This result is influenced by the fact that many business associations and NGOs are based in Belgium.</w:t>
      </w:r>
    </w:p>
  </w:footnote>
  <w:footnote w:id="15">
    <w:p w14:paraId="2F5A4B14" w14:textId="09D4845D"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In addition, 3 out of the 540 respondents did not specify the country of origin.</w:t>
      </w:r>
    </w:p>
  </w:footnote>
  <w:footnote w:id="16">
    <w:p w14:paraId="35FEFDA8" w14:textId="38E6AC64"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In the further analysis of OPC results, the analysis per stakeholder type is focused on the private sector (companies/businesses and business associations) and NGOs, given the large share of respondents from these groups. Results for other stakeholder groups have to be interpreted with caution. For instance, the number of replies from trade unions, academic/research institutions or EU citizens is too low to draw representative conclusions, while public authorities encompass a diverse spectrum from different levels and policy areas, including local, regional and federal authorities. These stakeholder groups will therefore only be mentioned explicitly where relevant.</w:t>
      </w:r>
    </w:p>
  </w:footnote>
  <w:footnote w:id="17">
    <w:p w14:paraId="1255E323" w14:textId="0470528C"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Chemicals and fertilisers, other energy-intensive industry, steel, cement, glass and ceramics, non-ferrous metals.</w:t>
      </w:r>
    </w:p>
  </w:footnote>
  <w:footnote w:id="18">
    <w:p w14:paraId="4504348D" w14:textId="0B23E118"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BF07F6" w:rsidRPr="003D5F6A">
        <w:rPr>
          <w:sz w:val="20"/>
          <w:szCs w:val="20"/>
        </w:rPr>
        <w:tab/>
      </w:r>
      <w:r w:rsidRPr="003D5F6A">
        <w:rPr>
          <w:rFonts w:eastAsia="Arial"/>
          <w:color w:val="242828"/>
          <w:sz w:val="20"/>
          <w:szCs w:val="20"/>
        </w:rPr>
        <w:t>While no specific open-field question was attached to this closed question, analysis of open-field responses throughout the OPC suggests this is mainly due to the perceived inefficiency of free allocation among the majority of NGO stakeholders.</w:t>
      </w:r>
    </w:p>
  </w:footnote>
  <w:footnote w:id="19">
    <w:p w14:paraId="4D60E07C" w14:textId="45E262C4"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F514AE" w:rsidRPr="003D5F6A">
        <w:rPr>
          <w:sz w:val="20"/>
          <w:szCs w:val="20"/>
        </w:rPr>
        <w:tab/>
      </w:r>
      <w:r w:rsidRPr="003D5F6A">
        <w:rPr>
          <w:rFonts w:eastAsia="Arial"/>
          <w:color w:val="242828"/>
          <w:sz w:val="20"/>
          <w:szCs w:val="20"/>
        </w:rPr>
        <w:t>Respondents could indicate multiple responses.</w:t>
      </w:r>
    </w:p>
  </w:footnote>
  <w:footnote w:id="20">
    <w:p w14:paraId="1890D808" w14:textId="7A7EFF73"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The overlap was due to respondents who selected ’other views’ and specified multiple preferences in the related open-ended question. Out of the 57 respondents who selected ‘other views’, around 20 advocated for both harmonisation and sectoral extension.</w:t>
      </w:r>
    </w:p>
  </w:footnote>
  <w:footnote w:id="21">
    <w:p w14:paraId="07BC5C5D" w14:textId="751AE5A5"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Including but not limited to the energy sector, subsets of the chemicals and fertilizers sector and cement sector, the glass and ceramics sector, the agriculture sector, and mining and building sectors.</w:t>
      </w:r>
    </w:p>
  </w:footnote>
  <w:footnote w:id="22">
    <w:p w14:paraId="60300AC3" w14:textId="23E8E959"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vertAlign w:val="superscript"/>
        </w:rPr>
        <w:t xml:space="preserve"> </w:t>
      </w:r>
      <w:r w:rsidR="00BF07F6" w:rsidRPr="003D5F6A">
        <w:rPr>
          <w:sz w:val="20"/>
          <w:szCs w:val="20"/>
          <w:vertAlign w:val="superscript"/>
        </w:rPr>
        <w:tab/>
      </w:r>
      <w:r w:rsidRPr="003D5F6A">
        <w:rPr>
          <w:rFonts w:eastAsia="Arial"/>
          <w:color w:val="242828"/>
          <w:sz w:val="20"/>
          <w:szCs w:val="20"/>
        </w:rPr>
        <w:t>Respondents were asked to rank a range of possible future uses for ETS1 auction revenues. The options were ranked using a weighted average method, where higher ranks received higher weights (12 for Rank 1 down to 1 for Rank 12). For each option, the rank frequencies were multiplied by their weights, summed, and divided by the total number of responses. The resulting weighted average score reflects the overall prioritisation, with higher scores indicating stronger preference.</w:t>
      </w:r>
    </w:p>
  </w:footnote>
  <w:footnote w:id="23">
    <w:p w14:paraId="2E19D6C6" w14:textId="394CBF4B" w:rsidR="00A71942" w:rsidRPr="003D5F6A" w:rsidRDefault="00A71942" w:rsidP="00E276C8">
      <w:pPr>
        <w:spacing w:before="0" w:after="0" w:line="240" w:lineRule="auto"/>
        <w:ind w:left="357" w:hanging="357"/>
        <w:rPr>
          <w:rFonts w:eastAsia="Arial"/>
          <w:color w:val="242828"/>
          <w:sz w:val="20"/>
          <w:szCs w:val="20"/>
        </w:rPr>
      </w:pPr>
      <w:r w:rsidRPr="003D5F6A">
        <w:rPr>
          <w:sz w:val="20"/>
          <w:szCs w:val="20"/>
          <w:vertAlign w:val="superscript"/>
        </w:rPr>
        <w:footnoteRef/>
      </w:r>
      <w:r w:rsidRPr="003D5F6A">
        <w:rPr>
          <w:sz w:val="20"/>
          <w:szCs w:val="20"/>
        </w:rPr>
        <w:t xml:space="preserve"> </w:t>
      </w:r>
      <w:r w:rsidR="00BF07F6" w:rsidRPr="003D5F6A">
        <w:rPr>
          <w:sz w:val="20"/>
          <w:szCs w:val="20"/>
        </w:rPr>
        <w:tab/>
      </w:r>
      <w:r w:rsidRPr="003D5F6A">
        <w:rPr>
          <w:rFonts w:eastAsia="Arial"/>
          <w:color w:val="242828"/>
          <w:sz w:val="20"/>
          <w:szCs w:val="20"/>
        </w:rPr>
        <w:t>Multiple options could be selected.</w:t>
      </w:r>
    </w:p>
  </w:footnote>
  <w:footnote w:id="24">
    <w:p w14:paraId="30512E0A" w14:textId="6C945DDB"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524D0A">
        <w:rPr>
          <w:rFonts w:cs="Times New Roman"/>
          <w:sz w:val="20"/>
          <w:szCs w:val="20"/>
        </w:rPr>
        <w:tab/>
      </w:r>
      <w:r w:rsidRPr="003D5F6A">
        <w:rPr>
          <w:rFonts w:cs="Times New Roman"/>
          <w:sz w:val="20"/>
          <w:szCs w:val="20"/>
          <w:lang w:val="en-IE"/>
        </w:rPr>
        <w:t>Direct leverage effect is defined as IDB support divided by private investment expenditures</w:t>
      </w:r>
    </w:p>
  </w:footnote>
  <w:footnote w:id="25">
    <w:p w14:paraId="356013BE" w14:textId="2549480F"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The model-based analysis is a technical exercise based on a number of assumptions that are shared across scenarios. Its results do not prejudge the future design of the post-2030 policy framework.</w:t>
      </w:r>
    </w:p>
  </w:footnote>
  <w:footnote w:id="26">
    <w:p w14:paraId="41E23F42" w14:textId="075E20C6"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In-depth analysis in support of the commission communication COM (2018) 773</w:t>
      </w:r>
    </w:p>
  </w:footnote>
  <w:footnote w:id="27">
    <w:p w14:paraId="1FA19BA6" w14:textId="411BFDAF"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SWD (2020) 176 final</w:t>
      </w:r>
    </w:p>
  </w:footnote>
  <w:footnote w:id="28">
    <w:p w14:paraId="15DCEC86" w14:textId="69DFED6D"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European Commission, EU reference scenario 2020: energy, transport and GHG emissions: trends to 2050, Publications Office, 2021, </w:t>
      </w:r>
      <w:r w:rsidRPr="003D5F6A">
        <w:rPr>
          <w:rFonts w:cs="Times New Roman"/>
          <w:sz w:val="20"/>
          <w:szCs w:val="20"/>
          <w:u w:val="single"/>
        </w:rPr>
        <w:t xml:space="preserve">DOI: </w:t>
      </w:r>
      <w:r w:rsidRPr="003D5F6A">
        <w:rPr>
          <w:rFonts w:cs="Times New Roman"/>
          <w:sz w:val="20"/>
          <w:szCs w:val="20"/>
        </w:rPr>
        <w:t>10.2833/3575</w:t>
      </w:r>
    </w:p>
  </w:footnote>
  <w:footnote w:id="29">
    <w:p w14:paraId="576A9384" w14:textId="4EA45A0B" w:rsidR="00A71942" w:rsidRPr="003D5F6A" w:rsidRDefault="00A71942" w:rsidP="00E276C8">
      <w:pPr>
        <w:pStyle w:val="FootnoteText"/>
        <w:spacing w:before="0" w:after="0" w:line="240" w:lineRule="auto"/>
        <w:ind w:left="357" w:hanging="357"/>
        <w:rPr>
          <w:rFonts w:cs="Times New Roman"/>
          <w:sz w:val="20"/>
          <w:szCs w:val="20"/>
          <w:lang w:val="pt-PT"/>
        </w:rPr>
      </w:pPr>
      <w:r w:rsidRPr="003D5F6A">
        <w:rPr>
          <w:rStyle w:val="FootnoteReference"/>
          <w:rFonts w:cs="Times New Roman"/>
          <w:sz w:val="20"/>
          <w:szCs w:val="20"/>
        </w:rPr>
        <w:footnoteRef/>
      </w:r>
      <w:r w:rsidRPr="003D5F6A">
        <w:rPr>
          <w:rFonts w:cs="Times New Roman"/>
          <w:sz w:val="20"/>
          <w:szCs w:val="20"/>
          <w:lang w:val="pt-PT"/>
        </w:rPr>
        <w:t xml:space="preserve"> </w:t>
      </w:r>
      <w:r w:rsidR="00DF05E0" w:rsidRPr="003D5F6A">
        <w:rPr>
          <w:rFonts w:cs="Times New Roman"/>
          <w:sz w:val="20"/>
          <w:szCs w:val="20"/>
          <w:lang w:val="pt-PT"/>
        </w:rPr>
        <w:tab/>
      </w:r>
      <w:r w:rsidRPr="003D5F6A">
        <w:rPr>
          <w:rFonts w:cs="Times New Roman"/>
          <w:sz w:val="20"/>
          <w:szCs w:val="20"/>
          <w:lang w:val="pt"/>
        </w:rPr>
        <w:t>COM (2021) 550 final</w:t>
      </w:r>
    </w:p>
  </w:footnote>
  <w:footnote w:id="30">
    <w:p w14:paraId="2EAA09B1" w14:textId="121F43F9" w:rsidR="00A71942" w:rsidRPr="003D5F6A" w:rsidRDefault="00A71942" w:rsidP="00E276C8">
      <w:pPr>
        <w:pStyle w:val="FootnoteText"/>
        <w:spacing w:before="0" w:after="0" w:line="240" w:lineRule="auto"/>
        <w:ind w:left="357" w:hanging="357"/>
        <w:rPr>
          <w:rFonts w:cs="Times New Roman"/>
          <w:sz w:val="20"/>
          <w:szCs w:val="20"/>
          <w:lang w:val="pt-PT"/>
        </w:rPr>
      </w:pPr>
      <w:r w:rsidRPr="003D5F6A">
        <w:rPr>
          <w:rStyle w:val="FootnoteReference"/>
          <w:rFonts w:cs="Times New Roman"/>
          <w:sz w:val="20"/>
          <w:szCs w:val="20"/>
        </w:rPr>
        <w:footnoteRef/>
      </w:r>
      <w:r w:rsidRPr="003D5F6A">
        <w:rPr>
          <w:rFonts w:cs="Times New Roman"/>
          <w:sz w:val="20"/>
          <w:szCs w:val="20"/>
          <w:lang w:val="pt-PT"/>
        </w:rPr>
        <w:t xml:space="preserve"> </w:t>
      </w:r>
      <w:r w:rsidR="00DF05E0" w:rsidRPr="003D5F6A">
        <w:rPr>
          <w:rFonts w:cs="Times New Roman"/>
          <w:sz w:val="20"/>
          <w:szCs w:val="20"/>
          <w:lang w:val="pt-PT"/>
        </w:rPr>
        <w:tab/>
      </w:r>
      <w:r w:rsidRPr="003D5F6A">
        <w:rPr>
          <w:rFonts w:cs="Times New Roman"/>
          <w:sz w:val="20"/>
          <w:szCs w:val="20"/>
          <w:lang w:val="pt"/>
        </w:rPr>
        <w:t>SWD (2022) 230 final</w:t>
      </w:r>
    </w:p>
  </w:footnote>
  <w:footnote w:id="31">
    <w:p w14:paraId="4C42A3DE" w14:textId="6AECE715" w:rsidR="00A71942" w:rsidRPr="003D5F6A" w:rsidRDefault="00A71942" w:rsidP="00E276C8">
      <w:pPr>
        <w:spacing w:before="0" w:after="0" w:line="240" w:lineRule="auto"/>
        <w:ind w:left="357" w:hanging="357"/>
        <w:rPr>
          <w:sz w:val="20"/>
          <w:szCs w:val="20"/>
          <w:lang w:val="pt-PT"/>
        </w:rPr>
      </w:pPr>
      <w:r w:rsidRPr="003D5F6A">
        <w:rPr>
          <w:rStyle w:val="FootnoteReference"/>
          <w:sz w:val="20"/>
          <w:szCs w:val="20"/>
        </w:rPr>
        <w:footnoteRef/>
      </w:r>
      <w:r w:rsidRPr="003D5F6A">
        <w:rPr>
          <w:sz w:val="20"/>
          <w:szCs w:val="20"/>
          <w:lang w:val="pt-PT"/>
        </w:rPr>
        <w:t xml:space="preserve"> </w:t>
      </w:r>
      <w:r w:rsidR="00DF05E0" w:rsidRPr="003D5F6A">
        <w:rPr>
          <w:sz w:val="20"/>
          <w:szCs w:val="20"/>
          <w:lang w:val="pt-PT"/>
        </w:rPr>
        <w:tab/>
      </w:r>
      <w:r w:rsidRPr="003D5F6A">
        <w:rPr>
          <w:sz w:val="20"/>
          <w:szCs w:val="20"/>
          <w:lang w:val="pt"/>
        </w:rPr>
        <w:t>SWD (2024) 63 final</w:t>
      </w:r>
    </w:p>
  </w:footnote>
  <w:footnote w:id="32">
    <w:p w14:paraId="339549F3" w14:textId="04742C11"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See for instance </w:t>
      </w:r>
      <w:r w:rsidRPr="003D5F6A">
        <w:rPr>
          <w:rFonts w:cs="Times New Roman"/>
          <w:sz w:val="20"/>
          <w:szCs w:val="20"/>
          <w:shd w:val="clear" w:color="auto" w:fill="FFFFFF"/>
        </w:rPr>
        <w:t>Ringkjøb, H. K., et al. (2018). A review of modelling tools for energy and electricity systems with large shares of variable renewables. </w:t>
      </w:r>
      <w:r w:rsidRPr="003D5F6A">
        <w:rPr>
          <w:rFonts w:cs="Times New Roman"/>
          <w:i/>
          <w:iCs/>
          <w:sz w:val="20"/>
          <w:szCs w:val="20"/>
          <w:shd w:val="clear" w:color="auto" w:fill="FFFFFF"/>
        </w:rPr>
        <w:t>Renewable and Sustainable Energy Reviews</w:t>
      </w:r>
      <w:r w:rsidRPr="003D5F6A">
        <w:rPr>
          <w:rFonts w:cs="Times New Roman"/>
          <w:sz w:val="20"/>
          <w:szCs w:val="20"/>
          <w:shd w:val="clear" w:color="auto" w:fill="FFFFFF"/>
        </w:rPr>
        <w:t>, </w:t>
      </w:r>
      <w:r w:rsidRPr="003D5F6A">
        <w:rPr>
          <w:rFonts w:cs="Times New Roman"/>
          <w:i/>
          <w:iCs/>
          <w:sz w:val="20"/>
          <w:szCs w:val="20"/>
          <w:shd w:val="clear" w:color="auto" w:fill="FFFFFF"/>
        </w:rPr>
        <w:t>96</w:t>
      </w:r>
      <w:r w:rsidRPr="003D5F6A">
        <w:rPr>
          <w:rFonts w:cs="Times New Roman"/>
          <w:sz w:val="20"/>
          <w:szCs w:val="20"/>
          <w:shd w:val="clear" w:color="auto" w:fill="FFFFFF"/>
        </w:rPr>
        <w:t>, 440-459 and Angenendt, E., et al. (2018). Modelling and tools supporting the transition to a bioeconomy. </w:t>
      </w:r>
      <w:r w:rsidRPr="003D5F6A">
        <w:rPr>
          <w:rFonts w:cs="Times New Roman"/>
          <w:i/>
          <w:iCs/>
          <w:sz w:val="20"/>
          <w:szCs w:val="20"/>
          <w:shd w:val="clear" w:color="auto" w:fill="FFFFFF"/>
        </w:rPr>
        <w:t>Bioeconomy: Shaping the Transition to a Sustainable, Biobased Economy</w:t>
      </w:r>
      <w:r w:rsidRPr="003D5F6A">
        <w:rPr>
          <w:rFonts w:cs="Times New Roman"/>
          <w:sz w:val="20"/>
          <w:szCs w:val="20"/>
          <w:shd w:val="clear" w:color="auto" w:fill="FFFFFF"/>
        </w:rPr>
        <w:t>, 289-316.</w:t>
      </w:r>
    </w:p>
  </w:footnote>
  <w:footnote w:id="33">
    <w:p w14:paraId="0142C201" w14:textId="77CB4DB5" w:rsidR="00A71942" w:rsidRPr="003D5F6A" w:rsidRDefault="00A71942" w:rsidP="00E276C8">
      <w:pPr>
        <w:spacing w:before="0" w:after="0" w:line="240" w:lineRule="auto"/>
        <w:ind w:left="357" w:hanging="357"/>
        <w:rPr>
          <w:sz w:val="20"/>
          <w:szCs w:val="20"/>
        </w:rPr>
      </w:pPr>
      <w:r w:rsidRPr="003D5F6A">
        <w:rPr>
          <w:sz w:val="20"/>
          <w:szCs w:val="20"/>
          <w:vertAlign w:val="superscript"/>
        </w:rPr>
        <w:footnoteRef/>
      </w:r>
      <w:r w:rsidRPr="003D5F6A">
        <w:rPr>
          <w:sz w:val="20"/>
          <w:szCs w:val="20"/>
        </w:rPr>
        <w:t xml:space="preserve"> </w:t>
      </w:r>
      <w:r w:rsidR="00DF05E0" w:rsidRPr="003D5F6A">
        <w:rPr>
          <w:sz w:val="20"/>
          <w:szCs w:val="20"/>
        </w:rPr>
        <w:tab/>
      </w:r>
      <w:r w:rsidRPr="003D5F6A">
        <w:rPr>
          <w:sz w:val="20"/>
          <w:szCs w:val="20"/>
        </w:rPr>
        <w:t xml:space="preserve">AERO-MS Fact Sheet available at </w:t>
      </w:r>
      <w:r w:rsidRPr="003D5F6A">
        <w:rPr>
          <w:rStyle w:val="Hyperlink"/>
          <w:szCs w:val="20"/>
        </w:rPr>
        <w:t>https://web.jrc.ec.europa.eu/policy-model-inventory/explore/models/model-aero-ms-print/</w:t>
      </w:r>
    </w:p>
    <w:p w14:paraId="791941DA" w14:textId="77777777" w:rsidR="00A71942" w:rsidRPr="003D5F6A" w:rsidRDefault="00A71942" w:rsidP="00E276C8">
      <w:pPr>
        <w:spacing w:before="0" w:after="0" w:line="240" w:lineRule="auto"/>
        <w:ind w:left="357" w:hanging="357"/>
        <w:rPr>
          <w:sz w:val="20"/>
          <w:szCs w:val="20"/>
        </w:rPr>
      </w:pPr>
    </w:p>
  </w:footnote>
  <w:footnote w:id="34">
    <w:p w14:paraId="59004FD1" w14:textId="4D71082C" w:rsidR="00A71942" w:rsidRPr="003D5F6A" w:rsidRDefault="00A71942" w:rsidP="00E276C8">
      <w:pPr>
        <w:spacing w:before="0" w:after="0" w:line="240" w:lineRule="auto"/>
        <w:ind w:left="357" w:hanging="357"/>
        <w:rPr>
          <w:sz w:val="20"/>
          <w:szCs w:val="20"/>
        </w:rPr>
      </w:pPr>
      <w:r w:rsidRPr="003D5F6A">
        <w:rPr>
          <w:rStyle w:val="FootnoteReference"/>
          <w:sz w:val="20"/>
          <w:szCs w:val="20"/>
        </w:rPr>
        <w:footnoteRef/>
      </w:r>
      <w:r w:rsidRPr="003D5F6A">
        <w:rPr>
          <w:sz w:val="20"/>
          <w:szCs w:val="20"/>
        </w:rPr>
        <w:t xml:space="preserve"> </w:t>
      </w:r>
      <w:r w:rsidR="00DF05E0" w:rsidRPr="003D5F6A">
        <w:rPr>
          <w:sz w:val="20"/>
          <w:szCs w:val="20"/>
        </w:rPr>
        <w:tab/>
      </w:r>
      <w:r w:rsidRPr="003D5F6A">
        <w:rPr>
          <w:sz w:val="20"/>
          <w:szCs w:val="20"/>
        </w:rPr>
        <w:t xml:space="preserve">European Commission 2021. European Commission, Directorate-General for Climate Action, Directorate-General for Energy, Directorate-General for Mobility and Transport, De Vita, A., Capros, P., Paroussos, L. et al. EU reference scenario 2020: energy, transport and GHG emissions: trends to 2050. Publications Office. https://data.europa.eu/doi/10.2833/35750 </w:t>
      </w:r>
    </w:p>
  </w:footnote>
  <w:footnote w:id="35">
    <w:p w14:paraId="7C02E175" w14:textId="04535DB9" w:rsidR="00A71942" w:rsidRPr="003D5F6A" w:rsidRDefault="00A71942" w:rsidP="00E276C8">
      <w:pPr>
        <w:spacing w:before="0" w:after="0" w:line="240" w:lineRule="auto"/>
        <w:ind w:left="357" w:hanging="357"/>
        <w:rPr>
          <w:sz w:val="20"/>
          <w:szCs w:val="20"/>
        </w:rPr>
      </w:pPr>
      <w:r w:rsidRPr="003D5F6A">
        <w:rPr>
          <w:rStyle w:val="FootnoteReference"/>
          <w:sz w:val="20"/>
          <w:szCs w:val="20"/>
        </w:rPr>
        <w:footnoteRef/>
      </w:r>
      <w:r w:rsidRPr="003D5F6A">
        <w:rPr>
          <w:sz w:val="20"/>
          <w:szCs w:val="20"/>
        </w:rPr>
        <w:t xml:space="preserve"> </w:t>
      </w:r>
      <w:r w:rsidR="00DF05E0" w:rsidRPr="003D5F6A">
        <w:rPr>
          <w:sz w:val="20"/>
          <w:szCs w:val="20"/>
        </w:rPr>
        <w:tab/>
      </w:r>
      <w:r w:rsidRPr="003D5F6A">
        <w:rPr>
          <w:sz w:val="20"/>
          <w:szCs w:val="20"/>
        </w:rPr>
        <w:t>European Commission 2016. European Commission, Directorate-General for Climate Action, Directorate-General for Energy, Directorate-General for Mobility and Transport, Zampara, M., Obersteiner, M., Evangelopoulou, S. et al. EU reference scenario 2016: energy, transport and GHG emissions: trends to 2050. Publications Office. https://data.europa.eu/doi/10.2833/001137</w:t>
      </w:r>
    </w:p>
  </w:footnote>
  <w:footnote w:id="36">
    <w:p w14:paraId="15905239" w14:textId="0D3F3E9A" w:rsidR="00A71942" w:rsidRPr="003D5F6A" w:rsidRDefault="00A71942" w:rsidP="00E276C8">
      <w:pPr>
        <w:spacing w:before="0" w:after="0" w:line="240" w:lineRule="auto"/>
        <w:ind w:left="357" w:hanging="357"/>
        <w:rPr>
          <w:sz w:val="20"/>
          <w:szCs w:val="20"/>
        </w:rPr>
      </w:pPr>
      <w:r w:rsidRPr="003D5F6A">
        <w:rPr>
          <w:rStyle w:val="FootnoteReference"/>
          <w:sz w:val="20"/>
          <w:szCs w:val="20"/>
        </w:rPr>
        <w:footnoteRef/>
      </w:r>
      <w:r w:rsidRPr="003D5F6A">
        <w:rPr>
          <w:sz w:val="20"/>
          <w:szCs w:val="20"/>
        </w:rPr>
        <w:t xml:space="preserve"> </w:t>
      </w:r>
      <w:r w:rsidR="00DF05E0" w:rsidRPr="003D5F6A">
        <w:rPr>
          <w:sz w:val="20"/>
          <w:szCs w:val="20"/>
        </w:rPr>
        <w:tab/>
      </w:r>
      <w:r w:rsidRPr="003D5F6A">
        <w:rPr>
          <w:sz w:val="20"/>
          <w:szCs w:val="20"/>
        </w:rPr>
        <w:t>European Commission 2022. Commission staff working document Implementing the RepowerEU action plan: Investment needs, hydrogen accelerator and achieving the bio-methane targets. Accompanying the document "Communication from the Commission to the European Parliament, the Council, the European Economic and Social Committee and the Committee of the Regions REPowerEU Plan" SWD/2022/230 final</w:t>
      </w:r>
    </w:p>
  </w:footnote>
  <w:footnote w:id="37">
    <w:p w14:paraId="5CAF0CFA" w14:textId="4E515CDB"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European Commission 2024. Impact Assessment Report Part 1 Accompanying the document "Communication from the Commission to the European Parliament, the Council, the European Economic and Social Committee and the Committee of the Regions: Securing our future Europe's 2040 climate target and path to climate neutrality by 2050, building a sustainable, just and prosperous society". SWD/2024/63 final</w:t>
      </w:r>
    </w:p>
  </w:footnote>
  <w:footnote w:id="38">
    <w:p w14:paraId="1D0DA5C4" w14:textId="07A993C5" w:rsidR="00DF05E0" w:rsidRPr="003D5F6A" w:rsidRDefault="00A71942" w:rsidP="00E276C8">
      <w:pPr>
        <w:spacing w:before="0" w:after="0" w:line="240" w:lineRule="auto"/>
        <w:ind w:left="357" w:hanging="357"/>
        <w:rPr>
          <w:sz w:val="20"/>
          <w:szCs w:val="20"/>
          <w:lang w:val="en-IE"/>
        </w:rPr>
      </w:pPr>
      <w:r w:rsidRPr="003D5F6A">
        <w:rPr>
          <w:sz w:val="20"/>
          <w:szCs w:val="20"/>
          <w:vertAlign w:val="superscript"/>
        </w:rPr>
        <w:footnoteRef/>
      </w:r>
      <w:r w:rsidRPr="003D5F6A">
        <w:rPr>
          <w:sz w:val="20"/>
          <w:szCs w:val="20"/>
        </w:rPr>
        <w:t xml:space="preserve"> </w:t>
      </w:r>
      <w:r w:rsidR="00524D0A">
        <w:rPr>
          <w:sz w:val="20"/>
          <w:szCs w:val="20"/>
        </w:rPr>
        <w:tab/>
      </w:r>
      <w:r w:rsidR="00DF05E0" w:rsidRPr="003D5F6A">
        <w:rPr>
          <w:sz w:val="20"/>
          <w:szCs w:val="20"/>
        </w:rPr>
        <w:t>JRC 2017, “</w:t>
      </w:r>
      <w:r w:rsidR="00DF05E0" w:rsidRPr="003D5F6A">
        <w:rPr>
          <w:sz w:val="20"/>
          <w:szCs w:val="20"/>
          <w:lang w:val="en-IE"/>
        </w:rPr>
        <w:t xml:space="preserve">POTEnCIA: A new EU-wide energy sector model”, </w:t>
      </w:r>
    </w:p>
    <w:p w14:paraId="4291BC78" w14:textId="3638244B" w:rsidR="00A71942" w:rsidRPr="003D5F6A" w:rsidRDefault="00524D0A" w:rsidP="00E276C8">
      <w:pPr>
        <w:spacing w:before="0" w:after="0" w:line="240" w:lineRule="auto"/>
        <w:ind w:left="357"/>
        <w:rPr>
          <w:rFonts w:eastAsia="Times New Roman"/>
          <w:sz w:val="20"/>
          <w:szCs w:val="20"/>
        </w:rPr>
      </w:pPr>
      <w:hyperlink r:id="rId2" w:history="1">
        <w:r w:rsidRPr="003B037A">
          <w:rPr>
            <w:rStyle w:val="Hyperlink"/>
            <w:rFonts w:eastAsia="Segoe UI"/>
            <w:szCs w:val="20"/>
          </w:rPr>
          <w:t>https://publications.jrc.ec.europa.eu/repository/handle/JRC106760</w:t>
        </w:r>
      </w:hyperlink>
      <w:r w:rsidR="00A71942" w:rsidRPr="003D5F6A">
        <w:rPr>
          <w:rFonts w:eastAsia="Segoe UI"/>
          <w:sz w:val="20"/>
          <w:szCs w:val="20"/>
        </w:rPr>
        <w:t xml:space="preserve"> </w:t>
      </w:r>
    </w:p>
  </w:footnote>
  <w:footnote w:id="39">
    <w:p w14:paraId="6BF825C7" w14:textId="2916BD48" w:rsidR="00A71942" w:rsidRPr="003D5F6A" w:rsidRDefault="00A71942" w:rsidP="00E276C8">
      <w:pPr>
        <w:pStyle w:val="FootnoteText"/>
        <w:spacing w:before="0" w:after="0" w:line="240" w:lineRule="auto"/>
        <w:ind w:left="357" w:hanging="357"/>
        <w:rPr>
          <w:rFonts w:cs="Times New Roman"/>
          <w:sz w:val="20"/>
          <w:szCs w:val="20"/>
          <w:lang w:val="it-IT"/>
        </w:rPr>
      </w:pPr>
      <w:r w:rsidRPr="003D5F6A">
        <w:rPr>
          <w:rStyle w:val="FootnoteReference"/>
          <w:rFonts w:cs="Times New Roman"/>
          <w:sz w:val="20"/>
          <w:szCs w:val="20"/>
        </w:rPr>
        <w:footnoteRef/>
      </w:r>
      <w:r w:rsidRPr="003D5F6A">
        <w:rPr>
          <w:rFonts w:cs="Times New Roman"/>
          <w:sz w:val="20"/>
          <w:szCs w:val="20"/>
          <w:lang w:val="it-IT"/>
        </w:rPr>
        <w:t xml:space="preserve"> </w:t>
      </w:r>
      <w:r w:rsidR="00DF05E0" w:rsidRPr="003D5F6A">
        <w:rPr>
          <w:rFonts w:cs="Times New Roman"/>
          <w:sz w:val="20"/>
          <w:szCs w:val="20"/>
          <w:lang w:val="it-IT"/>
        </w:rPr>
        <w:tab/>
      </w:r>
      <w:r w:rsidRPr="003D5F6A">
        <w:rPr>
          <w:rFonts w:cs="Times New Roman"/>
          <w:sz w:val="20"/>
          <w:szCs w:val="20"/>
          <w:lang w:val="it-IT"/>
        </w:rPr>
        <w:t>EUROPOP2023 (proj_23n).</w:t>
      </w:r>
    </w:p>
  </w:footnote>
  <w:footnote w:id="40">
    <w:p w14:paraId="29CE297F" w14:textId="68684307" w:rsidR="00A71942" w:rsidRPr="003D5F6A" w:rsidRDefault="00A71942" w:rsidP="00E276C8">
      <w:pPr>
        <w:pStyle w:val="FootnoteText"/>
        <w:spacing w:before="0" w:after="0" w:line="240" w:lineRule="auto"/>
        <w:ind w:left="357" w:hanging="357"/>
        <w:rPr>
          <w:rFonts w:cs="Times New Roman"/>
          <w:sz w:val="20"/>
          <w:szCs w:val="20"/>
          <w:lang w:val="it-IT"/>
        </w:rPr>
      </w:pPr>
      <w:r w:rsidRPr="003D5F6A">
        <w:rPr>
          <w:rStyle w:val="FootnoteReference"/>
          <w:rFonts w:cs="Times New Roman"/>
          <w:sz w:val="20"/>
          <w:szCs w:val="20"/>
        </w:rPr>
        <w:footnoteRef/>
      </w:r>
      <w:r w:rsidRPr="003D5F6A">
        <w:rPr>
          <w:rFonts w:cs="Times New Roman"/>
          <w:sz w:val="20"/>
          <w:szCs w:val="20"/>
          <w:lang w:val="it-IT"/>
        </w:rPr>
        <w:t xml:space="preserve"> </w:t>
      </w:r>
      <w:r w:rsidR="00DF05E0" w:rsidRPr="003D5F6A">
        <w:rPr>
          <w:rFonts w:cs="Times New Roman"/>
          <w:sz w:val="20"/>
          <w:szCs w:val="20"/>
          <w:lang w:val="it-IT"/>
        </w:rPr>
        <w:tab/>
      </w:r>
      <w:r w:rsidRPr="003D5F6A">
        <w:rPr>
          <w:rFonts w:cs="Times New Roman"/>
          <w:sz w:val="20"/>
          <w:szCs w:val="20"/>
          <w:lang w:val="it-IT"/>
        </w:rPr>
        <w:t>DG ECFIN, https://ec.europa.eu/commission/presscorner/detail/en/ip_22_6782</w:t>
      </w:r>
    </w:p>
  </w:footnote>
  <w:footnote w:id="41">
    <w:p w14:paraId="651ABDAF" w14:textId="02E05583"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lang w:val="en-IE"/>
        </w:rPr>
        <w:t xml:space="preserve"> </w:t>
      </w:r>
      <w:r w:rsidR="00DF05E0" w:rsidRPr="003D5F6A">
        <w:rPr>
          <w:rFonts w:cs="Times New Roman"/>
          <w:sz w:val="20"/>
          <w:szCs w:val="20"/>
          <w:lang w:val="en-IE"/>
        </w:rPr>
        <w:tab/>
      </w:r>
      <w:r w:rsidRPr="003D5F6A">
        <w:rPr>
          <w:rFonts w:cs="Times New Roman"/>
          <w:sz w:val="20"/>
          <w:szCs w:val="20"/>
          <w:lang w:val="en-IE"/>
        </w:rPr>
        <w:t>DG ECFIN,</w:t>
      </w:r>
      <w:hyperlink r:id="rId3" w:history="1">
        <w:r w:rsidRPr="003D5F6A">
          <w:rPr>
            <w:rFonts w:cs="Times New Roman"/>
            <w:sz w:val="20"/>
            <w:szCs w:val="20"/>
            <w:lang w:val="en-IE"/>
          </w:rPr>
          <w:t xml:space="preserve"> </w:t>
        </w:r>
        <w:hyperlink r:id="rId4" w:history="1">
          <w:r w:rsidRPr="003D5F6A">
            <w:rPr>
              <w:rStyle w:val="Hyperlink"/>
              <w:rFonts w:cs="Times New Roman"/>
              <w:szCs w:val="20"/>
              <w:lang w:val="en-IE"/>
            </w:rPr>
            <w:t>2024 Ageing Report. Economic and budgetary projections for the EU Member States (2022-2070)</w:t>
          </w:r>
        </w:hyperlink>
        <w:r w:rsidRPr="003D5F6A">
          <w:rPr>
            <w:rStyle w:val="Hyperlink"/>
            <w:rFonts w:cs="Times New Roman"/>
            <w:szCs w:val="20"/>
            <w:lang w:val="en-IE"/>
          </w:rPr>
          <w:t>.</w:t>
        </w:r>
      </w:hyperlink>
    </w:p>
  </w:footnote>
  <w:footnote w:id="42">
    <w:p w14:paraId="4DEBC687" w14:textId="733D40A1"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hyperlink r:id="rId5" w:history="1">
        <w:r w:rsidRPr="003D5F6A">
          <w:rPr>
            <w:rStyle w:val="Hyperlink"/>
            <w:rFonts w:cs="Times New Roman"/>
            <w:szCs w:val="20"/>
          </w:rPr>
          <w:t>EU reference scenario 2020 - Publications Office of the EU</w:t>
        </w:r>
      </w:hyperlink>
    </w:p>
  </w:footnote>
  <w:footnote w:id="43">
    <w:p w14:paraId="1208928D" w14:textId="1C3F5229" w:rsidR="00D164F6" w:rsidRPr="003D5F6A" w:rsidRDefault="00D164F6" w:rsidP="003D5F6A">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4027CF" w:rsidRPr="003D5F6A">
        <w:rPr>
          <w:rFonts w:cs="Times New Roman"/>
          <w:sz w:val="20"/>
          <w:szCs w:val="20"/>
        </w:rPr>
        <w:tab/>
      </w:r>
      <w:r w:rsidR="004027CF" w:rsidRPr="003D5F6A">
        <w:rPr>
          <w:rStyle w:val="Hyperlink"/>
          <w:rFonts w:cs="Times New Roman"/>
          <w:szCs w:val="20"/>
          <w:u w:val="none"/>
        </w:rPr>
        <w:t>PRIMES</w:t>
      </w:r>
      <w:r w:rsidR="004027CF" w:rsidRPr="003D5F6A">
        <w:rPr>
          <w:rFonts w:cs="Times New Roman"/>
          <w:sz w:val="20"/>
          <w:szCs w:val="20"/>
        </w:rPr>
        <w:t xml:space="preserve"> 87p_var3_v3</w:t>
      </w:r>
    </w:p>
  </w:footnote>
  <w:footnote w:id="44">
    <w:p w14:paraId="692C0EB8" w14:textId="04026FFE"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0640F4" w:rsidRPr="003D5F6A">
        <w:rPr>
          <w:rFonts w:cs="Times New Roman"/>
          <w:sz w:val="20"/>
          <w:szCs w:val="20"/>
        </w:rPr>
        <w:tab/>
      </w:r>
      <w:r w:rsidRPr="003D5F6A">
        <w:rPr>
          <w:rFonts w:cs="Times New Roman"/>
          <w:sz w:val="20"/>
          <w:szCs w:val="20"/>
        </w:rPr>
        <w:t>The model-based analysis is a technical exercise based on a number of assumptions that are shared across scenarios. Its results do not prejudge the future design of the post-2030 policy framework.</w:t>
      </w:r>
    </w:p>
  </w:footnote>
  <w:footnote w:id="45">
    <w:p w14:paraId="5A3D9557" w14:textId="42084AA8"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Full documentation of the EC-JRC version of the POLES model can be found at:  </w:t>
      </w:r>
      <w:hyperlink r:id="rId6" w:history="1">
        <w:r w:rsidRPr="003D5F6A">
          <w:rPr>
            <w:rStyle w:val="Hyperlink"/>
            <w:rFonts w:cs="Times New Roman"/>
            <w:szCs w:val="20"/>
          </w:rPr>
          <w:t>https://ec.europa.eu/jrc/en/publication/poles-jrc-model-documentation</w:t>
        </w:r>
      </w:hyperlink>
    </w:p>
  </w:footnote>
  <w:footnote w:id="46">
    <w:p w14:paraId="0797050C" w14:textId="78C8332A"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OECD (2025). The Circular Economy in Cities and Regions of the European Union. Available at: </w:t>
      </w:r>
      <w:hyperlink r:id="rId7" w:history="1">
        <w:r w:rsidRPr="003D5F6A">
          <w:rPr>
            <w:rStyle w:val="Hyperlink"/>
            <w:rFonts w:cs="Times New Roman"/>
            <w:szCs w:val="20"/>
          </w:rPr>
          <w:t>https://www.oecd.org/en/publications/the-circular-economy-in-cities-and-regions-of-the-european-union_e09c21e2-en.html</w:t>
        </w:r>
      </w:hyperlink>
      <w:r w:rsidRPr="003D5F6A">
        <w:rPr>
          <w:rFonts w:cs="Times New Roman"/>
          <w:sz w:val="20"/>
          <w:szCs w:val="20"/>
        </w:rPr>
        <w:t xml:space="preserve"> </w:t>
      </w:r>
    </w:p>
  </w:footnote>
  <w:footnote w:id="47">
    <w:p w14:paraId="47A95A0D" w14:textId="335FCFC4"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European Commission (2023) 306 final. Communication on a revised monitoring framework for the circular economy. Available at: </w:t>
      </w:r>
      <w:hyperlink r:id="rId8" w:history="1">
        <w:r w:rsidRPr="003D5F6A">
          <w:rPr>
            <w:rStyle w:val="Hyperlink"/>
            <w:rFonts w:cs="Times New Roman"/>
            <w:szCs w:val="20"/>
          </w:rPr>
          <w:t>https://www.europarl.europa.eu/RegData/docs_autres_institutions/commission_europeenne/com/2023/0306/COM_COM%282023%290306_EN.pdf</w:t>
        </w:r>
      </w:hyperlink>
      <w:r w:rsidRPr="003D5F6A">
        <w:rPr>
          <w:rFonts w:cs="Times New Roman"/>
          <w:sz w:val="20"/>
          <w:szCs w:val="20"/>
        </w:rPr>
        <w:t xml:space="preserve"> </w:t>
      </w:r>
    </w:p>
  </w:footnote>
  <w:footnote w:id="48">
    <w:p w14:paraId="46F08382" w14:textId="538B387D"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360CF3" w:rsidRPr="003D5F6A">
        <w:rPr>
          <w:rFonts w:cs="Times New Roman"/>
          <w:sz w:val="20"/>
          <w:szCs w:val="20"/>
        </w:rPr>
        <w:tab/>
      </w:r>
      <w:r w:rsidRPr="003D5F6A">
        <w:rPr>
          <w:rFonts w:cs="Times New Roman"/>
          <w:sz w:val="20"/>
          <w:szCs w:val="20"/>
        </w:rPr>
        <w:t>Commission Recommendation of 6 May 2003 concerning the definition of micro, small and medium-sized enterprises (Text with EEA relevance) (notified under document number C(2003) 1422)</w:t>
      </w:r>
    </w:p>
  </w:footnote>
  <w:footnote w:id="49">
    <w:p w14:paraId="13F1E374" w14:textId="646EFB4D"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00571A12">
        <w:rPr>
          <w:rFonts w:cs="Times New Roman"/>
          <w:sz w:val="20"/>
          <w:szCs w:val="20"/>
        </w:rPr>
        <w:t xml:space="preserve"> </w:t>
      </w:r>
      <w:r w:rsidR="00D749DC">
        <w:tab/>
      </w:r>
      <w:r w:rsidR="00D749DC" w:rsidRPr="00D749DC">
        <w:t>European Commission, DG GROW Chief Economist Team (2025): EUTL-Orbis matching dataset.</w:t>
      </w:r>
    </w:p>
  </w:footnote>
  <w:footnote w:id="50">
    <w:p w14:paraId="41AF88B8" w14:textId="1692C384"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We can distinguish three main cases:</w:t>
      </w:r>
    </w:p>
    <w:p w14:paraId="061CE1CD" w14:textId="77777777" w:rsidR="00A71942" w:rsidRPr="003D5F6A" w:rsidRDefault="00A71942" w:rsidP="00E276C8">
      <w:pPr>
        <w:pStyle w:val="FootnoteText"/>
        <w:numPr>
          <w:ilvl w:val="2"/>
          <w:numId w:val="21"/>
        </w:numPr>
        <w:spacing w:before="0" w:after="0" w:line="240" w:lineRule="auto"/>
        <w:ind w:left="357" w:hanging="357"/>
        <w:rPr>
          <w:rFonts w:cs="Times New Roman"/>
          <w:sz w:val="20"/>
          <w:szCs w:val="20"/>
        </w:rPr>
      </w:pPr>
      <w:r w:rsidRPr="003D5F6A">
        <w:rPr>
          <w:rFonts w:cs="Times New Roman"/>
          <w:sz w:val="20"/>
          <w:szCs w:val="20"/>
        </w:rPr>
        <w:t>Industrial process emissions where the chemical reactions of the process generate CO</w:t>
      </w:r>
      <w:r w:rsidRPr="003D5F6A">
        <w:rPr>
          <w:rFonts w:cs="Times New Roman"/>
          <w:sz w:val="20"/>
          <w:szCs w:val="20"/>
          <w:vertAlign w:val="subscript"/>
        </w:rPr>
        <w:t>2</w:t>
      </w:r>
      <w:r w:rsidRPr="003D5F6A">
        <w:rPr>
          <w:rFonts w:cs="Times New Roman"/>
          <w:sz w:val="20"/>
          <w:szCs w:val="20"/>
        </w:rPr>
        <w:t>, such as in the calcination of limestone (a carbonate) to produce clinker, which is the basis of cement. Emissions will need to be captured either for reuse in products (CCU) or to be permanently stored (CCS).</w:t>
      </w:r>
    </w:p>
    <w:p w14:paraId="1D0F189E" w14:textId="77777777" w:rsidR="00A71942" w:rsidRPr="003D5F6A" w:rsidRDefault="00A71942" w:rsidP="00E276C8">
      <w:pPr>
        <w:pStyle w:val="FootnoteText"/>
        <w:numPr>
          <w:ilvl w:val="2"/>
          <w:numId w:val="21"/>
        </w:numPr>
        <w:spacing w:before="0" w:after="0" w:line="240" w:lineRule="auto"/>
        <w:ind w:left="357" w:hanging="357"/>
        <w:rPr>
          <w:rFonts w:cs="Times New Roman"/>
          <w:sz w:val="20"/>
          <w:szCs w:val="20"/>
        </w:rPr>
      </w:pPr>
      <w:r w:rsidRPr="003D5F6A">
        <w:rPr>
          <w:rFonts w:cs="Times New Roman"/>
          <w:sz w:val="20"/>
          <w:szCs w:val="20"/>
        </w:rPr>
        <w:t xml:space="preserve">Production of organic chemicals, which cannot be decarbonised because they are carbon-based. Fossil-derived feedstocks will need to be replaced with alternative sources of carbon (from biomass, recycling or captured carbon) to produce these chemicals, both to reduce process emissions in their production and at avoid fossil emissions from the use or end-of-life treatment of such products. </w:t>
      </w:r>
    </w:p>
    <w:p w14:paraId="67302024" w14:textId="77777777" w:rsidR="00A71942" w:rsidRPr="003D5F6A" w:rsidRDefault="00A71942" w:rsidP="00E276C8">
      <w:pPr>
        <w:pStyle w:val="FootnoteText"/>
        <w:numPr>
          <w:ilvl w:val="2"/>
          <w:numId w:val="21"/>
        </w:numPr>
        <w:spacing w:before="0" w:after="0" w:line="240" w:lineRule="auto"/>
        <w:ind w:left="357" w:hanging="357"/>
        <w:rPr>
          <w:rFonts w:cs="Times New Roman"/>
          <w:sz w:val="20"/>
          <w:szCs w:val="20"/>
        </w:rPr>
      </w:pPr>
      <w:r w:rsidRPr="003D5F6A">
        <w:rPr>
          <w:rFonts w:cs="Times New Roman"/>
          <w:sz w:val="20"/>
          <w:szCs w:val="20"/>
        </w:rPr>
        <w:t>Processes where fossil energy cannot currently be replaced by electricity (e.g. long-haul aviation or certain high-heat industrial processes) and will therefore continue to rely on the combustion of fuels. Where no alternative modes of transport (e.g. train instead of flight) or replacement products are possible (e.g. wood construction materials instead concrete or steel), fossil fuel combustion will need to be replaced with alternative fuels, such as renewable fuels of non-biological origin (RFNBOs).</w:t>
      </w:r>
    </w:p>
    <w:p w14:paraId="14C39425" w14:textId="0B1BDE14" w:rsidR="00A71942" w:rsidRPr="003D5F6A" w:rsidRDefault="00A71942" w:rsidP="00E276C8">
      <w:pPr>
        <w:pStyle w:val="FootnoteText"/>
        <w:numPr>
          <w:ilvl w:val="2"/>
          <w:numId w:val="21"/>
        </w:numPr>
        <w:spacing w:before="0" w:after="0" w:line="240" w:lineRule="auto"/>
        <w:ind w:left="357" w:hanging="357"/>
        <w:rPr>
          <w:rFonts w:cs="Times New Roman"/>
          <w:sz w:val="20"/>
          <w:szCs w:val="20"/>
        </w:rPr>
      </w:pPr>
      <w:r w:rsidRPr="003D5F6A">
        <w:rPr>
          <w:rFonts w:cs="Times New Roman"/>
          <w:sz w:val="20"/>
          <w:szCs w:val="20"/>
        </w:rPr>
        <w:t>Processes where fossil energy cannot currently be replaced by electricity (e.g. long-haul aviation or certain high-heat industrial processes) and will therefore continue to rely on the combustion of fuels. Where no alternative modes of transport (e.g. train instead of flight) or replacement products are possible (e.g. wood construction materials instead concrete or steel), fossil fuel combustion will need to be replaced with alternative fuels, such as renewable fuels of non-biological origin (RFNBOs).</w:t>
      </w:r>
    </w:p>
  </w:footnote>
  <w:footnote w:id="51">
    <w:p w14:paraId="2E171BA5" w14:textId="176368D6"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In scenarios for reaching the 2040 climate target, investment needs are estimated at </w:t>
      </w:r>
      <w:r w:rsidRPr="003D5F6A">
        <w:rPr>
          <w:rStyle w:val="normaltextrun"/>
          <w:rFonts w:cs="Times New Roman"/>
          <w:sz w:val="20"/>
          <w:szCs w:val="20"/>
          <w:shd w:val="clear" w:color="auto" w:fill="FFFFFF"/>
        </w:rPr>
        <w:t xml:space="preserve">approximately EUR 30-50 billion annually between 2031 and 2040 for industry (around EUR 25-40 bn for energy-intensive industries). </w:t>
      </w:r>
    </w:p>
  </w:footnote>
  <w:footnote w:id="52">
    <w:p w14:paraId="478C585E" w14:textId="232E8C0A" w:rsidR="00A71942" w:rsidRPr="003D5F6A" w:rsidRDefault="00A71942" w:rsidP="00E276C8">
      <w:pPr>
        <w:pStyle w:val="FootnoteText"/>
        <w:spacing w:before="0" w:after="0" w:line="240" w:lineRule="auto"/>
        <w:ind w:left="357" w:hanging="357"/>
        <w:jc w:val="left"/>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t xml:space="preserve">Jan Eric Hagendorna , Benjamin Hattemerb , Fotios Kalantzis, EIB, 2024.“A positive trade-off: Emissions reduction and costs under Phase IV of the Emissions Trading System”, </w:t>
      </w:r>
      <w:r w:rsidRPr="003D5F6A">
        <w:rPr>
          <w:rFonts w:cs="Times New Roman"/>
          <w:sz w:val="20"/>
          <w:szCs w:val="20"/>
        </w:rPr>
        <w:t>https://www.eib.org/attachments/lucalli/20240297_economics_working_paper_2024_05_en.pdf</w:t>
      </w:r>
    </w:p>
  </w:footnote>
  <w:footnote w:id="53">
    <w:p w14:paraId="6E26D64D" w14:textId="4BBF20CB"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lang w:val="en-IE"/>
        </w:rPr>
        <w:t xml:space="preserve">The home country is responsible for ensuring that its airlines comply with CORSIA requirements. This </w:t>
      </w:r>
      <w:r w:rsidRPr="003D5F6A">
        <w:rPr>
          <w:rFonts w:cs="Times New Roman"/>
          <w:sz w:val="20"/>
          <w:szCs w:val="20"/>
        </w:rPr>
        <w:t xml:space="preserve">is meant to be an </w:t>
      </w:r>
      <w:r w:rsidRPr="003D5F6A">
        <w:rPr>
          <w:rFonts w:cs="Times New Roman"/>
          <w:sz w:val="20"/>
          <w:szCs w:val="20"/>
          <w:lang w:val="en-IE"/>
        </w:rPr>
        <w:t>obligation even if the country itself is not participating in CORSIA, as long as its airlines operate on routes covered by the scheme.</w:t>
      </w:r>
    </w:p>
  </w:footnote>
  <w:footnote w:id="54">
    <w:p w14:paraId="62F8451A" w14:textId="7E59D852"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Note that the concept of liquidity of the market, referring to the amount of allowances available for trading, should be differentiated from the concept of market tightness, which can occur regardless of the market size if the supply of allowances is very tight in relation to the demand of allowances (i.e. actual emissions).</w:t>
      </w:r>
    </w:p>
  </w:footnote>
  <w:footnote w:id="55">
    <w:p w14:paraId="697FDD78" w14:textId="57CCB40E"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A sector is generally well suited for ETS coverage when several conditions are present. The core idea is that emissions can be measured reliably reduced effectively by the influence of the carbon price. Key characteristics include:</w:t>
      </w:r>
    </w:p>
    <w:p w14:paraId="69603B6E"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Monitoring, reporting, and verification (MRV) can be done accurately and at reasonable cost.</w:t>
      </w:r>
    </w:p>
    <w:p w14:paraId="2BD4C7F3"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There are relatively few large emitters: ETSs work best when emissions come from a manageable number of regulated entities as administrative costs stay lower.</w:t>
      </w:r>
    </w:p>
    <w:p w14:paraId="1D0778B7"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There are viable technological or operational alternatives: Firms need realistic pathways to reduce emissions in response to carbon prices.</w:t>
      </w:r>
    </w:p>
    <w:p w14:paraId="42AECA3D"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Demand is not perfectly inelastic: Carbon pricing can influence production, investment, or consumption decisions. If firms and consumers cannot respond at all, the ETS has weaker effects.</w:t>
      </w:r>
    </w:p>
    <w:p w14:paraId="4691641F"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The sector is economically significant: high-emitting sectors provide larger emissions reductions per unit of regulatory effort.</w:t>
      </w:r>
    </w:p>
    <w:p w14:paraId="52BACA8F" w14:textId="77777777" w:rsidR="00A71942" w:rsidRPr="003D5F6A" w:rsidRDefault="00A71942" w:rsidP="00E276C8">
      <w:pPr>
        <w:pStyle w:val="FootnoteText"/>
        <w:numPr>
          <w:ilvl w:val="0"/>
          <w:numId w:val="30"/>
        </w:numPr>
        <w:spacing w:before="0" w:after="0" w:line="240" w:lineRule="auto"/>
        <w:ind w:left="357" w:hanging="357"/>
        <w:rPr>
          <w:rFonts w:cs="Times New Roman"/>
          <w:sz w:val="20"/>
          <w:szCs w:val="20"/>
        </w:rPr>
      </w:pPr>
      <w:r w:rsidRPr="003D5F6A">
        <w:rPr>
          <w:rFonts w:cs="Times New Roman"/>
          <w:sz w:val="20"/>
          <w:szCs w:val="20"/>
        </w:rPr>
        <w:t>Leakage and competitiveness risks are manageable</w:t>
      </w:r>
    </w:p>
  </w:footnote>
  <w:footnote w:id="56">
    <w:p w14:paraId="62F9ACDC" w14:textId="5792004B"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An MSR that ensures a healthy supply-demand balance out to 2040 would be one that: </w:t>
      </w:r>
    </w:p>
    <w:p w14:paraId="1F6956C1" w14:textId="77777777" w:rsidR="00A71942" w:rsidRPr="003D5F6A" w:rsidRDefault="00A71942" w:rsidP="00E276C8">
      <w:pPr>
        <w:pStyle w:val="FootnoteText"/>
        <w:numPr>
          <w:ilvl w:val="0"/>
          <w:numId w:val="29"/>
        </w:numPr>
        <w:spacing w:before="0" w:after="0" w:line="240" w:lineRule="auto"/>
        <w:ind w:left="357" w:hanging="357"/>
        <w:rPr>
          <w:rFonts w:cs="Times New Roman"/>
          <w:sz w:val="20"/>
          <w:szCs w:val="20"/>
        </w:rPr>
      </w:pPr>
      <w:r w:rsidRPr="003D5F6A">
        <w:rPr>
          <w:rFonts w:cs="Times New Roman"/>
          <w:sz w:val="20"/>
          <w:szCs w:val="20"/>
        </w:rPr>
        <w:t xml:space="preserve">Ensures adequate liquidity (adequate allowance availability for compliance, hedging and banking) – Liquidity is assessed through several indicators: TNAC levels and trajectories in relation to the upper and lower thresholds and buffer zones; the evolution of the stock of allowances in the MSR indicating capacity for future interventions; the TNAC-to-emissions ratio spread which is a proxy for liquidity consistency relative to compliance needs; and the timing and volume of MSR releases. </w:t>
      </w:r>
    </w:p>
    <w:p w14:paraId="2731F3FF" w14:textId="77777777" w:rsidR="00A71942" w:rsidRPr="003D5F6A" w:rsidRDefault="00A71942" w:rsidP="00E276C8">
      <w:pPr>
        <w:pStyle w:val="FootnoteText"/>
        <w:numPr>
          <w:ilvl w:val="0"/>
          <w:numId w:val="29"/>
        </w:numPr>
        <w:spacing w:before="0" w:after="0" w:line="240" w:lineRule="auto"/>
        <w:ind w:left="357" w:hanging="357"/>
        <w:rPr>
          <w:rFonts w:cs="Times New Roman"/>
          <w:sz w:val="20"/>
          <w:szCs w:val="20"/>
        </w:rPr>
      </w:pPr>
      <w:r w:rsidRPr="003D5F6A">
        <w:rPr>
          <w:rFonts w:cs="Times New Roman"/>
          <w:sz w:val="20"/>
          <w:szCs w:val="20"/>
        </w:rPr>
        <w:t>Maximises price predictability (stable signals for decarbonisation investment)– Rather than formal statistical volatility metrics, the assessment relies on graphical analysis of price trajectories and their evolution under baseline and shock scenarios.</w:t>
      </w:r>
    </w:p>
    <w:p w14:paraId="426A34DC" w14:textId="77777777" w:rsidR="00A71942" w:rsidRPr="003D5F6A" w:rsidRDefault="00A71942" w:rsidP="00E276C8">
      <w:pPr>
        <w:pStyle w:val="FootnoteText"/>
        <w:numPr>
          <w:ilvl w:val="0"/>
          <w:numId w:val="29"/>
        </w:numPr>
        <w:spacing w:before="0" w:after="0" w:line="240" w:lineRule="auto"/>
        <w:ind w:left="357" w:hanging="357"/>
        <w:rPr>
          <w:rFonts w:cs="Times New Roman"/>
          <w:sz w:val="20"/>
          <w:szCs w:val="20"/>
        </w:rPr>
      </w:pPr>
      <w:r w:rsidRPr="003D5F6A">
        <w:rPr>
          <w:rFonts w:cs="Times New Roman"/>
          <w:sz w:val="20"/>
          <w:szCs w:val="20"/>
        </w:rPr>
        <w:t>Enhances regulated entities' operational decision-making– assessed qualitatively based on market conditions that enable effective risk management, and mechanism predictability that supports credible price expectations.</w:t>
      </w:r>
    </w:p>
    <w:p w14:paraId="7F7AB0BD" w14:textId="77777777" w:rsidR="00A71942" w:rsidRPr="003D5F6A" w:rsidRDefault="00A71942" w:rsidP="00E276C8">
      <w:pPr>
        <w:pStyle w:val="FootnoteText"/>
        <w:numPr>
          <w:ilvl w:val="0"/>
          <w:numId w:val="29"/>
        </w:numPr>
        <w:spacing w:before="0" w:after="0" w:line="240" w:lineRule="auto"/>
        <w:ind w:left="357" w:hanging="357"/>
        <w:rPr>
          <w:rFonts w:cs="Times New Roman"/>
          <w:sz w:val="20"/>
          <w:szCs w:val="20"/>
        </w:rPr>
      </w:pPr>
      <w:r w:rsidRPr="003D5F6A">
        <w:rPr>
          <w:rFonts w:cs="Times New Roman"/>
          <w:sz w:val="20"/>
          <w:szCs w:val="20"/>
        </w:rPr>
        <w:t>Strikes the right balance on cumulative emissions – assessed based on cumulative emissions, considering the trade-off between designs that release earlier and more forcefully raise cumulative emissions and designs that keep scarcity high reduce cumulative emissions but risk compromising market functioning if reserves become inaccessible.</w:t>
      </w:r>
    </w:p>
    <w:p w14:paraId="20DB342E" w14:textId="77777777" w:rsidR="00A71942" w:rsidRPr="003D5F6A" w:rsidRDefault="00A71942" w:rsidP="00E276C8">
      <w:pPr>
        <w:pStyle w:val="FootnoteText"/>
        <w:numPr>
          <w:ilvl w:val="0"/>
          <w:numId w:val="29"/>
        </w:numPr>
        <w:spacing w:before="0" w:after="0" w:line="240" w:lineRule="auto"/>
        <w:ind w:left="357" w:hanging="357"/>
        <w:rPr>
          <w:rFonts w:cs="Times New Roman"/>
          <w:sz w:val="20"/>
          <w:szCs w:val="20"/>
          <w:lang w:val="en-IE"/>
        </w:rPr>
      </w:pPr>
      <w:r w:rsidRPr="003D5F6A">
        <w:rPr>
          <w:rFonts w:cs="Times New Roman"/>
          <w:sz w:val="20"/>
          <w:szCs w:val="20"/>
        </w:rPr>
        <w:t>Performs best in a sensitivity analysis – measured based on (i) TNAC converging back to the no-shock trajectory; (ii) emissions converging back to the no-shock trajectory; (iii) TNAC-to-Emission ratio spread over 2027-2040; (iv) EUA price spread in 2040 (€2023/EUA).</w:t>
      </w:r>
    </w:p>
  </w:footnote>
  <w:footnote w:id="57">
    <w:p w14:paraId="1D843C01" w14:textId="17223330"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Inside Europe: domestic and non-domestic and departing flights to Switzerland and the UK, outside Europe: non-domestic only.</w:t>
      </w:r>
    </w:p>
  </w:footnote>
  <w:footnote w:id="58">
    <w:p w14:paraId="320F5332" w14:textId="21D65808" w:rsidR="66A722C5" w:rsidRPr="003D5F6A" w:rsidRDefault="66A722C5" w:rsidP="003D5F6A">
      <w:pPr>
        <w:pStyle w:val="FootnoteText"/>
        <w:spacing w:before="0" w:after="0" w:line="240" w:lineRule="auto"/>
        <w:ind w:left="357" w:hanging="357"/>
        <w:rPr>
          <w:rFonts w:cs="Times New Roman"/>
          <w:sz w:val="20"/>
          <w:szCs w:val="20"/>
        </w:rPr>
      </w:pPr>
      <w:r w:rsidRPr="003D5F6A">
        <w:rPr>
          <w:rFonts w:cs="Times New Roman"/>
          <w:sz w:val="20"/>
          <w:szCs w:val="20"/>
          <w:vertAlign w:val="superscript"/>
        </w:rPr>
        <w:footnoteRef/>
      </w:r>
      <w:r w:rsidR="00DD37A2" w:rsidRPr="003D5F6A">
        <w:rPr>
          <w:rFonts w:cs="Times New Roman"/>
          <w:sz w:val="20"/>
          <w:szCs w:val="20"/>
        </w:rPr>
        <w:t xml:space="preserve"> </w:t>
      </w:r>
      <w:r w:rsidR="00DD37A2" w:rsidRPr="003D5F6A">
        <w:rPr>
          <w:rFonts w:cs="Times New Roman"/>
          <w:sz w:val="20"/>
          <w:szCs w:val="20"/>
        </w:rPr>
        <w:tab/>
      </w:r>
      <w:r w:rsidRPr="003D5F6A">
        <w:rPr>
          <w:rFonts w:cs="Times New Roman"/>
          <w:sz w:val="20"/>
          <w:szCs w:val="20"/>
        </w:rPr>
        <w:t>Using carbon pice projections as per PRIMES 87p_var3_v3</w:t>
      </w:r>
    </w:p>
  </w:footnote>
  <w:footnote w:id="59">
    <w:p w14:paraId="74FEC54E" w14:textId="243983DD"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Reduction of the GHG intensity of fuels (GFI) by at least a “Base target” of 8% in 2030, 30% in 2035 and 65% in 2040 and a more ambitious “Direct compliance target” of 21% GFI reduction in 2030 and 43% in 2035.</w:t>
      </w:r>
    </w:p>
  </w:footnote>
  <w:footnote w:id="60">
    <w:p w14:paraId="6CE44475" w14:textId="77777777" w:rsidR="00A71942" w:rsidRPr="003D5F6A" w:rsidDel="0024303D" w:rsidRDefault="00A71942" w:rsidP="00E276C8">
      <w:pPr>
        <w:pStyle w:val="FootnoteText"/>
        <w:spacing w:before="0" w:after="0" w:line="240" w:lineRule="auto"/>
        <w:ind w:left="357" w:hanging="357"/>
        <w:rPr>
          <w:rFonts w:cs="Times New Roman"/>
          <w:sz w:val="20"/>
          <w:szCs w:val="20"/>
        </w:rPr>
      </w:pPr>
    </w:p>
  </w:footnote>
  <w:footnote w:id="61">
    <w:p w14:paraId="0C2337EA" w14:textId="77777777" w:rsidR="00A71942" w:rsidRPr="003D5F6A" w:rsidDel="0024303D" w:rsidRDefault="00A71942" w:rsidP="00E276C8">
      <w:pPr>
        <w:pStyle w:val="FootnoteText"/>
        <w:spacing w:before="0" w:after="0" w:line="240" w:lineRule="auto"/>
        <w:ind w:left="357" w:hanging="357"/>
        <w:rPr>
          <w:rFonts w:cs="Times New Roman"/>
          <w:sz w:val="20"/>
          <w:szCs w:val="20"/>
          <w:lang w:val="en-IE"/>
        </w:rPr>
      </w:pPr>
    </w:p>
  </w:footnote>
  <w:footnote w:id="62">
    <w:p w14:paraId="3E24C5C7" w14:textId="4D848289"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SO1.2.1 is linked to P9, to consider if carbon removals can be integrated in the ETS as sub-objective of O1.2.</w:t>
      </w:r>
    </w:p>
  </w:footnote>
  <w:footnote w:id="63">
    <w:p w14:paraId="23C43EDB" w14:textId="6F90A605"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lang w:val="en-IE"/>
        </w:rPr>
        <w:t xml:space="preserve"> </w:t>
      </w:r>
      <w:r w:rsidR="00DF05E0" w:rsidRPr="003D5F6A">
        <w:rPr>
          <w:rFonts w:cs="Times New Roman"/>
          <w:sz w:val="20"/>
          <w:szCs w:val="20"/>
          <w:lang w:val="en-IE"/>
        </w:rPr>
        <w:tab/>
      </w:r>
      <w:r w:rsidRPr="003D5F6A">
        <w:rPr>
          <w:rFonts w:cs="Times New Roman"/>
          <w:sz w:val="20"/>
          <w:szCs w:val="20"/>
        </w:rPr>
        <w:t>IF can provide support via (1) ‘regular’ grants based on the evaluation of multiple award criteria and in form of the lump sum payments linked to reaching project’s milestones as early as of Financial Close and (2) auctions based on the price-only competition and in the form of unit cost contribution as of Entry into Operation and (3) financial instruments.</w:t>
      </w:r>
    </w:p>
  </w:footnote>
  <w:footnote w:id="64">
    <w:p w14:paraId="3AAC300D" w14:textId="1B3E0F5F"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As defined by the United Nations, except for those States with a GDP per capita equal or exceeding Union average.</w:t>
      </w:r>
    </w:p>
  </w:footnote>
  <w:footnote w:id="65">
    <w:p w14:paraId="7ABC2A0D" w14:textId="683AA2ED"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lang w:val="en-IE"/>
        </w:rPr>
        <w:t xml:space="preserve"> </w:t>
      </w:r>
      <w:r w:rsidR="00DF05E0" w:rsidRPr="003D5F6A">
        <w:rPr>
          <w:rFonts w:cs="Times New Roman"/>
          <w:sz w:val="20"/>
          <w:szCs w:val="20"/>
          <w:lang w:val="en-IE"/>
        </w:rPr>
        <w:tab/>
      </w:r>
      <w:r w:rsidRPr="003D5F6A">
        <w:rPr>
          <w:rFonts w:cs="Times New Roman"/>
          <w:sz w:val="20"/>
          <w:szCs w:val="20"/>
          <w:lang w:val="en-IE"/>
        </w:rPr>
        <w:t>The EU ETS carbon price would apply to any airline flying on that route.</w:t>
      </w:r>
    </w:p>
  </w:footnote>
  <w:footnote w:id="66">
    <w:p w14:paraId="1FA631EE" w14:textId="2C894B58"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The Commission assessment checks whether CORSIA has been implemented in national law by third countries, and whether it has been strengthened. See detail in the Annex 10, section 5.</w:t>
      </w:r>
    </w:p>
  </w:footnote>
  <w:footnote w:id="67">
    <w:p w14:paraId="45D63F04" w14:textId="2A1C425E" w:rsidR="00A71942" w:rsidRPr="003D5F6A" w:rsidRDefault="00A71942" w:rsidP="00E276C8">
      <w:pPr>
        <w:spacing w:before="0" w:after="0" w:line="240" w:lineRule="auto"/>
        <w:ind w:left="357" w:hanging="357"/>
        <w:rPr>
          <w:sz w:val="20"/>
          <w:szCs w:val="20"/>
        </w:rPr>
      </w:pPr>
      <w:r w:rsidRPr="003D5F6A">
        <w:rPr>
          <w:sz w:val="20"/>
          <w:szCs w:val="20"/>
          <w:vertAlign w:val="superscript"/>
        </w:rPr>
        <w:footnoteRef/>
      </w:r>
      <w:r w:rsidRPr="003D5F6A">
        <w:rPr>
          <w:sz w:val="20"/>
          <w:szCs w:val="20"/>
        </w:rPr>
        <w:t xml:space="preserve"> </w:t>
      </w:r>
      <w:r w:rsidR="00DF05E0" w:rsidRPr="003D5F6A">
        <w:rPr>
          <w:sz w:val="20"/>
          <w:szCs w:val="20"/>
        </w:rPr>
        <w:tab/>
      </w:r>
      <w:r w:rsidRPr="003D5F6A">
        <w:rPr>
          <w:sz w:val="20"/>
          <w:szCs w:val="20"/>
        </w:rPr>
        <w:t>Both CORSIA and the EU ETS exempt flights involving Least Developed Countries and Small Island Developing States. From January 2027, CORSIA should become mandatory for flights between 34 countries (resulting in offsetting above the baseline). Unless they voluntarily participate, flights involving other countries are not covered by CORSIA. As of 2025 and the latest list applicable for 2026, 130 countries voluntarily participate in CORSIA, accounting for 51% of 2024 emissions from international aviation.</w:t>
      </w:r>
    </w:p>
  </w:footnote>
  <w:footnote w:id="68">
    <w:p w14:paraId="473C6833" w14:textId="192AC9FF"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As of 2024, the CORSIA baseline is 85% of 2019 CO2 emissions, amounting to at least 516 million tonnes CO</w:t>
      </w:r>
      <w:r w:rsidRPr="003D5F6A">
        <w:rPr>
          <w:rFonts w:cs="Times New Roman"/>
          <w:sz w:val="20"/>
          <w:szCs w:val="20"/>
          <w:vertAlign w:val="subscript"/>
        </w:rPr>
        <w:t>2</w:t>
      </w:r>
      <w:r w:rsidRPr="003D5F6A">
        <w:rPr>
          <w:rFonts w:cs="Times New Roman"/>
          <w:sz w:val="20"/>
          <w:szCs w:val="20"/>
        </w:rPr>
        <w:t xml:space="preserve"> of international aviation emissions each year that are not addressed by CORSIA. Source: ICAO, </w:t>
      </w:r>
      <w:r w:rsidRPr="003D5F6A">
        <w:rPr>
          <w:rFonts w:cs="Times New Roman"/>
          <w:i/>
          <w:sz w:val="20"/>
          <w:szCs w:val="20"/>
        </w:rPr>
        <w:t>CORSIA Central Registry (CCR): Information and Data for Transparency, Part II: Total CO2 emissions for 2019 Aggregated for all Aeroplane Operators on each State Pair</w:t>
      </w:r>
      <w:r w:rsidRPr="003D5F6A">
        <w:rPr>
          <w:rFonts w:cs="Times New Roman"/>
          <w:sz w:val="20"/>
          <w:szCs w:val="20"/>
        </w:rPr>
        <w:t>, 2022.</w:t>
      </w:r>
    </w:p>
  </w:footnote>
  <w:footnote w:id="69">
    <w:p w14:paraId="73764E02" w14:textId="1993F7CF"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lang w:val="en-IE"/>
        </w:rPr>
        <w:t>The ETS would not apply if the destination is one of around 75 Least Developed Countries or Small Island Developing States (see footnote 15), countries where the ETS currently applies are not counted (EU27, EEA, flights to Switzerland).</w:t>
      </w:r>
    </w:p>
  </w:footnote>
  <w:footnote w:id="70">
    <w:p w14:paraId="1C9B88A2" w14:textId="5C966E34"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As foreseen by the ETS Directive Article 3c(6), penultimate paragraph.</w:t>
      </w:r>
    </w:p>
  </w:footnote>
  <w:footnote w:id="71">
    <w:p w14:paraId="15D56387" w14:textId="120EAEF7" w:rsidR="00A71942" w:rsidRPr="003D5F6A" w:rsidRDefault="00A71942" w:rsidP="00E276C8">
      <w:pPr>
        <w:pStyle w:val="FootnoteText"/>
        <w:spacing w:before="0" w:after="0" w:line="240" w:lineRule="auto"/>
        <w:ind w:left="357" w:hanging="357"/>
        <w:rPr>
          <w:rFonts w:cs="Times New Roman"/>
          <w:sz w:val="20"/>
          <w:szCs w:val="20"/>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 xml:space="preserve">Policy measure SI1 applies horizontally across the different policy options. </w:t>
      </w:r>
    </w:p>
  </w:footnote>
  <w:footnote w:id="72">
    <w:p w14:paraId="3658001F" w14:textId="3250C72E"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rPr>
        <w:t>Guidelines on certain State aid measures in the context of the system for greenhouse gas emission allowance trading post-2021 (2020/C 317/04)</w:t>
      </w:r>
    </w:p>
  </w:footnote>
  <w:footnote w:id="73">
    <w:p w14:paraId="69096313" w14:textId="5FF5EFFF"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rPr>
        <w:t xml:space="preserve"> </w:t>
      </w:r>
      <w:r w:rsidR="00DF05E0" w:rsidRPr="003D5F6A">
        <w:rPr>
          <w:rFonts w:cs="Times New Roman"/>
          <w:sz w:val="20"/>
          <w:szCs w:val="20"/>
        </w:rPr>
        <w:tab/>
      </w:r>
      <w:r w:rsidRPr="003D5F6A">
        <w:rPr>
          <w:rFonts w:cs="Times New Roman"/>
          <w:sz w:val="20"/>
          <w:szCs w:val="20"/>
          <w:lang w:val="en-IE"/>
        </w:rPr>
        <w:t>The assessment used data collected in the context of the Medium Combustion Plant Directive, as discussed in Annex 12</w:t>
      </w:r>
    </w:p>
  </w:footnote>
  <w:footnote w:id="74">
    <w:p w14:paraId="282ACA7D" w14:textId="790503FE" w:rsidR="00A71942" w:rsidRPr="003D5F6A" w:rsidRDefault="00A71942" w:rsidP="00E276C8">
      <w:pPr>
        <w:pStyle w:val="FootnoteText"/>
        <w:spacing w:before="0" w:after="0" w:line="240" w:lineRule="auto"/>
        <w:ind w:left="357" w:hanging="357"/>
        <w:rPr>
          <w:rFonts w:cs="Times New Roman"/>
          <w:sz w:val="20"/>
          <w:szCs w:val="20"/>
          <w:lang w:val="en-IE"/>
        </w:rPr>
      </w:pPr>
      <w:r w:rsidRPr="003D5F6A">
        <w:rPr>
          <w:rStyle w:val="FootnoteReference"/>
          <w:rFonts w:cs="Times New Roman"/>
          <w:sz w:val="20"/>
          <w:szCs w:val="20"/>
        </w:rPr>
        <w:footnoteRef/>
      </w:r>
      <w:r w:rsidRPr="003D5F6A">
        <w:rPr>
          <w:rFonts w:cs="Times New Roman"/>
          <w:sz w:val="20"/>
          <w:szCs w:val="20"/>
          <w:lang w:val="en-IE"/>
        </w:rPr>
        <w:t xml:space="preserve"> </w:t>
      </w:r>
      <w:r w:rsidR="00DF05E0" w:rsidRPr="003D5F6A">
        <w:rPr>
          <w:rFonts w:cs="Times New Roman"/>
          <w:sz w:val="20"/>
          <w:szCs w:val="20"/>
          <w:lang w:val="en-IE"/>
        </w:rPr>
        <w:tab/>
      </w:r>
      <w:r w:rsidRPr="003D5F6A">
        <w:rPr>
          <w:rFonts w:cs="Times New Roman"/>
          <w:sz w:val="20"/>
          <w:szCs w:val="20"/>
          <w:lang w:val="en-IE"/>
        </w:rPr>
        <w:t>The Renewable Energy Directive (</w:t>
      </w:r>
      <w:r w:rsidRPr="003D5F6A">
        <w:rPr>
          <w:rFonts w:cs="Times New Roman"/>
          <w:sz w:val="20"/>
          <w:szCs w:val="20"/>
        </w:rPr>
        <w:t xml:space="preserve">2018/2001), the ReFuelEU Aviation </w:t>
      </w:r>
      <w:r w:rsidRPr="003D5F6A">
        <w:rPr>
          <w:rFonts w:cs="Times New Roman"/>
          <w:sz w:val="20"/>
          <w:szCs w:val="20"/>
          <w:lang w:val="en-IE"/>
        </w:rPr>
        <w:t>Regulation (2023/2405)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C816" w14:textId="77777777" w:rsidR="00667FB1" w:rsidRPr="00667FB1" w:rsidRDefault="00667FB1" w:rsidP="00667F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2247" w14:textId="77777777" w:rsidR="00667FB1" w:rsidRPr="00667FB1" w:rsidRDefault="00667FB1" w:rsidP="00667F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D19F" w14:textId="77777777" w:rsidR="00667FB1" w:rsidRPr="00667FB1" w:rsidRDefault="00667FB1" w:rsidP="00667F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0342" w14:textId="77777777" w:rsidR="00667FB1" w:rsidRDefault="00667F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31A5" w14:textId="77777777" w:rsidR="00667FB1" w:rsidRDefault="00667F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75B1" w14:textId="77777777" w:rsidR="00667FB1" w:rsidRDefault="00667F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5CC4" w14:textId="77777777" w:rsidR="00A71942" w:rsidRDefault="00A7194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20D75" w14:textId="77777777" w:rsidR="00A71942" w:rsidRPr="006B4A62" w:rsidRDefault="00A71942">
    <w:pPr>
      <w:pStyle w:val="HeaderLog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A1D2" w14:textId="77777777" w:rsidR="00A71942" w:rsidRDefault="00A71942">
    <w:pPr>
      <w:pStyle w:val="Header"/>
      <w:jc w:val="center"/>
    </w:pPr>
  </w:p>
  <w:p w14:paraId="6385E59B" w14:textId="77777777" w:rsidR="00A71942" w:rsidRDefault="00A719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10B5" w14:textId="77777777" w:rsidR="003B24BC" w:rsidRPr="006B4A62" w:rsidRDefault="003B24BC">
    <w:pPr>
      <w:pStyle w:val="HeaderLog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0665" w14:textId="77777777" w:rsidR="003B24BC" w:rsidRPr="006B4A62" w:rsidRDefault="003B24BC">
    <w:pPr>
      <w:pStyle w:val="HeaderLog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2273" w14:textId="77777777" w:rsidR="003B24BC" w:rsidRDefault="003B24BC">
    <w:pPr>
      <w:pStyle w:val="Header"/>
      <w:jc w:val="center"/>
    </w:pPr>
  </w:p>
  <w:p w14:paraId="7CA4942E" w14:textId="77777777" w:rsidR="003B24BC" w:rsidRDefault="003B24B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CA5B" w14:textId="77777777" w:rsidR="003B24BC" w:rsidRPr="006B4A62" w:rsidRDefault="003B24BC">
    <w:pPr>
      <w:pStyle w:val="HeaderLog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47BD" w14:textId="77777777" w:rsidR="003B24BC" w:rsidRDefault="003B24BC">
    <w:pPr>
      <w:pStyle w:val="Header"/>
      <w:jc w:val="center"/>
    </w:pPr>
  </w:p>
  <w:p w14:paraId="71F1F519" w14:textId="77777777" w:rsidR="003B24BC" w:rsidRDefault="003B24B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9582" w14:textId="77777777" w:rsidR="003B24BC" w:rsidRPr="006B4A62" w:rsidRDefault="003B24BC">
    <w:pPr>
      <w:pStyle w:val="HeaderLog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0900" w14:textId="77777777" w:rsidR="003B24BC" w:rsidRDefault="003B24BC">
    <w:pPr>
      <w:pStyle w:val="Header"/>
      <w:jc w:val="center"/>
    </w:pPr>
  </w:p>
  <w:p w14:paraId="57B537F0" w14:textId="77777777" w:rsidR="003B24BC" w:rsidRDefault="003B24B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D7B0" w14:textId="77777777" w:rsidR="003B24BC" w:rsidRPr="006B4A62" w:rsidRDefault="003B24BC">
    <w:pPr>
      <w:pStyle w:val="HeaderLog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D98A" w14:textId="77777777" w:rsidR="003B24BC" w:rsidRDefault="003B24BC">
    <w:pPr>
      <w:pStyle w:val="Header"/>
      <w:jc w:val="center"/>
    </w:pPr>
  </w:p>
  <w:p w14:paraId="50E25840" w14:textId="77777777" w:rsidR="003B24BC" w:rsidRDefault="003B24B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48A8" w14:textId="77777777" w:rsidR="003B24BC" w:rsidRPr="000653A9" w:rsidRDefault="003B24BC" w:rsidP="00F73B5B">
    <w:pPr>
      <w:pStyle w:val="HeaderLog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5FA7"/>
    <w:multiLevelType w:val="hybridMultilevel"/>
    <w:tmpl w:val="CD2E1C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612D2D"/>
    <w:multiLevelType w:val="hybridMultilevel"/>
    <w:tmpl w:val="C48CEC5E"/>
    <w:lvl w:ilvl="0" w:tplc="1809000F">
      <w:start w:val="1"/>
      <w:numFmt w:val="decimal"/>
      <w:lvlText w:val="%1."/>
      <w:lvlJc w:val="left"/>
      <w:pPr>
        <w:ind w:left="1364" w:hanging="72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5AE0F35"/>
    <w:multiLevelType w:val="multilevel"/>
    <w:tmpl w:val="26CE0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26868"/>
    <w:multiLevelType w:val="hybridMultilevel"/>
    <w:tmpl w:val="6A76CE3E"/>
    <w:lvl w:ilvl="0" w:tplc="08B0B746">
      <w:start w:val="1"/>
      <w:numFmt w:val="bullet"/>
      <w:lvlText w:val=""/>
      <w:lvlJc w:val="left"/>
      <w:pPr>
        <w:ind w:left="720" w:hanging="360"/>
      </w:pPr>
      <w:rPr>
        <w:rFonts w:ascii="Symbol" w:hAnsi="Symbol" w:hint="default"/>
      </w:rPr>
    </w:lvl>
    <w:lvl w:ilvl="1" w:tplc="7E1A1F64" w:tentative="1">
      <w:start w:val="1"/>
      <w:numFmt w:val="bullet"/>
      <w:lvlText w:val="o"/>
      <w:lvlJc w:val="left"/>
      <w:pPr>
        <w:ind w:left="1440" w:hanging="360"/>
      </w:pPr>
      <w:rPr>
        <w:rFonts w:ascii="Courier New" w:hAnsi="Courier New" w:hint="default"/>
      </w:rPr>
    </w:lvl>
    <w:lvl w:ilvl="2" w:tplc="ABD8EFC6" w:tentative="1">
      <w:start w:val="1"/>
      <w:numFmt w:val="bullet"/>
      <w:lvlText w:val=""/>
      <w:lvlJc w:val="left"/>
      <w:pPr>
        <w:ind w:left="2160" w:hanging="360"/>
      </w:pPr>
      <w:rPr>
        <w:rFonts w:ascii="Wingdings" w:hAnsi="Wingdings" w:hint="default"/>
      </w:rPr>
    </w:lvl>
    <w:lvl w:ilvl="3" w:tplc="112E52F0" w:tentative="1">
      <w:start w:val="1"/>
      <w:numFmt w:val="bullet"/>
      <w:lvlText w:val=""/>
      <w:lvlJc w:val="left"/>
      <w:pPr>
        <w:ind w:left="2880" w:hanging="360"/>
      </w:pPr>
      <w:rPr>
        <w:rFonts w:ascii="Symbol" w:hAnsi="Symbol" w:hint="default"/>
      </w:rPr>
    </w:lvl>
    <w:lvl w:ilvl="4" w:tplc="1D802238" w:tentative="1">
      <w:start w:val="1"/>
      <w:numFmt w:val="bullet"/>
      <w:lvlText w:val="o"/>
      <w:lvlJc w:val="left"/>
      <w:pPr>
        <w:ind w:left="3600" w:hanging="360"/>
      </w:pPr>
      <w:rPr>
        <w:rFonts w:ascii="Courier New" w:hAnsi="Courier New" w:hint="default"/>
      </w:rPr>
    </w:lvl>
    <w:lvl w:ilvl="5" w:tplc="3E2C9746" w:tentative="1">
      <w:start w:val="1"/>
      <w:numFmt w:val="bullet"/>
      <w:lvlText w:val=""/>
      <w:lvlJc w:val="left"/>
      <w:pPr>
        <w:ind w:left="4320" w:hanging="360"/>
      </w:pPr>
      <w:rPr>
        <w:rFonts w:ascii="Wingdings" w:hAnsi="Wingdings" w:hint="default"/>
      </w:rPr>
    </w:lvl>
    <w:lvl w:ilvl="6" w:tplc="DBE6B488" w:tentative="1">
      <w:start w:val="1"/>
      <w:numFmt w:val="bullet"/>
      <w:lvlText w:val=""/>
      <w:lvlJc w:val="left"/>
      <w:pPr>
        <w:ind w:left="5040" w:hanging="360"/>
      </w:pPr>
      <w:rPr>
        <w:rFonts w:ascii="Symbol" w:hAnsi="Symbol" w:hint="default"/>
      </w:rPr>
    </w:lvl>
    <w:lvl w:ilvl="7" w:tplc="5C22F550" w:tentative="1">
      <w:start w:val="1"/>
      <w:numFmt w:val="bullet"/>
      <w:lvlText w:val="o"/>
      <w:lvlJc w:val="left"/>
      <w:pPr>
        <w:ind w:left="5760" w:hanging="360"/>
      </w:pPr>
      <w:rPr>
        <w:rFonts w:ascii="Courier New" w:hAnsi="Courier New" w:hint="default"/>
      </w:rPr>
    </w:lvl>
    <w:lvl w:ilvl="8" w:tplc="B4F0ECC0"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B1E4085C"/>
    <w:name w:val="ListNumber3Numbering"/>
    <w:lvl w:ilvl="0">
      <w:start w:val="1"/>
      <w:numFmt w:val="decimal"/>
      <w:pStyle w:val="ListBulletLevel3"/>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Italic" w:hAnsi="Times New Roman,Italic"/>
      </w:rPr>
    </w:lvl>
    <w:lvl w:ilvl="3">
      <w:start w:val="1"/>
      <w:numFmt w:val="bullet"/>
      <w:lvlText w:val=""/>
      <w:lvlJc w:val="left"/>
      <w:pPr>
        <w:tabs>
          <w:tab w:val="num" w:pos="4037"/>
        </w:tabs>
        <w:ind w:left="4037" w:hanging="709"/>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0C75897"/>
    <w:multiLevelType w:val="multilevel"/>
    <w:tmpl w:val="57DE4F2A"/>
    <w:styleLink w:val="ArticleSection"/>
    <w:lvl w:ilvl="0">
      <w:start w:val="1"/>
      <w:numFmt w:val="upperLetter"/>
      <w:pStyle w:val="AppendixTitle"/>
      <w:lvlText w:val="Appendix %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737" w:hanging="737"/>
      </w:pPr>
      <w:rPr>
        <w:rFonts w:hint="default"/>
      </w:rPr>
    </w:lvl>
    <w:lvl w:ilvl="3">
      <w:start w:val="1"/>
      <w:numFmt w:val="decimal"/>
      <w:pStyle w:val="Appendix3"/>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6" w15:restartNumberingAfterBreak="0">
    <w:nsid w:val="120B7201"/>
    <w:multiLevelType w:val="multilevel"/>
    <w:tmpl w:val="B178F32E"/>
    <w:name w:val="ListNumberNumbering"/>
    <w:lvl w:ilvl="0">
      <w:start w:val="1"/>
      <w:numFmt w:val="decimal"/>
      <w:pStyle w:val="TableTitle2"/>
      <w:lvlText w:val="(%1)"/>
      <w:lvlJc w:val="left"/>
      <w:pPr>
        <w:tabs>
          <w:tab w:val="num" w:pos="709"/>
        </w:tabs>
        <w:ind w:left="709" w:hanging="709"/>
      </w:pPr>
    </w:lvl>
    <w:lvl w:ilvl="1">
      <w:start w:val="1"/>
      <w:numFmt w:val="lowerLetter"/>
      <w:pStyle w:val="TableTitle3"/>
      <w:lvlText w:val="(%2)"/>
      <w:lvlJc w:val="left"/>
      <w:pPr>
        <w:tabs>
          <w:tab w:val="num" w:pos="1417"/>
        </w:tabs>
        <w:ind w:left="1417" w:hanging="708"/>
      </w:pPr>
    </w:lvl>
    <w:lvl w:ilvl="2">
      <w:start w:val="1"/>
      <w:numFmt w:val="bullet"/>
      <w:pStyle w:val="TableTitle4"/>
      <w:lvlText w:val="–"/>
      <w:lvlJc w:val="left"/>
      <w:pPr>
        <w:tabs>
          <w:tab w:val="num" w:pos="2126"/>
        </w:tabs>
        <w:ind w:left="2126" w:hanging="709"/>
      </w:pPr>
      <w:rPr>
        <w:rFonts w:ascii="Times New Roman,Italic" w:hAnsi="Times New Roman,Italic"/>
      </w:rPr>
    </w:lvl>
    <w:lvl w:ilvl="3">
      <w:start w:val="1"/>
      <w:numFmt w:val="bullet"/>
      <w:pStyle w:val="FigureBody1"/>
      <w:lvlText w:val=""/>
      <w:lvlJc w:val="left"/>
      <w:pPr>
        <w:tabs>
          <w:tab w:val="num" w:pos="2835"/>
        </w:tabs>
        <w:ind w:left="2835" w:hanging="709"/>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21417D"/>
    <w:multiLevelType w:val="hybridMultilevel"/>
    <w:tmpl w:val="687A6C66"/>
    <w:lvl w:ilvl="0" w:tplc="F2320C76">
      <w:start w:val="1"/>
      <w:numFmt w:val="bullet"/>
      <w:lvlText w:val="-"/>
      <w:lvlJc w:val="left"/>
      <w:pPr>
        <w:ind w:left="720" w:hanging="360"/>
      </w:pPr>
      <w:rPr>
        <w:rFonts w:ascii="&quot;Aptos&quot;,sans-serif" w:hAnsi="&quot;Aptos&quot;,sans-serif" w:hint="default"/>
      </w:rPr>
    </w:lvl>
    <w:lvl w:ilvl="1" w:tplc="7A440834">
      <w:start w:val="1"/>
      <w:numFmt w:val="bullet"/>
      <w:lvlText w:val="o"/>
      <w:lvlJc w:val="left"/>
      <w:pPr>
        <w:ind w:left="1440" w:hanging="360"/>
      </w:pPr>
      <w:rPr>
        <w:rFonts w:ascii="Courier New" w:hAnsi="Courier New" w:hint="default"/>
      </w:rPr>
    </w:lvl>
    <w:lvl w:ilvl="2" w:tplc="05EC7B98">
      <w:start w:val="1"/>
      <w:numFmt w:val="bullet"/>
      <w:lvlText w:val=""/>
      <w:lvlJc w:val="left"/>
      <w:pPr>
        <w:ind w:left="2160" w:hanging="360"/>
      </w:pPr>
      <w:rPr>
        <w:rFonts w:ascii="Wingdings" w:hAnsi="Wingdings" w:hint="default"/>
      </w:rPr>
    </w:lvl>
    <w:lvl w:ilvl="3" w:tplc="D1ECE5E8">
      <w:start w:val="1"/>
      <w:numFmt w:val="bullet"/>
      <w:lvlText w:val=""/>
      <w:lvlJc w:val="left"/>
      <w:pPr>
        <w:ind w:left="2880" w:hanging="360"/>
      </w:pPr>
      <w:rPr>
        <w:rFonts w:ascii="Symbol" w:hAnsi="Symbol" w:hint="default"/>
      </w:rPr>
    </w:lvl>
    <w:lvl w:ilvl="4" w:tplc="AED6DA3A">
      <w:start w:val="1"/>
      <w:numFmt w:val="bullet"/>
      <w:lvlText w:val="o"/>
      <w:lvlJc w:val="left"/>
      <w:pPr>
        <w:ind w:left="3600" w:hanging="360"/>
      </w:pPr>
      <w:rPr>
        <w:rFonts w:ascii="Courier New" w:hAnsi="Courier New" w:hint="default"/>
      </w:rPr>
    </w:lvl>
    <w:lvl w:ilvl="5" w:tplc="7DDA936E">
      <w:start w:val="1"/>
      <w:numFmt w:val="bullet"/>
      <w:lvlText w:val=""/>
      <w:lvlJc w:val="left"/>
      <w:pPr>
        <w:ind w:left="4320" w:hanging="360"/>
      </w:pPr>
      <w:rPr>
        <w:rFonts w:ascii="Wingdings" w:hAnsi="Wingdings" w:hint="default"/>
      </w:rPr>
    </w:lvl>
    <w:lvl w:ilvl="6" w:tplc="747AC9DE">
      <w:start w:val="1"/>
      <w:numFmt w:val="bullet"/>
      <w:lvlText w:val=""/>
      <w:lvlJc w:val="left"/>
      <w:pPr>
        <w:ind w:left="5040" w:hanging="360"/>
      </w:pPr>
      <w:rPr>
        <w:rFonts w:ascii="Symbol" w:hAnsi="Symbol" w:hint="default"/>
      </w:rPr>
    </w:lvl>
    <w:lvl w:ilvl="7" w:tplc="F13AD4CE">
      <w:start w:val="1"/>
      <w:numFmt w:val="bullet"/>
      <w:lvlText w:val="o"/>
      <w:lvlJc w:val="left"/>
      <w:pPr>
        <w:ind w:left="5760" w:hanging="360"/>
      </w:pPr>
      <w:rPr>
        <w:rFonts w:ascii="Courier New" w:hAnsi="Courier New" w:hint="default"/>
      </w:rPr>
    </w:lvl>
    <w:lvl w:ilvl="8" w:tplc="9DCE80C0">
      <w:start w:val="1"/>
      <w:numFmt w:val="bullet"/>
      <w:lvlText w:val=""/>
      <w:lvlJc w:val="left"/>
      <w:pPr>
        <w:ind w:left="6480" w:hanging="360"/>
      </w:pPr>
      <w:rPr>
        <w:rFonts w:ascii="Wingdings" w:hAnsi="Wingdings" w:hint="default"/>
      </w:rPr>
    </w:lvl>
  </w:abstractNum>
  <w:abstractNum w:abstractNumId="8" w15:restartNumberingAfterBreak="0">
    <w:nsid w:val="1262685D"/>
    <w:multiLevelType w:val="multilevel"/>
    <w:tmpl w:val="BCD4CB76"/>
    <w:name w:val="ListBullet4Numbering"/>
    <w:lvl w:ilvl="0">
      <w:start w:val="1"/>
      <w:numFmt w:val="bullet"/>
      <w:pStyle w:val="SignatureL"/>
      <w:lvlText w:val=""/>
      <w:lvlJc w:val="left"/>
      <w:pPr>
        <w:tabs>
          <w:tab w:val="num" w:pos="1485"/>
        </w:tabs>
        <w:ind w:left="1485" w:hanging="283"/>
      </w:pPr>
      <w:rPr>
        <w:rFonts w:ascii="Georgia" w:hAnsi="Georgia"/>
      </w:rPr>
    </w:lvl>
    <w:lvl w:ilvl="1">
      <w:start w:val="1"/>
      <w:numFmt w:val="bullet"/>
      <w:pStyle w:val="SubTitle1"/>
      <w:lvlText w:val=""/>
      <w:lvlJc w:val="left"/>
      <w:pPr>
        <w:tabs>
          <w:tab w:val="num" w:pos="1769"/>
        </w:tabs>
        <w:ind w:left="1769" w:hanging="284"/>
      </w:pPr>
      <w:rPr>
        <w:rFonts w:ascii="Georgia" w:hAnsi="Georgia"/>
      </w:rPr>
    </w:lvl>
    <w:lvl w:ilvl="2">
      <w:start w:val="1"/>
      <w:numFmt w:val="bullet"/>
      <w:pStyle w:val="SubTitle2"/>
      <w:lvlText w:val=""/>
      <w:lvlJc w:val="left"/>
      <w:pPr>
        <w:tabs>
          <w:tab w:val="num" w:pos="2052"/>
        </w:tabs>
        <w:ind w:left="2052" w:hanging="283"/>
      </w:pPr>
      <w:rPr>
        <w:rFonts w:ascii="Georgia" w:hAnsi="Georgia"/>
      </w:rPr>
    </w:lvl>
    <w:lvl w:ilvl="3">
      <w:start w:val="1"/>
      <w:numFmt w:val="bullet"/>
      <w:pStyle w:val="TableListBullet"/>
      <w:lvlText w:val=""/>
      <w:lvlJc w:val="left"/>
      <w:pPr>
        <w:tabs>
          <w:tab w:val="num" w:pos="2336"/>
        </w:tabs>
        <w:ind w:left="2336" w:hanging="284"/>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1B224D"/>
    <w:multiLevelType w:val="hybridMultilevel"/>
    <w:tmpl w:val="454034DA"/>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0" w15:restartNumberingAfterBreak="0">
    <w:nsid w:val="152BD7D7"/>
    <w:multiLevelType w:val="hybridMultilevel"/>
    <w:tmpl w:val="FFFFFFFF"/>
    <w:lvl w:ilvl="0" w:tplc="6568E0BC">
      <w:start w:val="1"/>
      <w:numFmt w:val="bullet"/>
      <w:lvlText w:val=""/>
      <w:lvlJc w:val="left"/>
      <w:pPr>
        <w:ind w:left="720" w:hanging="360"/>
      </w:pPr>
      <w:rPr>
        <w:rFonts w:ascii="Symbol" w:hAnsi="Symbol" w:hint="default"/>
      </w:rPr>
    </w:lvl>
    <w:lvl w:ilvl="1" w:tplc="2F8C841E">
      <w:start w:val="1"/>
      <w:numFmt w:val="bullet"/>
      <w:lvlText w:val="o"/>
      <w:lvlJc w:val="left"/>
      <w:pPr>
        <w:ind w:left="1440" w:hanging="360"/>
      </w:pPr>
      <w:rPr>
        <w:rFonts w:ascii="Courier New" w:hAnsi="Courier New" w:hint="default"/>
      </w:rPr>
    </w:lvl>
    <w:lvl w:ilvl="2" w:tplc="F8BA8968">
      <w:start w:val="1"/>
      <w:numFmt w:val="bullet"/>
      <w:lvlText w:val=""/>
      <w:lvlJc w:val="left"/>
      <w:pPr>
        <w:ind w:left="2160" w:hanging="360"/>
      </w:pPr>
      <w:rPr>
        <w:rFonts w:ascii="Wingdings" w:hAnsi="Wingdings" w:hint="default"/>
      </w:rPr>
    </w:lvl>
    <w:lvl w:ilvl="3" w:tplc="C2220B0E">
      <w:start w:val="1"/>
      <w:numFmt w:val="bullet"/>
      <w:lvlText w:val=""/>
      <w:lvlJc w:val="left"/>
      <w:pPr>
        <w:ind w:left="2880" w:hanging="360"/>
      </w:pPr>
      <w:rPr>
        <w:rFonts w:ascii="Symbol" w:hAnsi="Symbol" w:hint="default"/>
      </w:rPr>
    </w:lvl>
    <w:lvl w:ilvl="4" w:tplc="964EB190">
      <w:start w:val="1"/>
      <w:numFmt w:val="bullet"/>
      <w:lvlText w:val="o"/>
      <w:lvlJc w:val="left"/>
      <w:pPr>
        <w:ind w:left="3600" w:hanging="360"/>
      </w:pPr>
      <w:rPr>
        <w:rFonts w:ascii="Courier New" w:hAnsi="Courier New" w:hint="default"/>
      </w:rPr>
    </w:lvl>
    <w:lvl w:ilvl="5" w:tplc="87CE6792">
      <w:start w:val="1"/>
      <w:numFmt w:val="bullet"/>
      <w:lvlText w:val=""/>
      <w:lvlJc w:val="left"/>
      <w:pPr>
        <w:ind w:left="4320" w:hanging="360"/>
      </w:pPr>
      <w:rPr>
        <w:rFonts w:ascii="Wingdings" w:hAnsi="Wingdings" w:hint="default"/>
      </w:rPr>
    </w:lvl>
    <w:lvl w:ilvl="6" w:tplc="C206EE78">
      <w:start w:val="1"/>
      <w:numFmt w:val="bullet"/>
      <w:lvlText w:val=""/>
      <w:lvlJc w:val="left"/>
      <w:pPr>
        <w:ind w:left="5040" w:hanging="360"/>
      </w:pPr>
      <w:rPr>
        <w:rFonts w:ascii="Symbol" w:hAnsi="Symbol" w:hint="default"/>
      </w:rPr>
    </w:lvl>
    <w:lvl w:ilvl="7" w:tplc="3AA073E4">
      <w:start w:val="1"/>
      <w:numFmt w:val="bullet"/>
      <w:lvlText w:val="o"/>
      <w:lvlJc w:val="left"/>
      <w:pPr>
        <w:ind w:left="5760" w:hanging="360"/>
      </w:pPr>
      <w:rPr>
        <w:rFonts w:ascii="Courier New" w:hAnsi="Courier New" w:hint="default"/>
      </w:rPr>
    </w:lvl>
    <w:lvl w:ilvl="8" w:tplc="8422ACCE">
      <w:start w:val="1"/>
      <w:numFmt w:val="bullet"/>
      <w:lvlText w:val=""/>
      <w:lvlJc w:val="left"/>
      <w:pPr>
        <w:ind w:left="6480" w:hanging="360"/>
      </w:pPr>
      <w:rPr>
        <w:rFonts w:ascii="Wingdings" w:hAnsi="Wingdings" w:hint="default"/>
      </w:rPr>
    </w:lvl>
  </w:abstractNum>
  <w:abstractNum w:abstractNumId="11" w15:restartNumberingAfterBreak="0">
    <w:nsid w:val="172F0AC5"/>
    <w:multiLevelType w:val="multilevel"/>
    <w:tmpl w:val="F6BA0384"/>
    <w:name w:val="ListNumber2Numbering"/>
    <w:lvl w:ilvl="0">
      <w:start w:val="1"/>
      <w:numFmt w:val="decimal"/>
      <w:pStyle w:val="ListBullet1Level2"/>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Italic" w:hAnsi="Times New Roman,Italic"/>
      </w:rPr>
    </w:lvl>
    <w:lvl w:ilvl="3">
      <w:start w:val="1"/>
      <w:numFmt w:val="bullet"/>
      <w:lvlText w:val=""/>
      <w:lvlJc w:val="left"/>
      <w:pPr>
        <w:tabs>
          <w:tab w:val="num" w:pos="4037"/>
        </w:tabs>
        <w:ind w:left="4037" w:hanging="709"/>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7C93631"/>
    <w:multiLevelType w:val="multilevel"/>
    <w:tmpl w:val="D8EEC6B2"/>
    <w:styleLink w:val="adeListeNumeinfach"/>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474" w:hanging="737"/>
      </w:pPr>
      <w:rPr>
        <w:rFonts w:hint="default"/>
      </w:rPr>
    </w:lvl>
    <w:lvl w:ilvl="3">
      <w:start w:val="1"/>
      <w:numFmt w:val="decimal"/>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13" w15:restartNumberingAfterBreak="0">
    <w:nsid w:val="18257F3F"/>
    <w:multiLevelType w:val="multilevel"/>
    <w:tmpl w:val="F354A5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D38B6"/>
    <w:multiLevelType w:val="hybridMultilevel"/>
    <w:tmpl w:val="96EAF4D6"/>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7B624F"/>
    <w:multiLevelType w:val="multilevel"/>
    <w:tmpl w:val="C624110A"/>
    <w:name w:val="ListDash2Numbering"/>
    <w:lvl w:ilvl="0">
      <w:start w:val="1"/>
      <w:numFmt w:val="bullet"/>
      <w:pStyle w:val="TableListNumberLevel2"/>
      <w:lvlText w:val="–"/>
      <w:lvlJc w:val="left"/>
      <w:pPr>
        <w:tabs>
          <w:tab w:val="num" w:pos="1485"/>
        </w:tabs>
        <w:ind w:left="1485" w:hanging="283"/>
      </w:pPr>
      <w:rPr>
        <w:rFonts w:ascii="Times New Roman,Italic" w:hAnsi="Times New Roman,Italic"/>
      </w:rPr>
    </w:lvl>
    <w:lvl w:ilvl="1">
      <w:start w:val="1"/>
      <w:numFmt w:val="bullet"/>
      <w:pStyle w:val="FigureTitle1"/>
      <w:lvlText w:val="–"/>
      <w:lvlJc w:val="left"/>
      <w:pPr>
        <w:tabs>
          <w:tab w:val="num" w:pos="1769"/>
        </w:tabs>
        <w:ind w:left="1769" w:hanging="284"/>
      </w:pPr>
      <w:rPr>
        <w:rFonts w:ascii="Times New Roman,Italic" w:hAnsi="Times New Roman,Italic"/>
      </w:rPr>
    </w:lvl>
    <w:lvl w:ilvl="2">
      <w:start w:val="1"/>
      <w:numFmt w:val="bullet"/>
      <w:pStyle w:val="TableListNumberLevel3"/>
      <w:lvlText w:val="–"/>
      <w:lvlJc w:val="left"/>
      <w:pPr>
        <w:tabs>
          <w:tab w:val="num" w:pos="2052"/>
        </w:tabs>
        <w:ind w:left="2052" w:hanging="283"/>
      </w:pPr>
      <w:rPr>
        <w:rFonts w:ascii="Times New Roman,Italic" w:hAnsi="Times New Roman,Italic"/>
      </w:rPr>
    </w:lvl>
    <w:lvl w:ilvl="3">
      <w:start w:val="1"/>
      <w:numFmt w:val="bullet"/>
      <w:pStyle w:val="TableListNumberLevel4"/>
      <w:lvlText w:val="–"/>
      <w:lvlJc w:val="left"/>
      <w:pPr>
        <w:tabs>
          <w:tab w:val="num" w:pos="2336"/>
        </w:tabs>
        <w:ind w:left="2336" w:hanging="284"/>
      </w:pPr>
      <w:rPr>
        <w:rFonts w:ascii="Times New Roman,Italic" w:hAnsi="Times New Roman,Italic"/>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D231000"/>
    <w:multiLevelType w:val="hybridMultilevel"/>
    <w:tmpl w:val="A3961DFA"/>
    <w:lvl w:ilvl="0" w:tplc="429817BA">
      <w:start w:val="1"/>
      <w:numFmt w:val="decimal"/>
      <w:lvlText w:val="(%1)"/>
      <w:lvlJc w:val="left"/>
      <w:pPr>
        <w:ind w:left="1323" w:hanging="360"/>
      </w:pPr>
      <w:rPr>
        <w:rFonts w:eastAsia="Verdana" w:hint="default"/>
        <w:b/>
      </w:rPr>
    </w:lvl>
    <w:lvl w:ilvl="1" w:tplc="18090019" w:tentative="1">
      <w:start w:val="1"/>
      <w:numFmt w:val="lowerLetter"/>
      <w:lvlText w:val="%2."/>
      <w:lvlJc w:val="left"/>
      <w:pPr>
        <w:ind w:left="2043" w:hanging="360"/>
      </w:pPr>
    </w:lvl>
    <w:lvl w:ilvl="2" w:tplc="1809001B" w:tentative="1">
      <w:start w:val="1"/>
      <w:numFmt w:val="lowerRoman"/>
      <w:lvlText w:val="%3."/>
      <w:lvlJc w:val="right"/>
      <w:pPr>
        <w:ind w:left="2763" w:hanging="180"/>
      </w:pPr>
    </w:lvl>
    <w:lvl w:ilvl="3" w:tplc="1809000F" w:tentative="1">
      <w:start w:val="1"/>
      <w:numFmt w:val="decimal"/>
      <w:lvlText w:val="%4."/>
      <w:lvlJc w:val="left"/>
      <w:pPr>
        <w:ind w:left="3483" w:hanging="360"/>
      </w:pPr>
    </w:lvl>
    <w:lvl w:ilvl="4" w:tplc="18090019" w:tentative="1">
      <w:start w:val="1"/>
      <w:numFmt w:val="lowerLetter"/>
      <w:lvlText w:val="%5."/>
      <w:lvlJc w:val="left"/>
      <w:pPr>
        <w:ind w:left="4203" w:hanging="360"/>
      </w:pPr>
    </w:lvl>
    <w:lvl w:ilvl="5" w:tplc="1809001B" w:tentative="1">
      <w:start w:val="1"/>
      <w:numFmt w:val="lowerRoman"/>
      <w:lvlText w:val="%6."/>
      <w:lvlJc w:val="right"/>
      <w:pPr>
        <w:ind w:left="4923" w:hanging="180"/>
      </w:pPr>
    </w:lvl>
    <w:lvl w:ilvl="6" w:tplc="1809000F" w:tentative="1">
      <w:start w:val="1"/>
      <w:numFmt w:val="decimal"/>
      <w:lvlText w:val="%7."/>
      <w:lvlJc w:val="left"/>
      <w:pPr>
        <w:ind w:left="5643" w:hanging="360"/>
      </w:pPr>
    </w:lvl>
    <w:lvl w:ilvl="7" w:tplc="18090019" w:tentative="1">
      <w:start w:val="1"/>
      <w:numFmt w:val="lowerLetter"/>
      <w:lvlText w:val="%8."/>
      <w:lvlJc w:val="left"/>
      <w:pPr>
        <w:ind w:left="6363" w:hanging="360"/>
      </w:pPr>
    </w:lvl>
    <w:lvl w:ilvl="8" w:tplc="1809001B" w:tentative="1">
      <w:start w:val="1"/>
      <w:numFmt w:val="lowerRoman"/>
      <w:lvlText w:val="%9."/>
      <w:lvlJc w:val="right"/>
      <w:pPr>
        <w:ind w:left="7083" w:hanging="180"/>
      </w:pPr>
    </w:lvl>
  </w:abstractNum>
  <w:abstractNum w:abstractNumId="17" w15:restartNumberingAfterBreak="0">
    <w:nsid w:val="1EE3DF08"/>
    <w:multiLevelType w:val="multilevel"/>
    <w:tmpl w:val="51DA6B62"/>
    <w:styleLink w:val="LRRHeadings"/>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D34878"/>
    <w:multiLevelType w:val="hybridMultilevel"/>
    <w:tmpl w:val="B4FA868E"/>
    <w:lvl w:ilvl="0" w:tplc="B5DE7572">
      <w:start w:val="19"/>
      <w:numFmt w:val="bullet"/>
      <w:lvlText w:val="-"/>
      <w:lvlJc w:val="left"/>
      <w:pPr>
        <w:ind w:left="720" w:hanging="360"/>
      </w:pPr>
      <w:rPr>
        <w:rFonts w:ascii="Arial" w:eastAsia="Arial"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26605E3A"/>
    <w:multiLevelType w:val="hybridMultilevel"/>
    <w:tmpl w:val="473416AE"/>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20" w15:restartNumberingAfterBreak="0">
    <w:nsid w:val="27B8049D"/>
    <w:multiLevelType w:val="hybridMultilevel"/>
    <w:tmpl w:val="3B56C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7E37195"/>
    <w:multiLevelType w:val="hybridMultilevel"/>
    <w:tmpl w:val="3FC83E06"/>
    <w:lvl w:ilvl="0" w:tplc="0B18D4F6">
      <w:start w:val="1"/>
      <w:numFmt w:val="bullet"/>
      <w:lvlText w:val=""/>
      <w:lvlJc w:val="left"/>
      <w:pPr>
        <w:ind w:left="720" w:hanging="360"/>
      </w:pPr>
      <w:rPr>
        <w:rFonts w:ascii="Symbol" w:hAnsi="Symbol" w:hint="default"/>
      </w:rPr>
    </w:lvl>
    <w:lvl w:ilvl="1" w:tplc="8DF6C080" w:tentative="1">
      <w:start w:val="1"/>
      <w:numFmt w:val="bullet"/>
      <w:lvlText w:val="o"/>
      <w:lvlJc w:val="left"/>
      <w:pPr>
        <w:ind w:left="1440" w:hanging="360"/>
      </w:pPr>
      <w:rPr>
        <w:rFonts w:ascii="Courier New" w:hAnsi="Courier New" w:hint="default"/>
      </w:rPr>
    </w:lvl>
    <w:lvl w:ilvl="2" w:tplc="7794F638" w:tentative="1">
      <w:start w:val="1"/>
      <w:numFmt w:val="bullet"/>
      <w:lvlText w:val=""/>
      <w:lvlJc w:val="left"/>
      <w:pPr>
        <w:ind w:left="2160" w:hanging="360"/>
      </w:pPr>
      <w:rPr>
        <w:rFonts w:ascii="Wingdings" w:hAnsi="Wingdings" w:hint="default"/>
      </w:rPr>
    </w:lvl>
    <w:lvl w:ilvl="3" w:tplc="867CAE00" w:tentative="1">
      <w:start w:val="1"/>
      <w:numFmt w:val="bullet"/>
      <w:lvlText w:val=""/>
      <w:lvlJc w:val="left"/>
      <w:pPr>
        <w:ind w:left="2880" w:hanging="360"/>
      </w:pPr>
      <w:rPr>
        <w:rFonts w:ascii="Symbol" w:hAnsi="Symbol" w:hint="default"/>
      </w:rPr>
    </w:lvl>
    <w:lvl w:ilvl="4" w:tplc="AD90F292" w:tentative="1">
      <w:start w:val="1"/>
      <w:numFmt w:val="bullet"/>
      <w:lvlText w:val="o"/>
      <w:lvlJc w:val="left"/>
      <w:pPr>
        <w:ind w:left="3600" w:hanging="360"/>
      </w:pPr>
      <w:rPr>
        <w:rFonts w:ascii="Courier New" w:hAnsi="Courier New" w:hint="default"/>
      </w:rPr>
    </w:lvl>
    <w:lvl w:ilvl="5" w:tplc="7B4C9B96" w:tentative="1">
      <w:start w:val="1"/>
      <w:numFmt w:val="bullet"/>
      <w:lvlText w:val=""/>
      <w:lvlJc w:val="left"/>
      <w:pPr>
        <w:ind w:left="4320" w:hanging="360"/>
      </w:pPr>
      <w:rPr>
        <w:rFonts w:ascii="Wingdings" w:hAnsi="Wingdings" w:hint="default"/>
      </w:rPr>
    </w:lvl>
    <w:lvl w:ilvl="6" w:tplc="362A47C8" w:tentative="1">
      <w:start w:val="1"/>
      <w:numFmt w:val="bullet"/>
      <w:lvlText w:val=""/>
      <w:lvlJc w:val="left"/>
      <w:pPr>
        <w:ind w:left="5040" w:hanging="360"/>
      </w:pPr>
      <w:rPr>
        <w:rFonts w:ascii="Symbol" w:hAnsi="Symbol" w:hint="default"/>
      </w:rPr>
    </w:lvl>
    <w:lvl w:ilvl="7" w:tplc="3364CDE0" w:tentative="1">
      <w:start w:val="1"/>
      <w:numFmt w:val="bullet"/>
      <w:lvlText w:val="o"/>
      <w:lvlJc w:val="left"/>
      <w:pPr>
        <w:ind w:left="5760" w:hanging="360"/>
      </w:pPr>
      <w:rPr>
        <w:rFonts w:ascii="Courier New" w:hAnsi="Courier New" w:hint="default"/>
      </w:rPr>
    </w:lvl>
    <w:lvl w:ilvl="8" w:tplc="A8D6B64A" w:tentative="1">
      <w:start w:val="1"/>
      <w:numFmt w:val="bullet"/>
      <w:lvlText w:val=""/>
      <w:lvlJc w:val="left"/>
      <w:pPr>
        <w:ind w:left="6480" w:hanging="360"/>
      </w:pPr>
      <w:rPr>
        <w:rFonts w:ascii="Wingdings" w:hAnsi="Wingdings" w:hint="default"/>
      </w:rPr>
    </w:lvl>
  </w:abstractNum>
  <w:abstractNum w:abstractNumId="22" w15:restartNumberingAfterBreak="0">
    <w:nsid w:val="2B3B3A39"/>
    <w:multiLevelType w:val="hybridMultilevel"/>
    <w:tmpl w:val="B82888DA"/>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3" w15:restartNumberingAfterBreak="0">
    <w:nsid w:val="2C346FA6"/>
    <w:multiLevelType w:val="multilevel"/>
    <w:tmpl w:val="C7129070"/>
    <w:lvl w:ilvl="0">
      <w:start w:val="1"/>
      <w:numFmt w:val="decimal"/>
      <w:pStyle w:val="Heading1"/>
      <w:lvlText w:val="%1"/>
      <w:lvlJc w:val="left"/>
      <w:pPr>
        <w:ind w:left="432" w:hanging="432"/>
      </w:pPr>
    </w:lvl>
    <w:lvl w:ilvl="1">
      <w:start w:val="1"/>
      <w:numFmt w:val="decimal"/>
      <w:pStyle w:val="Heading2"/>
      <w:lvlText w:val="%1.%2"/>
      <w:lvlJc w:val="left"/>
      <w:pPr>
        <w:ind w:left="142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2C8DFDF8"/>
    <w:multiLevelType w:val="multilevel"/>
    <w:tmpl w:val="5F001AC4"/>
    <w:name w:val="ListBullet2Numbering"/>
    <w:lvl w:ilvl="0">
      <w:start w:val="1"/>
      <w:numFmt w:val="bullet"/>
      <w:lvlText w:val=""/>
      <w:lvlJc w:val="left"/>
      <w:pPr>
        <w:tabs>
          <w:tab w:val="num" w:pos="1485"/>
        </w:tabs>
        <w:ind w:left="1485" w:hanging="283"/>
      </w:pPr>
      <w:rPr>
        <w:rFonts w:ascii="Georgia" w:hAnsi="Georgia"/>
      </w:rPr>
    </w:lvl>
    <w:lvl w:ilvl="1">
      <w:start w:val="1"/>
      <w:numFmt w:val="bullet"/>
      <w:pStyle w:val="PartTitle"/>
      <w:lvlText w:val=""/>
      <w:lvlJc w:val="left"/>
      <w:pPr>
        <w:tabs>
          <w:tab w:val="num" w:pos="1769"/>
        </w:tabs>
        <w:ind w:left="1769" w:hanging="284"/>
      </w:pPr>
      <w:rPr>
        <w:rFonts w:ascii="Georgia" w:hAnsi="Georgia"/>
      </w:rPr>
    </w:lvl>
    <w:lvl w:ilvl="2">
      <w:start w:val="1"/>
      <w:numFmt w:val="bullet"/>
      <w:pStyle w:val="References"/>
      <w:lvlText w:val=""/>
      <w:lvlJc w:val="left"/>
      <w:pPr>
        <w:tabs>
          <w:tab w:val="num" w:pos="2052"/>
        </w:tabs>
        <w:ind w:left="2052" w:hanging="283"/>
      </w:pPr>
      <w:rPr>
        <w:rFonts w:ascii="Georgia" w:hAnsi="Georgia"/>
      </w:rPr>
    </w:lvl>
    <w:lvl w:ilvl="3">
      <w:start w:val="1"/>
      <w:numFmt w:val="bullet"/>
      <w:pStyle w:val="Releasable"/>
      <w:lvlText w:val=""/>
      <w:lvlJc w:val="left"/>
      <w:pPr>
        <w:tabs>
          <w:tab w:val="num" w:pos="2336"/>
        </w:tabs>
        <w:ind w:left="2336" w:hanging="284"/>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D293CE3"/>
    <w:multiLevelType w:val="multilevel"/>
    <w:tmpl w:val="764245C4"/>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D293CF4"/>
    <w:multiLevelType w:val="multilevel"/>
    <w:tmpl w:val="EB385790"/>
    <w:name w:val="ContNumNumbering"/>
    <w:lvl w:ilvl="0">
      <w:start w:val="1"/>
      <w:numFmt w:val="decimal"/>
      <w:pStyle w:val="ListBullet4Level3"/>
      <w:lvlText w:val="%1."/>
      <w:lvlJc w:val="left"/>
      <w:pPr>
        <w:tabs>
          <w:tab w:val="num" w:pos="476"/>
        </w:tabs>
        <w:ind w:left="476" w:hanging="476"/>
      </w:pPr>
      <w:rPr>
        <w:rFonts w:hint="default"/>
      </w:rPr>
    </w:lvl>
    <w:lvl w:ilvl="1">
      <w:start w:val="1"/>
      <w:numFmt w:val="lowerLetter"/>
      <w:pStyle w:val="ListDash"/>
      <w:lvlText w:val="%2."/>
      <w:lvlJc w:val="left"/>
      <w:pPr>
        <w:tabs>
          <w:tab w:val="num" w:pos="952"/>
        </w:tabs>
        <w:ind w:left="952" w:hanging="476"/>
      </w:pPr>
      <w:rPr>
        <w:rFonts w:hint="default"/>
      </w:rPr>
    </w:lvl>
    <w:lvl w:ilvl="2">
      <w:start w:val="1"/>
      <w:numFmt w:val="lowerRoman"/>
      <w:pStyle w:val="ListDash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D2A5B22"/>
    <w:multiLevelType w:val="hybridMultilevel"/>
    <w:tmpl w:val="92E26DFA"/>
    <w:lvl w:ilvl="0" w:tplc="CBBA147A">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450" w:hanging="360"/>
      </w:pPr>
      <w:rPr>
        <w:rFonts w:ascii="Wingdings" w:hAnsi="Wingdings" w:hint="default"/>
      </w:rPr>
    </w:lvl>
    <w:lvl w:ilvl="3" w:tplc="C00649C8">
      <w:numFmt w:val="bullet"/>
      <w:lvlText w:val="-"/>
      <w:lvlJc w:val="left"/>
      <w:pPr>
        <w:ind w:left="2880" w:hanging="360"/>
      </w:pPr>
      <w:rPr>
        <w:rFonts w:ascii="Arial" w:eastAsia="Times New Roman" w:hAnsi="Arial" w:cs="Aria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D6A077A"/>
    <w:multiLevelType w:val="hybridMultilevel"/>
    <w:tmpl w:val="29646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181508F"/>
    <w:multiLevelType w:val="hybridMultilevel"/>
    <w:tmpl w:val="944E1100"/>
    <w:lvl w:ilvl="0" w:tplc="B346F944">
      <w:start w:val="1"/>
      <w:numFmt w:val="bullet"/>
      <w:pStyle w:val="bullettext"/>
      <w:lvlText w:val=""/>
      <w:lvlJc w:val="left"/>
      <w:pPr>
        <w:ind w:left="720" w:hanging="360"/>
      </w:pPr>
      <w:rPr>
        <w:rFonts w:ascii="Symbol" w:hAnsi="Symbol" w:hint="default"/>
        <w:b/>
        <w:i w:val="0"/>
        <w:color w:val="auto"/>
        <w:sz w:val="24"/>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7A1C1DF6">
      <w:numFmt w:val="bullet"/>
      <w:lvlText w:val="•"/>
      <w:lvlJc w:val="left"/>
      <w:pPr>
        <w:ind w:left="3240" w:hanging="720"/>
      </w:pPr>
      <w:rPr>
        <w:rFonts w:ascii="Arial" w:eastAsia="Times New Roman" w:hAnsi="Arial" w:cs="Aria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3864D78"/>
    <w:multiLevelType w:val="hybridMultilevel"/>
    <w:tmpl w:val="23D8734C"/>
    <w:lvl w:ilvl="0" w:tplc="8DB4C1D2">
      <w:start w:val="1"/>
      <w:numFmt w:val="decimal"/>
      <w:pStyle w:val="Figuretitle"/>
      <w:lvlText w:val="Figure %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7770F3"/>
    <w:multiLevelType w:val="hybridMultilevel"/>
    <w:tmpl w:val="04FA6826"/>
    <w:lvl w:ilvl="0" w:tplc="18090001">
      <w:start w:val="1"/>
      <w:numFmt w:val="bullet"/>
      <w:lvlText w:val=""/>
      <w:lvlJc w:val="left"/>
      <w:pPr>
        <w:ind w:left="2280" w:hanging="360"/>
      </w:pPr>
      <w:rPr>
        <w:rFonts w:ascii="Symbol" w:hAnsi="Symbol" w:hint="default"/>
      </w:rPr>
    </w:lvl>
    <w:lvl w:ilvl="1" w:tplc="18090003" w:tentative="1">
      <w:start w:val="1"/>
      <w:numFmt w:val="bullet"/>
      <w:lvlText w:val="o"/>
      <w:lvlJc w:val="left"/>
      <w:pPr>
        <w:ind w:left="3000" w:hanging="360"/>
      </w:pPr>
      <w:rPr>
        <w:rFonts w:ascii="Courier New" w:hAnsi="Courier New" w:cs="Courier New" w:hint="default"/>
      </w:rPr>
    </w:lvl>
    <w:lvl w:ilvl="2" w:tplc="18090005" w:tentative="1">
      <w:start w:val="1"/>
      <w:numFmt w:val="bullet"/>
      <w:lvlText w:val=""/>
      <w:lvlJc w:val="left"/>
      <w:pPr>
        <w:ind w:left="3720" w:hanging="360"/>
      </w:pPr>
      <w:rPr>
        <w:rFonts w:ascii="Wingdings" w:hAnsi="Wingdings" w:hint="default"/>
      </w:rPr>
    </w:lvl>
    <w:lvl w:ilvl="3" w:tplc="18090001" w:tentative="1">
      <w:start w:val="1"/>
      <w:numFmt w:val="bullet"/>
      <w:lvlText w:val=""/>
      <w:lvlJc w:val="left"/>
      <w:pPr>
        <w:ind w:left="4440" w:hanging="360"/>
      </w:pPr>
      <w:rPr>
        <w:rFonts w:ascii="Symbol" w:hAnsi="Symbol" w:hint="default"/>
      </w:rPr>
    </w:lvl>
    <w:lvl w:ilvl="4" w:tplc="18090003" w:tentative="1">
      <w:start w:val="1"/>
      <w:numFmt w:val="bullet"/>
      <w:lvlText w:val="o"/>
      <w:lvlJc w:val="left"/>
      <w:pPr>
        <w:ind w:left="5160" w:hanging="360"/>
      </w:pPr>
      <w:rPr>
        <w:rFonts w:ascii="Courier New" w:hAnsi="Courier New" w:cs="Courier New" w:hint="default"/>
      </w:rPr>
    </w:lvl>
    <w:lvl w:ilvl="5" w:tplc="18090005" w:tentative="1">
      <w:start w:val="1"/>
      <w:numFmt w:val="bullet"/>
      <w:lvlText w:val=""/>
      <w:lvlJc w:val="left"/>
      <w:pPr>
        <w:ind w:left="5880" w:hanging="360"/>
      </w:pPr>
      <w:rPr>
        <w:rFonts w:ascii="Wingdings" w:hAnsi="Wingdings" w:hint="default"/>
      </w:rPr>
    </w:lvl>
    <w:lvl w:ilvl="6" w:tplc="18090001" w:tentative="1">
      <w:start w:val="1"/>
      <w:numFmt w:val="bullet"/>
      <w:lvlText w:val=""/>
      <w:lvlJc w:val="left"/>
      <w:pPr>
        <w:ind w:left="6600" w:hanging="360"/>
      </w:pPr>
      <w:rPr>
        <w:rFonts w:ascii="Symbol" w:hAnsi="Symbol" w:hint="default"/>
      </w:rPr>
    </w:lvl>
    <w:lvl w:ilvl="7" w:tplc="18090003" w:tentative="1">
      <w:start w:val="1"/>
      <w:numFmt w:val="bullet"/>
      <w:lvlText w:val="o"/>
      <w:lvlJc w:val="left"/>
      <w:pPr>
        <w:ind w:left="7320" w:hanging="360"/>
      </w:pPr>
      <w:rPr>
        <w:rFonts w:ascii="Courier New" w:hAnsi="Courier New" w:cs="Courier New" w:hint="default"/>
      </w:rPr>
    </w:lvl>
    <w:lvl w:ilvl="8" w:tplc="18090005" w:tentative="1">
      <w:start w:val="1"/>
      <w:numFmt w:val="bullet"/>
      <w:lvlText w:val=""/>
      <w:lvlJc w:val="left"/>
      <w:pPr>
        <w:ind w:left="8040" w:hanging="360"/>
      </w:pPr>
      <w:rPr>
        <w:rFonts w:ascii="Wingdings" w:hAnsi="Wingdings" w:hint="default"/>
      </w:rPr>
    </w:lvl>
  </w:abstractNum>
  <w:abstractNum w:abstractNumId="32" w15:restartNumberingAfterBreak="0">
    <w:nsid w:val="360B7A65"/>
    <w:multiLevelType w:val="multilevel"/>
    <w:tmpl w:val="882A27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324F1E"/>
    <w:multiLevelType w:val="multilevel"/>
    <w:tmpl w:val="992001AE"/>
    <w:name w:val="ListDash3Numbering"/>
    <w:lvl w:ilvl="0">
      <w:start w:val="1"/>
      <w:numFmt w:val="bullet"/>
      <w:pStyle w:val="TableSource"/>
      <w:lvlText w:val="–"/>
      <w:lvlJc w:val="left"/>
      <w:pPr>
        <w:tabs>
          <w:tab w:val="num" w:pos="1485"/>
        </w:tabs>
        <w:ind w:left="1485" w:hanging="283"/>
      </w:pPr>
      <w:rPr>
        <w:rFonts w:ascii="Times New Roman,Italic" w:hAnsi="Times New Roman,Italic"/>
      </w:rPr>
    </w:lvl>
    <w:lvl w:ilvl="1">
      <w:start w:val="1"/>
      <w:numFmt w:val="bullet"/>
      <w:pStyle w:val="FigureBody4"/>
      <w:lvlText w:val="–"/>
      <w:lvlJc w:val="left"/>
      <w:pPr>
        <w:tabs>
          <w:tab w:val="num" w:pos="1769"/>
        </w:tabs>
        <w:ind w:left="1769" w:hanging="284"/>
      </w:pPr>
      <w:rPr>
        <w:rFonts w:ascii="Times New Roman,Italic" w:hAnsi="Times New Roman,Italic"/>
      </w:rPr>
    </w:lvl>
    <w:lvl w:ilvl="2">
      <w:start w:val="1"/>
      <w:numFmt w:val="bullet"/>
      <w:pStyle w:val="TableSource1"/>
      <w:lvlText w:val="–"/>
      <w:lvlJc w:val="left"/>
      <w:pPr>
        <w:tabs>
          <w:tab w:val="num" w:pos="2052"/>
        </w:tabs>
        <w:ind w:left="2052" w:hanging="283"/>
      </w:pPr>
      <w:rPr>
        <w:rFonts w:ascii="Times New Roman,Italic" w:hAnsi="Times New Roman,Italic"/>
      </w:rPr>
    </w:lvl>
    <w:lvl w:ilvl="3">
      <w:start w:val="1"/>
      <w:numFmt w:val="bullet"/>
      <w:pStyle w:val="TableSource2"/>
      <w:lvlText w:val="–"/>
      <w:lvlJc w:val="left"/>
      <w:pPr>
        <w:tabs>
          <w:tab w:val="num" w:pos="2336"/>
        </w:tabs>
        <w:ind w:left="2336" w:hanging="284"/>
      </w:pPr>
      <w:rPr>
        <w:rFonts w:ascii="Times New Roman,Italic" w:hAnsi="Times New Roman,Italic"/>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37B5626D"/>
    <w:multiLevelType w:val="multilevel"/>
    <w:tmpl w:val="032601F6"/>
    <w:lvl w:ilvl="0">
      <w:start w:val="1"/>
      <w:numFmt w:val="decimal"/>
      <w:pStyle w:val="Heading1COM"/>
      <w:lvlText w:val="%1."/>
      <w:lvlJc w:val="left"/>
      <w:pPr>
        <w:ind w:left="360" w:hanging="360"/>
      </w:pPr>
      <w:rPr>
        <w:rFonts w:hint="default"/>
      </w:rPr>
    </w:lvl>
    <w:lvl w:ilvl="1">
      <w:start w:val="1"/>
      <w:numFmt w:val="decimal"/>
      <w:pStyle w:val="Heading2COM"/>
      <w:lvlText w:val="%1.%2."/>
      <w:lvlJc w:val="left"/>
      <w:pPr>
        <w:ind w:left="792" w:hanging="432"/>
      </w:pPr>
      <w:rPr>
        <w:rFonts w:hint="default"/>
        <w:i w:val="0"/>
        <w:iCs w:val="0"/>
      </w:rPr>
    </w:lvl>
    <w:lvl w:ilvl="2">
      <w:start w:val="1"/>
      <w:numFmt w:val="decimal"/>
      <w:pStyle w:val="Heading3COM"/>
      <w:lvlText w:val="%1.%2.%3."/>
      <w:lvlJc w:val="left"/>
      <w:pPr>
        <w:ind w:left="1224" w:hanging="504"/>
      </w:pPr>
      <w:rPr>
        <w:rFonts w:hint="default"/>
      </w:rPr>
    </w:lvl>
    <w:lvl w:ilvl="3">
      <w:start w:val="1"/>
      <w:numFmt w:val="decimal"/>
      <w:pStyle w:val="Heading4COM"/>
      <w:lvlText w:val="%1.%2.%3.%4."/>
      <w:lvlJc w:val="left"/>
      <w:pPr>
        <w:ind w:left="1728" w:hanging="648"/>
      </w:pPr>
      <w:rPr>
        <w:rFonts w:hint="default"/>
        <w:b w:val="0"/>
        <w:bCs/>
      </w:rPr>
    </w:lvl>
    <w:lvl w:ilvl="4">
      <w:start w:val="1"/>
      <w:numFmt w:val="decimal"/>
      <w:pStyle w:val="Heading5COM"/>
      <w:lvlText w:val="%1.%2.%3.%4.%5."/>
      <w:lvlJc w:val="left"/>
      <w:pPr>
        <w:ind w:left="2352"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7CB1E1C"/>
    <w:multiLevelType w:val="multilevel"/>
    <w:tmpl w:val="F41EDC06"/>
    <w:name w:val="ListDash1Numbering"/>
    <w:lvl w:ilvl="0">
      <w:start w:val="1"/>
      <w:numFmt w:val="bullet"/>
      <w:pStyle w:val="TableListDashLevel2"/>
      <w:lvlText w:val="–"/>
      <w:lvlJc w:val="left"/>
      <w:pPr>
        <w:tabs>
          <w:tab w:val="num" w:pos="765"/>
        </w:tabs>
        <w:ind w:left="765" w:hanging="283"/>
      </w:pPr>
      <w:rPr>
        <w:rFonts w:ascii="Times New Roman,Italic" w:hAnsi="Times New Roman,Italic"/>
      </w:rPr>
    </w:lvl>
    <w:lvl w:ilvl="1">
      <w:start w:val="1"/>
      <w:numFmt w:val="bullet"/>
      <w:lvlText w:val="–"/>
      <w:lvlJc w:val="left"/>
      <w:pPr>
        <w:tabs>
          <w:tab w:val="num" w:pos="1049"/>
        </w:tabs>
        <w:ind w:left="1049" w:hanging="284"/>
      </w:pPr>
      <w:rPr>
        <w:rFonts w:ascii="Times New Roman,Italic" w:hAnsi="Times New Roman,Italic"/>
      </w:rPr>
    </w:lvl>
    <w:lvl w:ilvl="2">
      <w:start w:val="1"/>
      <w:numFmt w:val="bullet"/>
      <w:pStyle w:val="TableListDashLevel4"/>
      <w:lvlText w:val="–"/>
      <w:lvlJc w:val="left"/>
      <w:pPr>
        <w:tabs>
          <w:tab w:val="num" w:pos="1332"/>
        </w:tabs>
        <w:ind w:left="1332" w:hanging="283"/>
      </w:pPr>
      <w:rPr>
        <w:rFonts w:ascii="Times New Roman,Italic" w:hAnsi="Times New Roman,Italic"/>
      </w:rPr>
    </w:lvl>
    <w:lvl w:ilvl="3">
      <w:start w:val="1"/>
      <w:numFmt w:val="bullet"/>
      <w:pStyle w:val="TableListNumber"/>
      <w:lvlText w:val="–"/>
      <w:lvlJc w:val="left"/>
      <w:pPr>
        <w:tabs>
          <w:tab w:val="num" w:pos="1616"/>
        </w:tabs>
        <w:ind w:left="1616" w:hanging="284"/>
      </w:pPr>
      <w:rPr>
        <w:rFonts w:ascii="Times New Roman,Italic" w:hAnsi="Times New Roman,Italic"/>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38067313"/>
    <w:multiLevelType w:val="hybridMultilevel"/>
    <w:tmpl w:val="AE125BBC"/>
    <w:styleLink w:val="adeListeUeberschriften"/>
    <w:lvl w:ilvl="0" w:tplc="AA1EB4A4">
      <w:start w:val="1"/>
      <w:numFmt w:val="bullet"/>
      <w:pStyle w:val="Normaldense"/>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3599FF"/>
    <w:multiLevelType w:val="hybridMultilevel"/>
    <w:tmpl w:val="FFFFFFFF"/>
    <w:lvl w:ilvl="0" w:tplc="B314BCE8">
      <w:start w:val="1"/>
      <w:numFmt w:val="bullet"/>
      <w:lvlText w:val=""/>
      <w:lvlJc w:val="left"/>
      <w:pPr>
        <w:ind w:left="720" w:hanging="360"/>
      </w:pPr>
      <w:rPr>
        <w:rFonts w:ascii="Symbol" w:hAnsi="Symbol" w:hint="default"/>
      </w:rPr>
    </w:lvl>
    <w:lvl w:ilvl="1" w:tplc="C37048C2">
      <w:start w:val="1"/>
      <w:numFmt w:val="bullet"/>
      <w:lvlText w:val="o"/>
      <w:lvlJc w:val="left"/>
      <w:pPr>
        <w:ind w:left="1440" w:hanging="360"/>
      </w:pPr>
      <w:rPr>
        <w:rFonts w:ascii="Courier New" w:hAnsi="Courier New" w:hint="default"/>
      </w:rPr>
    </w:lvl>
    <w:lvl w:ilvl="2" w:tplc="C860987C">
      <w:start w:val="1"/>
      <w:numFmt w:val="bullet"/>
      <w:lvlText w:val=""/>
      <w:lvlJc w:val="left"/>
      <w:pPr>
        <w:ind w:left="2160" w:hanging="360"/>
      </w:pPr>
      <w:rPr>
        <w:rFonts w:ascii="Wingdings" w:hAnsi="Wingdings" w:hint="default"/>
      </w:rPr>
    </w:lvl>
    <w:lvl w:ilvl="3" w:tplc="3F4A4DA0">
      <w:start w:val="1"/>
      <w:numFmt w:val="bullet"/>
      <w:lvlText w:val=""/>
      <w:lvlJc w:val="left"/>
      <w:pPr>
        <w:ind w:left="2880" w:hanging="360"/>
      </w:pPr>
      <w:rPr>
        <w:rFonts w:ascii="Symbol" w:hAnsi="Symbol" w:hint="default"/>
      </w:rPr>
    </w:lvl>
    <w:lvl w:ilvl="4" w:tplc="6B225048">
      <w:start w:val="1"/>
      <w:numFmt w:val="bullet"/>
      <w:lvlText w:val="o"/>
      <w:lvlJc w:val="left"/>
      <w:pPr>
        <w:ind w:left="3600" w:hanging="360"/>
      </w:pPr>
      <w:rPr>
        <w:rFonts w:ascii="Courier New" w:hAnsi="Courier New" w:hint="default"/>
      </w:rPr>
    </w:lvl>
    <w:lvl w:ilvl="5" w:tplc="4690576A">
      <w:start w:val="1"/>
      <w:numFmt w:val="bullet"/>
      <w:lvlText w:val=""/>
      <w:lvlJc w:val="left"/>
      <w:pPr>
        <w:ind w:left="4320" w:hanging="360"/>
      </w:pPr>
      <w:rPr>
        <w:rFonts w:ascii="Wingdings" w:hAnsi="Wingdings" w:hint="default"/>
      </w:rPr>
    </w:lvl>
    <w:lvl w:ilvl="6" w:tplc="E53EFE18">
      <w:start w:val="1"/>
      <w:numFmt w:val="bullet"/>
      <w:lvlText w:val=""/>
      <w:lvlJc w:val="left"/>
      <w:pPr>
        <w:ind w:left="5040" w:hanging="360"/>
      </w:pPr>
      <w:rPr>
        <w:rFonts w:ascii="Symbol" w:hAnsi="Symbol" w:hint="default"/>
      </w:rPr>
    </w:lvl>
    <w:lvl w:ilvl="7" w:tplc="8960A6C6">
      <w:start w:val="1"/>
      <w:numFmt w:val="bullet"/>
      <w:lvlText w:val="o"/>
      <w:lvlJc w:val="left"/>
      <w:pPr>
        <w:ind w:left="5760" w:hanging="360"/>
      </w:pPr>
      <w:rPr>
        <w:rFonts w:ascii="Courier New" w:hAnsi="Courier New" w:hint="default"/>
      </w:rPr>
    </w:lvl>
    <w:lvl w:ilvl="8" w:tplc="97B22D80">
      <w:start w:val="1"/>
      <w:numFmt w:val="bullet"/>
      <w:lvlText w:val=""/>
      <w:lvlJc w:val="left"/>
      <w:pPr>
        <w:ind w:left="6480" w:hanging="360"/>
      </w:pPr>
      <w:rPr>
        <w:rFonts w:ascii="Wingdings" w:hAnsi="Wingdings" w:hint="default"/>
      </w:rPr>
    </w:lvl>
  </w:abstractNum>
  <w:abstractNum w:abstractNumId="38" w15:restartNumberingAfterBreak="0">
    <w:nsid w:val="3A7730C4"/>
    <w:multiLevelType w:val="multilevel"/>
    <w:tmpl w:val="33D49A92"/>
    <w:name w:val="ListBullet1Numbering"/>
    <w:lvl w:ilvl="0">
      <w:start w:val="1"/>
      <w:numFmt w:val="bullet"/>
      <w:lvlText w:val=""/>
      <w:lvlJc w:val="left"/>
      <w:pPr>
        <w:tabs>
          <w:tab w:val="num" w:pos="765"/>
        </w:tabs>
        <w:ind w:left="765" w:hanging="283"/>
      </w:pPr>
      <w:rPr>
        <w:rFonts w:ascii="Georgia" w:hAnsi="Georgia"/>
      </w:rPr>
    </w:lvl>
    <w:lvl w:ilvl="1">
      <w:start w:val="1"/>
      <w:numFmt w:val="bullet"/>
      <w:pStyle w:val="NumPar1"/>
      <w:lvlText w:val=""/>
      <w:lvlJc w:val="left"/>
      <w:pPr>
        <w:tabs>
          <w:tab w:val="num" w:pos="1049"/>
        </w:tabs>
        <w:ind w:left="1049" w:hanging="284"/>
      </w:pPr>
      <w:rPr>
        <w:rFonts w:ascii="Georgia" w:hAnsi="Georgia"/>
      </w:rPr>
    </w:lvl>
    <w:lvl w:ilvl="2">
      <w:start w:val="1"/>
      <w:numFmt w:val="bullet"/>
      <w:pStyle w:val="NumPar2"/>
      <w:lvlText w:val=""/>
      <w:lvlJc w:val="left"/>
      <w:pPr>
        <w:tabs>
          <w:tab w:val="num" w:pos="1332"/>
        </w:tabs>
        <w:ind w:left="1332" w:hanging="283"/>
      </w:pPr>
      <w:rPr>
        <w:rFonts w:ascii="Georgia" w:hAnsi="Georgia"/>
      </w:rPr>
    </w:lvl>
    <w:lvl w:ilvl="3">
      <w:start w:val="1"/>
      <w:numFmt w:val="bullet"/>
      <w:pStyle w:val="NumPar3"/>
      <w:lvlText w:val=""/>
      <w:lvlJc w:val="left"/>
      <w:pPr>
        <w:tabs>
          <w:tab w:val="num" w:pos="1616"/>
        </w:tabs>
        <w:ind w:left="1616" w:hanging="284"/>
      </w:pPr>
      <w:rPr>
        <w:rFonts w:ascii="Georgia" w:hAnsi="Georgia"/>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3ABEE433"/>
    <w:multiLevelType w:val="multilevel"/>
    <w:tmpl w:val="6BAC3608"/>
    <w:styleLink w:val="LRRAppendices"/>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AD247DC"/>
    <w:multiLevelType w:val="multilevel"/>
    <w:tmpl w:val="15FA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B737148"/>
    <w:multiLevelType w:val="multilevel"/>
    <w:tmpl w:val="6568DBF0"/>
    <w:lvl w:ilvl="0">
      <w:start w:val="2"/>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42" w15:restartNumberingAfterBreak="0">
    <w:nsid w:val="3DE12AE4"/>
    <w:multiLevelType w:val="hybridMultilevel"/>
    <w:tmpl w:val="D916BE0A"/>
    <w:lvl w:ilvl="0" w:tplc="39EA1F60">
      <w:start w:val="1"/>
      <w:numFmt w:val="decimal"/>
      <w:pStyle w:val="Tabletitle"/>
      <w:lvlText w:val="Table %1:"/>
      <w:lvlJc w:val="left"/>
      <w:pPr>
        <w:ind w:left="1494" w:hanging="360"/>
      </w:pPr>
      <w:rPr>
        <w:rFonts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DD37A7"/>
    <w:multiLevelType w:val="hybridMultilevel"/>
    <w:tmpl w:val="7FA2D38A"/>
    <w:lvl w:ilvl="0" w:tplc="21563826">
      <w:start w:val="4"/>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4" w15:restartNumberingAfterBreak="0">
    <w:nsid w:val="40DE4602"/>
    <w:multiLevelType w:val="hybridMultilevel"/>
    <w:tmpl w:val="ADFC131C"/>
    <w:lvl w:ilvl="0" w:tplc="7BC6F1E2">
      <w:start w:val="29"/>
      <w:numFmt w:val="bullet"/>
      <w:lvlText w:val="-"/>
      <w:lvlJc w:val="left"/>
      <w:pPr>
        <w:ind w:left="720" w:hanging="360"/>
      </w:pPr>
      <w:rPr>
        <w:rFonts w:ascii="Arial" w:hAnsi="Arial" w:hint="default"/>
      </w:rPr>
    </w:lvl>
    <w:lvl w:ilvl="1" w:tplc="1D58216A" w:tentative="1">
      <w:start w:val="1"/>
      <w:numFmt w:val="bullet"/>
      <w:lvlText w:val="o"/>
      <w:lvlJc w:val="left"/>
      <w:pPr>
        <w:ind w:left="1440" w:hanging="360"/>
      </w:pPr>
      <w:rPr>
        <w:rFonts w:ascii="Courier New" w:hAnsi="Courier New" w:hint="default"/>
      </w:rPr>
    </w:lvl>
    <w:lvl w:ilvl="2" w:tplc="656A169C" w:tentative="1">
      <w:start w:val="1"/>
      <w:numFmt w:val="bullet"/>
      <w:lvlText w:val=""/>
      <w:lvlJc w:val="left"/>
      <w:pPr>
        <w:ind w:left="2160" w:hanging="360"/>
      </w:pPr>
      <w:rPr>
        <w:rFonts w:ascii="Wingdings" w:hAnsi="Wingdings" w:hint="default"/>
      </w:rPr>
    </w:lvl>
    <w:lvl w:ilvl="3" w:tplc="DEAE78AA" w:tentative="1">
      <w:start w:val="1"/>
      <w:numFmt w:val="bullet"/>
      <w:lvlText w:val=""/>
      <w:lvlJc w:val="left"/>
      <w:pPr>
        <w:ind w:left="2880" w:hanging="360"/>
      </w:pPr>
      <w:rPr>
        <w:rFonts w:ascii="Symbol" w:hAnsi="Symbol" w:hint="default"/>
      </w:rPr>
    </w:lvl>
    <w:lvl w:ilvl="4" w:tplc="6CDCBB1E" w:tentative="1">
      <w:start w:val="1"/>
      <w:numFmt w:val="bullet"/>
      <w:lvlText w:val="o"/>
      <w:lvlJc w:val="left"/>
      <w:pPr>
        <w:ind w:left="3600" w:hanging="360"/>
      </w:pPr>
      <w:rPr>
        <w:rFonts w:ascii="Courier New" w:hAnsi="Courier New" w:hint="default"/>
      </w:rPr>
    </w:lvl>
    <w:lvl w:ilvl="5" w:tplc="EEC6B5F4" w:tentative="1">
      <w:start w:val="1"/>
      <w:numFmt w:val="bullet"/>
      <w:lvlText w:val=""/>
      <w:lvlJc w:val="left"/>
      <w:pPr>
        <w:ind w:left="4320" w:hanging="360"/>
      </w:pPr>
      <w:rPr>
        <w:rFonts w:ascii="Wingdings" w:hAnsi="Wingdings" w:hint="default"/>
      </w:rPr>
    </w:lvl>
    <w:lvl w:ilvl="6" w:tplc="E78A3BF2" w:tentative="1">
      <w:start w:val="1"/>
      <w:numFmt w:val="bullet"/>
      <w:lvlText w:val=""/>
      <w:lvlJc w:val="left"/>
      <w:pPr>
        <w:ind w:left="5040" w:hanging="360"/>
      </w:pPr>
      <w:rPr>
        <w:rFonts w:ascii="Symbol" w:hAnsi="Symbol" w:hint="default"/>
      </w:rPr>
    </w:lvl>
    <w:lvl w:ilvl="7" w:tplc="36B62E9C" w:tentative="1">
      <w:start w:val="1"/>
      <w:numFmt w:val="bullet"/>
      <w:lvlText w:val="o"/>
      <w:lvlJc w:val="left"/>
      <w:pPr>
        <w:ind w:left="5760" w:hanging="360"/>
      </w:pPr>
      <w:rPr>
        <w:rFonts w:ascii="Courier New" w:hAnsi="Courier New" w:hint="default"/>
      </w:rPr>
    </w:lvl>
    <w:lvl w:ilvl="8" w:tplc="7D28DB20" w:tentative="1">
      <w:start w:val="1"/>
      <w:numFmt w:val="bullet"/>
      <w:lvlText w:val=""/>
      <w:lvlJc w:val="left"/>
      <w:pPr>
        <w:ind w:left="6480" w:hanging="360"/>
      </w:pPr>
      <w:rPr>
        <w:rFonts w:ascii="Wingdings" w:hAnsi="Wingdings" w:hint="default"/>
      </w:rPr>
    </w:lvl>
  </w:abstractNum>
  <w:abstractNum w:abstractNumId="45" w15:restartNumberingAfterBreak="0">
    <w:nsid w:val="427F389A"/>
    <w:multiLevelType w:val="hybridMultilevel"/>
    <w:tmpl w:val="3A02F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5F34E1C"/>
    <w:multiLevelType w:val="multilevel"/>
    <w:tmpl w:val="B6C2C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3D6190"/>
    <w:multiLevelType w:val="hybridMultilevel"/>
    <w:tmpl w:val="144C0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86503E9"/>
    <w:multiLevelType w:val="hybridMultilevel"/>
    <w:tmpl w:val="B9964F6A"/>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49" w15:restartNumberingAfterBreak="0">
    <w:nsid w:val="4930700D"/>
    <w:multiLevelType w:val="multilevel"/>
    <w:tmpl w:val="C51EB10C"/>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50" w15:restartNumberingAfterBreak="0">
    <w:nsid w:val="4B0B1B62"/>
    <w:multiLevelType w:val="multilevel"/>
    <w:tmpl w:val="5D8C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E914A72"/>
    <w:multiLevelType w:val="hybridMultilevel"/>
    <w:tmpl w:val="9C0CEE36"/>
    <w:lvl w:ilvl="0" w:tplc="1E1A1B14">
      <w:start w:val="1"/>
      <w:numFmt w:val="decimal"/>
      <w:lvlText w:val="%1."/>
      <w:lvlJc w:val="left"/>
      <w:pPr>
        <w:ind w:left="1020" w:hanging="360"/>
      </w:pPr>
    </w:lvl>
    <w:lvl w:ilvl="1" w:tplc="5100E340">
      <w:start w:val="1"/>
      <w:numFmt w:val="decimal"/>
      <w:lvlText w:val="%2."/>
      <w:lvlJc w:val="left"/>
      <w:pPr>
        <w:ind w:left="1020" w:hanging="360"/>
      </w:pPr>
    </w:lvl>
    <w:lvl w:ilvl="2" w:tplc="91945BE4">
      <w:start w:val="1"/>
      <w:numFmt w:val="decimal"/>
      <w:lvlText w:val="%3."/>
      <w:lvlJc w:val="left"/>
      <w:pPr>
        <w:ind w:left="1020" w:hanging="360"/>
      </w:pPr>
    </w:lvl>
    <w:lvl w:ilvl="3" w:tplc="D672823C">
      <w:start w:val="1"/>
      <w:numFmt w:val="decimal"/>
      <w:lvlText w:val="%4."/>
      <w:lvlJc w:val="left"/>
      <w:pPr>
        <w:ind w:left="1020" w:hanging="360"/>
      </w:pPr>
    </w:lvl>
    <w:lvl w:ilvl="4" w:tplc="BB80C992">
      <w:start w:val="1"/>
      <w:numFmt w:val="decimal"/>
      <w:lvlText w:val="%5."/>
      <w:lvlJc w:val="left"/>
      <w:pPr>
        <w:ind w:left="1020" w:hanging="360"/>
      </w:pPr>
    </w:lvl>
    <w:lvl w:ilvl="5" w:tplc="61009284">
      <w:start w:val="1"/>
      <w:numFmt w:val="decimal"/>
      <w:lvlText w:val="%6."/>
      <w:lvlJc w:val="left"/>
      <w:pPr>
        <w:ind w:left="1020" w:hanging="360"/>
      </w:pPr>
    </w:lvl>
    <w:lvl w:ilvl="6" w:tplc="537EA3A6">
      <w:start w:val="1"/>
      <w:numFmt w:val="decimal"/>
      <w:lvlText w:val="%7."/>
      <w:lvlJc w:val="left"/>
      <w:pPr>
        <w:ind w:left="1020" w:hanging="360"/>
      </w:pPr>
    </w:lvl>
    <w:lvl w:ilvl="7" w:tplc="914ED466">
      <w:start w:val="1"/>
      <w:numFmt w:val="decimal"/>
      <w:lvlText w:val="%8."/>
      <w:lvlJc w:val="left"/>
      <w:pPr>
        <w:ind w:left="1020" w:hanging="360"/>
      </w:pPr>
    </w:lvl>
    <w:lvl w:ilvl="8" w:tplc="D1E0196E">
      <w:start w:val="1"/>
      <w:numFmt w:val="decimal"/>
      <w:lvlText w:val="%9."/>
      <w:lvlJc w:val="left"/>
      <w:pPr>
        <w:ind w:left="1020" w:hanging="360"/>
      </w:pPr>
    </w:lvl>
  </w:abstractNum>
  <w:abstractNum w:abstractNumId="52" w15:restartNumberingAfterBreak="0">
    <w:nsid w:val="4EB402F8"/>
    <w:multiLevelType w:val="hybridMultilevel"/>
    <w:tmpl w:val="A70272AC"/>
    <w:lvl w:ilvl="0" w:tplc="CCBE28A4">
      <w:start w:val="1"/>
      <w:numFmt w:val="bullet"/>
      <w:lvlText w:val=""/>
      <w:lvlJc w:val="left"/>
      <w:pPr>
        <w:ind w:left="720" w:hanging="360"/>
      </w:pPr>
      <w:rPr>
        <w:rFonts w:ascii="Symbol" w:hAnsi="Symbol" w:hint="default"/>
      </w:rPr>
    </w:lvl>
    <w:lvl w:ilvl="1" w:tplc="964A1A0A">
      <w:start w:val="1"/>
      <w:numFmt w:val="bullet"/>
      <w:lvlText w:val="o"/>
      <w:lvlJc w:val="left"/>
      <w:pPr>
        <w:ind w:left="1440" w:hanging="360"/>
      </w:pPr>
      <w:rPr>
        <w:rFonts w:ascii="Courier New" w:hAnsi="Courier New" w:hint="default"/>
      </w:rPr>
    </w:lvl>
    <w:lvl w:ilvl="2" w:tplc="45EE1500">
      <w:start w:val="1"/>
      <w:numFmt w:val="bullet"/>
      <w:lvlText w:val=""/>
      <w:lvlJc w:val="left"/>
      <w:pPr>
        <w:ind w:left="2160" w:hanging="360"/>
      </w:pPr>
      <w:rPr>
        <w:rFonts w:ascii="Wingdings" w:hAnsi="Wingdings" w:hint="default"/>
      </w:rPr>
    </w:lvl>
    <w:lvl w:ilvl="3" w:tplc="17D48948">
      <w:start w:val="1"/>
      <w:numFmt w:val="bullet"/>
      <w:lvlText w:val=""/>
      <w:lvlJc w:val="left"/>
      <w:pPr>
        <w:ind w:left="2880" w:hanging="360"/>
      </w:pPr>
      <w:rPr>
        <w:rFonts w:ascii="Symbol" w:hAnsi="Symbol" w:hint="default"/>
      </w:rPr>
    </w:lvl>
    <w:lvl w:ilvl="4" w:tplc="2C1A6E4E">
      <w:start w:val="1"/>
      <w:numFmt w:val="bullet"/>
      <w:lvlText w:val="o"/>
      <w:lvlJc w:val="left"/>
      <w:pPr>
        <w:ind w:left="3600" w:hanging="360"/>
      </w:pPr>
      <w:rPr>
        <w:rFonts w:ascii="Courier New" w:hAnsi="Courier New" w:hint="default"/>
      </w:rPr>
    </w:lvl>
    <w:lvl w:ilvl="5" w:tplc="3556854E">
      <w:start w:val="1"/>
      <w:numFmt w:val="bullet"/>
      <w:lvlText w:val=""/>
      <w:lvlJc w:val="left"/>
      <w:pPr>
        <w:ind w:left="4320" w:hanging="360"/>
      </w:pPr>
      <w:rPr>
        <w:rFonts w:ascii="Wingdings" w:hAnsi="Wingdings" w:hint="default"/>
      </w:rPr>
    </w:lvl>
    <w:lvl w:ilvl="6" w:tplc="747AE4E4">
      <w:start w:val="1"/>
      <w:numFmt w:val="bullet"/>
      <w:lvlText w:val=""/>
      <w:lvlJc w:val="left"/>
      <w:pPr>
        <w:ind w:left="5040" w:hanging="360"/>
      </w:pPr>
      <w:rPr>
        <w:rFonts w:ascii="Symbol" w:hAnsi="Symbol" w:hint="default"/>
      </w:rPr>
    </w:lvl>
    <w:lvl w:ilvl="7" w:tplc="7B3640E4">
      <w:start w:val="1"/>
      <w:numFmt w:val="bullet"/>
      <w:lvlText w:val="o"/>
      <w:lvlJc w:val="left"/>
      <w:pPr>
        <w:ind w:left="5760" w:hanging="360"/>
      </w:pPr>
      <w:rPr>
        <w:rFonts w:ascii="Courier New" w:hAnsi="Courier New" w:hint="default"/>
      </w:rPr>
    </w:lvl>
    <w:lvl w:ilvl="8" w:tplc="DC6E104E">
      <w:start w:val="1"/>
      <w:numFmt w:val="bullet"/>
      <w:lvlText w:val=""/>
      <w:lvlJc w:val="left"/>
      <w:pPr>
        <w:ind w:left="6480" w:hanging="360"/>
      </w:pPr>
      <w:rPr>
        <w:rFonts w:ascii="Wingdings" w:hAnsi="Wingdings" w:hint="default"/>
      </w:rPr>
    </w:lvl>
  </w:abstractNum>
  <w:abstractNum w:abstractNumId="53" w15:restartNumberingAfterBreak="0">
    <w:nsid w:val="4F386E77"/>
    <w:multiLevelType w:val="multilevel"/>
    <w:tmpl w:val="1FE29A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072619B"/>
    <w:multiLevelType w:val="multilevel"/>
    <w:tmpl w:val="6DFCF512"/>
    <w:name w:val="ListDashNumbering"/>
    <w:lvl w:ilvl="0">
      <w:start w:val="1"/>
      <w:numFmt w:val="bullet"/>
      <w:pStyle w:val="TableListBulletLevel2"/>
      <w:lvlText w:val="–"/>
      <w:lvlJc w:val="left"/>
      <w:pPr>
        <w:tabs>
          <w:tab w:val="num" w:pos="283"/>
        </w:tabs>
        <w:ind w:left="283" w:hanging="283"/>
      </w:pPr>
      <w:rPr>
        <w:rFonts w:ascii="Times New Roman,Italic" w:hAnsi="Times New Roman,Italic"/>
      </w:rPr>
    </w:lvl>
    <w:lvl w:ilvl="1">
      <w:start w:val="1"/>
      <w:numFmt w:val="bullet"/>
      <w:pStyle w:val="TableListBulletLevel3"/>
      <w:lvlText w:val="–"/>
      <w:lvlJc w:val="left"/>
      <w:pPr>
        <w:tabs>
          <w:tab w:val="num" w:pos="567"/>
        </w:tabs>
        <w:ind w:left="567" w:hanging="284"/>
      </w:pPr>
      <w:rPr>
        <w:rFonts w:ascii="Times New Roman,Italic" w:hAnsi="Times New Roman,Italic"/>
      </w:rPr>
    </w:lvl>
    <w:lvl w:ilvl="2">
      <w:start w:val="1"/>
      <w:numFmt w:val="bullet"/>
      <w:pStyle w:val="TableListBulletLevel4"/>
      <w:lvlText w:val="–"/>
      <w:lvlJc w:val="left"/>
      <w:pPr>
        <w:tabs>
          <w:tab w:val="num" w:pos="850"/>
        </w:tabs>
        <w:ind w:left="850" w:hanging="283"/>
      </w:pPr>
      <w:rPr>
        <w:rFonts w:ascii="Times New Roman,Italic" w:hAnsi="Times New Roman,Italic"/>
      </w:rPr>
    </w:lvl>
    <w:lvl w:ilvl="3">
      <w:start w:val="1"/>
      <w:numFmt w:val="bullet"/>
      <w:pStyle w:val="TableListDash"/>
      <w:lvlText w:val="–"/>
      <w:lvlJc w:val="left"/>
      <w:pPr>
        <w:tabs>
          <w:tab w:val="num" w:pos="1134"/>
        </w:tabs>
        <w:ind w:left="1134" w:hanging="284"/>
      </w:pPr>
      <w:rPr>
        <w:rFonts w:ascii="Times New Roman,Italic" w:hAnsi="Times New Roman,Italic"/>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5" w15:restartNumberingAfterBreak="0">
    <w:nsid w:val="57662119"/>
    <w:multiLevelType w:val="hybridMultilevel"/>
    <w:tmpl w:val="6FB29E86"/>
    <w:lvl w:ilvl="0" w:tplc="FFFFFFFF">
      <w:start w:val="1"/>
      <w:numFmt w:val="bullet"/>
      <w:lvlText w:val=""/>
      <w:lvlJc w:val="left"/>
      <w:pPr>
        <w:ind w:left="780" w:hanging="360"/>
      </w:pPr>
      <w:rPr>
        <w:rFonts w:ascii="Symbol" w:hAnsi="Symbol" w:hint="default"/>
      </w:rPr>
    </w:lvl>
    <w:lvl w:ilvl="1" w:tplc="1809001B">
      <w:start w:val="1"/>
      <w:numFmt w:val="lowerRoman"/>
      <w:lvlText w:val="%2."/>
      <w:lvlJc w:val="right"/>
      <w:pPr>
        <w:ind w:left="1500" w:hanging="360"/>
      </w:p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56" w15:restartNumberingAfterBreak="0">
    <w:nsid w:val="581B5ADB"/>
    <w:multiLevelType w:val="hybridMultilevel"/>
    <w:tmpl w:val="ADE6D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C155B5"/>
    <w:multiLevelType w:val="hybridMultilevel"/>
    <w:tmpl w:val="F47AB004"/>
    <w:styleLink w:val="1ai"/>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C0E3BE1"/>
    <w:multiLevelType w:val="hybridMultilevel"/>
    <w:tmpl w:val="DF5A32B2"/>
    <w:lvl w:ilvl="0" w:tplc="F7783FE8">
      <w:start w:val="6"/>
      <w:numFmt w:val="bullet"/>
      <w:lvlText w:val="-"/>
      <w:lvlJc w:val="left"/>
      <w:pPr>
        <w:ind w:left="720" w:hanging="360"/>
      </w:pPr>
      <w:rPr>
        <w:rFonts w:ascii="Verdana" w:hAnsi="Verdana" w:hint="default"/>
      </w:rPr>
    </w:lvl>
    <w:lvl w:ilvl="1" w:tplc="11449D00">
      <w:start w:val="1"/>
      <w:numFmt w:val="bullet"/>
      <w:lvlText w:val="o"/>
      <w:lvlJc w:val="left"/>
      <w:pPr>
        <w:ind w:left="1440" w:hanging="360"/>
      </w:pPr>
      <w:rPr>
        <w:rFonts w:ascii="Courier New" w:hAnsi="Courier New" w:hint="default"/>
      </w:rPr>
    </w:lvl>
    <w:lvl w:ilvl="2" w:tplc="7E169A84">
      <w:start w:val="1"/>
      <w:numFmt w:val="bullet"/>
      <w:lvlText w:val=""/>
      <w:lvlJc w:val="left"/>
      <w:pPr>
        <w:ind w:left="2160" w:hanging="360"/>
      </w:pPr>
      <w:rPr>
        <w:rFonts w:ascii="Wingdings" w:hAnsi="Wingdings" w:hint="default"/>
      </w:rPr>
    </w:lvl>
    <w:lvl w:ilvl="3" w:tplc="5296DC12">
      <w:start w:val="1"/>
      <w:numFmt w:val="bullet"/>
      <w:lvlText w:val=""/>
      <w:lvlJc w:val="left"/>
      <w:pPr>
        <w:ind w:left="2880" w:hanging="360"/>
      </w:pPr>
      <w:rPr>
        <w:rFonts w:ascii="Symbol" w:hAnsi="Symbol" w:hint="default"/>
      </w:rPr>
    </w:lvl>
    <w:lvl w:ilvl="4" w:tplc="415A8D12" w:tentative="1">
      <w:start w:val="1"/>
      <w:numFmt w:val="bullet"/>
      <w:lvlText w:val="o"/>
      <w:lvlJc w:val="left"/>
      <w:pPr>
        <w:ind w:left="3600" w:hanging="360"/>
      </w:pPr>
      <w:rPr>
        <w:rFonts w:ascii="Courier New" w:hAnsi="Courier New" w:hint="default"/>
      </w:rPr>
    </w:lvl>
    <w:lvl w:ilvl="5" w:tplc="6F1C25D2" w:tentative="1">
      <w:start w:val="1"/>
      <w:numFmt w:val="bullet"/>
      <w:lvlText w:val=""/>
      <w:lvlJc w:val="left"/>
      <w:pPr>
        <w:ind w:left="4320" w:hanging="360"/>
      </w:pPr>
      <w:rPr>
        <w:rFonts w:ascii="Wingdings" w:hAnsi="Wingdings" w:hint="default"/>
      </w:rPr>
    </w:lvl>
    <w:lvl w:ilvl="6" w:tplc="3BE2D76A" w:tentative="1">
      <w:start w:val="1"/>
      <w:numFmt w:val="bullet"/>
      <w:lvlText w:val=""/>
      <w:lvlJc w:val="left"/>
      <w:pPr>
        <w:ind w:left="5040" w:hanging="360"/>
      </w:pPr>
      <w:rPr>
        <w:rFonts w:ascii="Symbol" w:hAnsi="Symbol" w:hint="default"/>
      </w:rPr>
    </w:lvl>
    <w:lvl w:ilvl="7" w:tplc="77C64936" w:tentative="1">
      <w:start w:val="1"/>
      <w:numFmt w:val="bullet"/>
      <w:lvlText w:val="o"/>
      <w:lvlJc w:val="left"/>
      <w:pPr>
        <w:ind w:left="5760" w:hanging="360"/>
      </w:pPr>
      <w:rPr>
        <w:rFonts w:ascii="Courier New" w:hAnsi="Courier New" w:hint="default"/>
      </w:rPr>
    </w:lvl>
    <w:lvl w:ilvl="8" w:tplc="1A7A3CC2" w:tentative="1">
      <w:start w:val="1"/>
      <w:numFmt w:val="bullet"/>
      <w:lvlText w:val=""/>
      <w:lvlJc w:val="left"/>
      <w:pPr>
        <w:ind w:left="6480" w:hanging="360"/>
      </w:pPr>
      <w:rPr>
        <w:rFonts w:ascii="Wingdings" w:hAnsi="Wingdings" w:hint="default"/>
      </w:rPr>
    </w:lvl>
  </w:abstractNum>
  <w:abstractNum w:abstractNumId="5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60" w15:restartNumberingAfterBreak="0">
    <w:nsid w:val="617E721A"/>
    <w:multiLevelType w:val="multilevel"/>
    <w:tmpl w:val="1F16DA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2A47D4A"/>
    <w:multiLevelType w:val="hybridMultilevel"/>
    <w:tmpl w:val="BAD048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2" w15:restartNumberingAfterBreak="0">
    <w:nsid w:val="62D02081"/>
    <w:multiLevelType w:val="hybridMultilevel"/>
    <w:tmpl w:val="58A63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3F326C1"/>
    <w:multiLevelType w:val="multilevel"/>
    <w:tmpl w:val="0600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4E6223C"/>
    <w:multiLevelType w:val="hybridMultilevel"/>
    <w:tmpl w:val="6A387328"/>
    <w:styleLink w:val="BulletList"/>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65971325"/>
    <w:multiLevelType w:val="hybridMultilevel"/>
    <w:tmpl w:val="B2AAB056"/>
    <w:lvl w:ilvl="0" w:tplc="1D14F76C">
      <w:numFmt w:val="bullet"/>
      <w:lvlText w:val="-"/>
      <w:lvlJc w:val="left"/>
      <w:pPr>
        <w:ind w:left="1080" w:hanging="72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7A03180"/>
    <w:multiLevelType w:val="hybridMultilevel"/>
    <w:tmpl w:val="987AE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8526EF3"/>
    <w:multiLevelType w:val="hybridMultilevel"/>
    <w:tmpl w:val="9B602E88"/>
    <w:styleLink w:val="adeListeBulletseinfach"/>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E417D69"/>
    <w:multiLevelType w:val="hybridMultilevel"/>
    <w:tmpl w:val="786A1DB0"/>
    <w:lvl w:ilvl="0" w:tplc="6486083E">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FD50565"/>
    <w:multiLevelType w:val="hybridMultilevel"/>
    <w:tmpl w:val="68D428D8"/>
    <w:lvl w:ilvl="0" w:tplc="AA9CC580">
      <w:start w:val="1"/>
      <w:numFmt w:val="bullet"/>
      <w:pStyle w:val="Tabeltekst"/>
      <w:lvlText w:val=""/>
      <w:lvlJc w:val="left"/>
      <w:pPr>
        <w:ind w:left="720" w:hanging="360"/>
      </w:pPr>
      <w:rPr>
        <w:rFonts w:ascii="Symbol" w:hAnsi="Symbol" w:hint="default"/>
        <w:b w:val="0"/>
        <w:i w:val="0"/>
        <w:color w:val="auto"/>
        <w:sz w:val="24"/>
      </w:rPr>
    </w:lvl>
    <w:lvl w:ilvl="1" w:tplc="FFFFFFFF" w:tentative="1">
      <w:start w:val="1"/>
      <w:numFmt w:val="bullet"/>
      <w:lvlText w:val="o"/>
      <w:lvlJc w:val="left"/>
      <w:pPr>
        <w:ind w:left="1440" w:hanging="360"/>
      </w:pPr>
      <w:rPr>
        <w:rFonts w:ascii="Wingdings" w:hAnsi="Wingdings" w:cs="Wingdings" w:hint="default"/>
      </w:rPr>
    </w:lvl>
    <w:lvl w:ilvl="2" w:tplc="FFFFFFFF" w:tentative="1">
      <w:start w:val="1"/>
      <w:numFmt w:val="bullet"/>
      <w:lvlText w:val=""/>
      <w:lvlJc w:val="left"/>
      <w:pPr>
        <w:ind w:left="2160" w:hanging="360"/>
      </w:pPr>
      <w:rPr>
        <w:rFonts w:ascii="Times New Roman (Body CS)" w:hAnsi="Times New Roman (Body CS)" w:hint="default"/>
      </w:rPr>
    </w:lvl>
    <w:lvl w:ilvl="3" w:tplc="FFFFFFFF" w:tentative="1">
      <w:start w:val="1"/>
      <w:numFmt w:val="bullet"/>
      <w:lvlText w:val=""/>
      <w:lvlJc w:val="left"/>
      <w:pPr>
        <w:ind w:left="2880" w:hanging="360"/>
      </w:pPr>
      <w:rPr>
        <w:rFonts w:ascii="Yu Gothic Light" w:hAnsi="Yu Gothic Light" w:hint="default"/>
      </w:rPr>
    </w:lvl>
    <w:lvl w:ilvl="4" w:tplc="FFFFFFFF" w:tentative="1">
      <w:start w:val="1"/>
      <w:numFmt w:val="bullet"/>
      <w:lvlText w:val="o"/>
      <w:lvlJc w:val="left"/>
      <w:pPr>
        <w:ind w:left="3600" w:hanging="360"/>
      </w:pPr>
      <w:rPr>
        <w:rFonts w:ascii="Wingdings" w:hAnsi="Wingdings" w:cs="Wingdings" w:hint="default"/>
      </w:rPr>
    </w:lvl>
    <w:lvl w:ilvl="5" w:tplc="FFFFFFFF" w:tentative="1">
      <w:start w:val="1"/>
      <w:numFmt w:val="bullet"/>
      <w:lvlText w:val=""/>
      <w:lvlJc w:val="left"/>
      <w:pPr>
        <w:ind w:left="4320" w:hanging="360"/>
      </w:pPr>
      <w:rPr>
        <w:rFonts w:ascii="Times New Roman (Body CS)" w:hAnsi="Times New Roman (Body CS)" w:hint="default"/>
      </w:rPr>
    </w:lvl>
    <w:lvl w:ilvl="6" w:tplc="FFFFFFFF" w:tentative="1">
      <w:start w:val="1"/>
      <w:numFmt w:val="bullet"/>
      <w:lvlText w:val=""/>
      <w:lvlJc w:val="left"/>
      <w:pPr>
        <w:ind w:left="5040" w:hanging="360"/>
      </w:pPr>
      <w:rPr>
        <w:rFonts w:ascii="Yu Gothic Light" w:hAnsi="Yu Gothic Light" w:hint="default"/>
      </w:rPr>
    </w:lvl>
    <w:lvl w:ilvl="7" w:tplc="FFFFFFFF" w:tentative="1">
      <w:start w:val="1"/>
      <w:numFmt w:val="bullet"/>
      <w:lvlText w:val="o"/>
      <w:lvlJc w:val="left"/>
      <w:pPr>
        <w:ind w:left="5760" w:hanging="360"/>
      </w:pPr>
      <w:rPr>
        <w:rFonts w:ascii="Wingdings" w:hAnsi="Wingdings" w:cs="Wingdings" w:hint="default"/>
      </w:rPr>
    </w:lvl>
    <w:lvl w:ilvl="8" w:tplc="FFFFFFFF" w:tentative="1">
      <w:start w:val="1"/>
      <w:numFmt w:val="bullet"/>
      <w:lvlText w:val=""/>
      <w:lvlJc w:val="left"/>
      <w:pPr>
        <w:ind w:left="6480" w:hanging="360"/>
      </w:pPr>
      <w:rPr>
        <w:rFonts w:ascii="Times New Roman (Body CS)" w:hAnsi="Times New Roman (Body CS)" w:hint="default"/>
      </w:rPr>
    </w:lvl>
  </w:abstractNum>
  <w:abstractNum w:abstractNumId="70" w15:restartNumberingAfterBreak="0">
    <w:nsid w:val="70DB4A25"/>
    <w:multiLevelType w:val="hybridMultilevel"/>
    <w:tmpl w:val="85C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C950F7"/>
    <w:multiLevelType w:val="multilevel"/>
    <w:tmpl w:val="3B9E6A38"/>
    <w:lvl w:ilvl="0">
      <w:start w:val="1"/>
      <w:numFmt w:val="decimal"/>
      <w:pStyle w:val="Heading10"/>
      <w:lvlText w:val="%1"/>
      <w:lvlJc w:val="left"/>
      <w:pPr>
        <w:ind w:left="0" w:firstLine="0"/>
      </w:pPr>
      <w:rPr>
        <w:rFonts w:ascii="Arial" w:hAnsi="Arial" w:hint="default"/>
      </w:rPr>
    </w:lvl>
    <w:lvl w:ilvl="1">
      <w:start w:val="1"/>
      <w:numFmt w:val="decimal"/>
      <w:pStyle w:val="Heading20"/>
      <w:lvlText w:val="%1.%2"/>
      <w:lvlJc w:val="left"/>
      <w:pPr>
        <w:ind w:left="0" w:firstLine="0"/>
      </w:pPr>
    </w:lvl>
    <w:lvl w:ilvl="2">
      <w:start w:val="1"/>
      <w:numFmt w:val="decimal"/>
      <w:pStyle w:val="Heading30"/>
      <w:lvlText w:val="%1.%2.%3"/>
      <w:lvlJc w:val="left"/>
      <w:pPr>
        <w:ind w:left="0" w:firstLine="0"/>
      </w:pPr>
      <w:rPr>
        <w:b/>
        <w:bCs/>
        <w:i w:val="0"/>
        <w:iCs w:val="0"/>
      </w:rPr>
    </w:lvl>
    <w:lvl w:ilvl="3">
      <w:start w:val="1"/>
      <w:numFmt w:val="decimal"/>
      <w:pStyle w:val="Heading40"/>
      <w:lvlText w:val="%1.%2.%3.%4"/>
      <w:lvlJc w:val="left"/>
      <w:pPr>
        <w:ind w:left="709" w:firstLine="0"/>
      </w:pPr>
      <w:rPr>
        <w:b w:val="0"/>
        <w:bCs w:val="0"/>
        <w:i/>
        <w:i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1" w:hanging="361"/>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737497B"/>
    <w:multiLevelType w:val="hybridMultilevel"/>
    <w:tmpl w:val="810AD25A"/>
    <w:styleLink w:val="NumbLstMain"/>
    <w:lvl w:ilvl="0" w:tplc="1FB82F9E">
      <w:start w:val="1"/>
      <w:numFmt w:val="bullet"/>
      <w:lvlText w:val="·"/>
      <w:lvlJc w:val="left"/>
      <w:pPr>
        <w:ind w:left="720" w:hanging="360"/>
      </w:pPr>
      <w:rPr>
        <w:rFonts w:ascii="Symbol" w:hAnsi="Symbol" w:hint="default"/>
      </w:rPr>
    </w:lvl>
    <w:lvl w:ilvl="1" w:tplc="0B80AFFE">
      <w:start w:val="1"/>
      <w:numFmt w:val="bullet"/>
      <w:lvlText w:val="o"/>
      <w:lvlJc w:val="left"/>
      <w:pPr>
        <w:ind w:left="1440" w:hanging="360"/>
      </w:pPr>
      <w:rPr>
        <w:rFonts w:ascii="Courier New" w:hAnsi="Courier New" w:hint="default"/>
      </w:rPr>
    </w:lvl>
    <w:lvl w:ilvl="2" w:tplc="164847F0">
      <w:start w:val="1"/>
      <w:numFmt w:val="bullet"/>
      <w:lvlText w:val=""/>
      <w:lvlJc w:val="left"/>
      <w:pPr>
        <w:ind w:left="2160" w:hanging="360"/>
      </w:pPr>
      <w:rPr>
        <w:rFonts w:ascii="Wingdings" w:hAnsi="Wingdings" w:hint="default"/>
      </w:rPr>
    </w:lvl>
    <w:lvl w:ilvl="3" w:tplc="55F29F9C">
      <w:start w:val="1"/>
      <w:numFmt w:val="bullet"/>
      <w:lvlText w:val=""/>
      <w:lvlJc w:val="left"/>
      <w:pPr>
        <w:ind w:left="2880" w:hanging="360"/>
      </w:pPr>
      <w:rPr>
        <w:rFonts w:ascii="Symbol" w:hAnsi="Symbol" w:hint="default"/>
      </w:rPr>
    </w:lvl>
    <w:lvl w:ilvl="4" w:tplc="90768CB4">
      <w:start w:val="1"/>
      <w:numFmt w:val="bullet"/>
      <w:lvlText w:val="o"/>
      <w:lvlJc w:val="left"/>
      <w:pPr>
        <w:ind w:left="3600" w:hanging="360"/>
      </w:pPr>
      <w:rPr>
        <w:rFonts w:ascii="Courier New" w:hAnsi="Courier New" w:hint="default"/>
      </w:rPr>
    </w:lvl>
    <w:lvl w:ilvl="5" w:tplc="6EFC4B80">
      <w:start w:val="1"/>
      <w:numFmt w:val="bullet"/>
      <w:lvlText w:val=""/>
      <w:lvlJc w:val="left"/>
      <w:pPr>
        <w:ind w:left="4320" w:hanging="360"/>
      </w:pPr>
      <w:rPr>
        <w:rFonts w:ascii="Wingdings" w:hAnsi="Wingdings" w:hint="default"/>
      </w:rPr>
    </w:lvl>
    <w:lvl w:ilvl="6" w:tplc="C0143DE2">
      <w:start w:val="1"/>
      <w:numFmt w:val="bullet"/>
      <w:lvlText w:val=""/>
      <w:lvlJc w:val="left"/>
      <w:pPr>
        <w:ind w:left="5040" w:hanging="360"/>
      </w:pPr>
      <w:rPr>
        <w:rFonts w:ascii="Symbol" w:hAnsi="Symbol" w:hint="default"/>
      </w:rPr>
    </w:lvl>
    <w:lvl w:ilvl="7" w:tplc="7EB091D4">
      <w:start w:val="1"/>
      <w:numFmt w:val="bullet"/>
      <w:lvlText w:val="o"/>
      <w:lvlJc w:val="left"/>
      <w:pPr>
        <w:ind w:left="5760" w:hanging="360"/>
      </w:pPr>
      <w:rPr>
        <w:rFonts w:ascii="Courier New" w:hAnsi="Courier New" w:hint="default"/>
      </w:rPr>
    </w:lvl>
    <w:lvl w:ilvl="8" w:tplc="F3AEFE68">
      <w:start w:val="1"/>
      <w:numFmt w:val="bullet"/>
      <w:lvlText w:val=""/>
      <w:lvlJc w:val="left"/>
      <w:pPr>
        <w:ind w:left="6480" w:hanging="360"/>
      </w:pPr>
      <w:rPr>
        <w:rFonts w:ascii="Wingdings" w:hAnsi="Wingdings" w:hint="default"/>
      </w:rPr>
    </w:lvl>
  </w:abstractNum>
  <w:abstractNum w:abstractNumId="73" w15:restartNumberingAfterBreak="0">
    <w:nsid w:val="78F23A35"/>
    <w:multiLevelType w:val="hybridMultilevel"/>
    <w:tmpl w:val="5A1EA180"/>
    <w:lvl w:ilvl="0" w:tplc="18EA2E56">
      <w:start w:val="1"/>
      <w:numFmt w:val="decimal"/>
      <w:lvlText w:val="(3)"/>
      <w:lvlJc w:val="left"/>
      <w:pPr>
        <w:ind w:left="720" w:hanging="360"/>
      </w:pPr>
      <w:rPr>
        <w:vertAlign w:val="baseline"/>
      </w:rPr>
    </w:lvl>
    <w:lvl w:ilvl="1" w:tplc="417A3712">
      <w:start w:val="1"/>
      <w:numFmt w:val="lowerLetter"/>
      <w:lvlText w:val="%2."/>
      <w:lvlJc w:val="left"/>
      <w:pPr>
        <w:ind w:left="1440" w:hanging="360"/>
      </w:pPr>
    </w:lvl>
    <w:lvl w:ilvl="2" w:tplc="FEF6BF2C">
      <w:start w:val="1"/>
      <w:numFmt w:val="lowerRoman"/>
      <w:lvlText w:val="%3."/>
      <w:lvlJc w:val="right"/>
      <w:pPr>
        <w:ind w:left="2160" w:hanging="180"/>
      </w:pPr>
    </w:lvl>
    <w:lvl w:ilvl="3" w:tplc="92762B98">
      <w:start w:val="1"/>
      <w:numFmt w:val="decimal"/>
      <w:lvlText w:val="%4."/>
      <w:lvlJc w:val="left"/>
      <w:pPr>
        <w:ind w:left="2880" w:hanging="360"/>
      </w:pPr>
    </w:lvl>
    <w:lvl w:ilvl="4" w:tplc="E4B0D460">
      <w:start w:val="1"/>
      <w:numFmt w:val="lowerLetter"/>
      <w:lvlText w:val="%5."/>
      <w:lvlJc w:val="left"/>
      <w:pPr>
        <w:ind w:left="3600" w:hanging="360"/>
      </w:pPr>
    </w:lvl>
    <w:lvl w:ilvl="5" w:tplc="15E414C4">
      <w:start w:val="1"/>
      <w:numFmt w:val="lowerRoman"/>
      <w:lvlText w:val="%6."/>
      <w:lvlJc w:val="right"/>
      <w:pPr>
        <w:ind w:left="4320" w:hanging="180"/>
      </w:pPr>
    </w:lvl>
    <w:lvl w:ilvl="6" w:tplc="22ECFDB6">
      <w:start w:val="1"/>
      <w:numFmt w:val="decimal"/>
      <w:lvlText w:val="%7."/>
      <w:lvlJc w:val="left"/>
      <w:pPr>
        <w:ind w:left="5040" w:hanging="360"/>
      </w:pPr>
    </w:lvl>
    <w:lvl w:ilvl="7" w:tplc="FAF2B732">
      <w:start w:val="1"/>
      <w:numFmt w:val="lowerLetter"/>
      <w:lvlText w:val="%8."/>
      <w:lvlJc w:val="left"/>
      <w:pPr>
        <w:ind w:left="5760" w:hanging="360"/>
      </w:pPr>
    </w:lvl>
    <w:lvl w:ilvl="8" w:tplc="7C1E0A3A">
      <w:start w:val="1"/>
      <w:numFmt w:val="lowerRoman"/>
      <w:lvlText w:val="%9."/>
      <w:lvlJc w:val="right"/>
      <w:pPr>
        <w:ind w:left="6480" w:hanging="180"/>
      </w:pPr>
    </w:lvl>
  </w:abstractNum>
  <w:abstractNum w:abstractNumId="74" w15:restartNumberingAfterBreak="0">
    <w:nsid w:val="7C651460"/>
    <w:multiLevelType w:val="singleLevel"/>
    <w:tmpl w:val="8ED643B6"/>
    <w:lvl w:ilvl="0">
      <w:start w:val="1"/>
      <w:numFmt w:val="decimal"/>
      <w:pStyle w:val="ListBullet3Level4"/>
      <w:lvlText w:val="%1."/>
      <w:lvlJc w:val="left"/>
      <w:pPr>
        <w:ind w:left="360" w:hanging="360"/>
      </w:pPr>
    </w:lvl>
  </w:abstractNum>
  <w:abstractNum w:abstractNumId="75" w15:restartNumberingAfterBreak="0">
    <w:nsid w:val="7E362C5F"/>
    <w:multiLevelType w:val="hybridMultilevel"/>
    <w:tmpl w:val="7DFED7D6"/>
    <w:styleLink w:val="1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82401715">
    <w:abstractNumId w:val="39"/>
  </w:num>
  <w:num w:numId="2" w16cid:durableId="746154265">
    <w:abstractNumId w:val="17"/>
  </w:num>
  <w:num w:numId="3" w16cid:durableId="1339694531">
    <w:abstractNumId w:val="5"/>
  </w:num>
  <w:num w:numId="4" w16cid:durableId="2082631126">
    <w:abstractNumId w:val="12"/>
  </w:num>
  <w:num w:numId="5" w16cid:durableId="1904172160">
    <w:abstractNumId w:val="67"/>
  </w:num>
  <w:num w:numId="6" w16cid:durableId="1384717312">
    <w:abstractNumId w:val="57"/>
  </w:num>
  <w:num w:numId="7" w16cid:durableId="130707417">
    <w:abstractNumId w:val="75"/>
  </w:num>
  <w:num w:numId="8" w16cid:durableId="1291131004">
    <w:abstractNumId w:val="64"/>
  </w:num>
  <w:num w:numId="9" w16cid:durableId="1947882997">
    <w:abstractNumId w:val="36"/>
  </w:num>
  <w:num w:numId="10" w16cid:durableId="1894584405">
    <w:abstractNumId w:val="29"/>
  </w:num>
  <w:num w:numId="11" w16cid:durableId="940331431">
    <w:abstractNumId w:val="23"/>
  </w:num>
  <w:num w:numId="12" w16cid:durableId="2096513825">
    <w:abstractNumId w:val="34"/>
  </w:num>
  <w:num w:numId="13" w16cid:durableId="76296123">
    <w:abstractNumId w:val="22"/>
  </w:num>
  <w:num w:numId="14" w16cid:durableId="1593859290">
    <w:abstractNumId w:val="71"/>
  </w:num>
  <w:num w:numId="15" w16cid:durableId="892934149">
    <w:abstractNumId w:val="30"/>
  </w:num>
  <w:num w:numId="16" w16cid:durableId="1777358951">
    <w:abstractNumId w:val="42"/>
  </w:num>
  <w:num w:numId="17" w16cid:durableId="687946876">
    <w:abstractNumId w:val="42"/>
    <w:lvlOverride w:ilvl="0">
      <w:startOverride w:val="1"/>
    </w:lvlOverride>
  </w:num>
  <w:num w:numId="18" w16cid:durableId="112604345">
    <w:abstractNumId w:val="10"/>
  </w:num>
  <w:num w:numId="19" w16cid:durableId="1159737154">
    <w:abstractNumId w:val="37"/>
  </w:num>
  <w:num w:numId="20" w16cid:durableId="1599634840">
    <w:abstractNumId w:val="59"/>
  </w:num>
  <w:num w:numId="21" w16cid:durableId="262996475">
    <w:abstractNumId w:val="27"/>
  </w:num>
  <w:num w:numId="22" w16cid:durableId="1867252168">
    <w:abstractNumId w:val="72"/>
  </w:num>
  <w:num w:numId="23" w16cid:durableId="588318365">
    <w:abstractNumId w:val="25"/>
  </w:num>
  <w:num w:numId="24" w16cid:durableId="1337423962">
    <w:abstractNumId w:val="31"/>
  </w:num>
  <w:num w:numId="25" w16cid:durableId="815730682">
    <w:abstractNumId w:val="55"/>
  </w:num>
  <w:num w:numId="26" w16cid:durableId="1299914742">
    <w:abstractNumId w:val="50"/>
  </w:num>
  <w:num w:numId="27" w16cid:durableId="1743063205">
    <w:abstractNumId w:val="40"/>
  </w:num>
  <w:num w:numId="28" w16cid:durableId="97137478">
    <w:abstractNumId w:val="63"/>
  </w:num>
  <w:num w:numId="29" w16cid:durableId="154540694">
    <w:abstractNumId w:val="65"/>
  </w:num>
  <w:num w:numId="30" w16cid:durableId="1150752452">
    <w:abstractNumId w:val="1"/>
  </w:num>
  <w:num w:numId="31" w16cid:durableId="1944530051">
    <w:abstractNumId w:val="14"/>
  </w:num>
  <w:num w:numId="32" w16cid:durableId="1633171425">
    <w:abstractNumId w:val="48"/>
  </w:num>
  <w:num w:numId="33" w16cid:durableId="1711806498">
    <w:abstractNumId w:val="19"/>
  </w:num>
  <w:num w:numId="34" w16cid:durableId="734356915">
    <w:abstractNumId w:val="9"/>
  </w:num>
  <w:num w:numId="35" w16cid:durableId="1874002891">
    <w:abstractNumId w:val="20"/>
  </w:num>
  <w:num w:numId="36" w16cid:durableId="739601542">
    <w:abstractNumId w:val="62"/>
  </w:num>
  <w:num w:numId="37" w16cid:durableId="721711736">
    <w:abstractNumId w:val="0"/>
  </w:num>
  <w:num w:numId="38" w16cid:durableId="128404553">
    <w:abstractNumId w:val="45"/>
  </w:num>
  <w:num w:numId="39" w16cid:durableId="1206986514">
    <w:abstractNumId w:val="47"/>
  </w:num>
  <w:num w:numId="40" w16cid:durableId="831994391">
    <w:abstractNumId w:val="61"/>
  </w:num>
  <w:num w:numId="41" w16cid:durableId="301886873">
    <w:abstractNumId w:val="68"/>
  </w:num>
  <w:num w:numId="42" w16cid:durableId="144973958">
    <w:abstractNumId w:val="52"/>
  </w:num>
  <w:num w:numId="43" w16cid:durableId="1123770946">
    <w:abstractNumId w:val="33"/>
  </w:num>
  <w:num w:numId="44" w16cid:durableId="113209006">
    <w:abstractNumId w:val="15"/>
  </w:num>
  <w:num w:numId="45" w16cid:durableId="2128154464">
    <w:abstractNumId w:val="35"/>
  </w:num>
  <w:num w:numId="46" w16cid:durableId="82916036">
    <w:abstractNumId w:val="54"/>
  </w:num>
  <w:num w:numId="47" w16cid:durableId="2011786863">
    <w:abstractNumId w:val="4"/>
  </w:num>
  <w:num w:numId="48" w16cid:durableId="1554274047">
    <w:abstractNumId w:val="11"/>
  </w:num>
  <w:num w:numId="49" w16cid:durableId="1386106453">
    <w:abstractNumId w:val="6"/>
  </w:num>
  <w:num w:numId="50" w16cid:durableId="1410231625">
    <w:abstractNumId w:val="8"/>
  </w:num>
  <w:num w:numId="51" w16cid:durableId="1664115281">
    <w:abstractNumId w:val="24"/>
  </w:num>
  <w:num w:numId="52" w16cid:durableId="1913349007">
    <w:abstractNumId w:val="38"/>
  </w:num>
  <w:num w:numId="53" w16cid:durableId="1004821866">
    <w:abstractNumId w:val="26"/>
  </w:num>
  <w:num w:numId="54" w16cid:durableId="393554164">
    <w:abstractNumId w:val="74"/>
  </w:num>
  <w:num w:numId="55" w16cid:durableId="1252274382">
    <w:abstractNumId w:val="69"/>
  </w:num>
  <w:num w:numId="56" w16cid:durableId="475076824">
    <w:abstractNumId w:val="3"/>
  </w:num>
  <w:num w:numId="57" w16cid:durableId="308364279">
    <w:abstractNumId w:val="21"/>
  </w:num>
  <w:num w:numId="58" w16cid:durableId="1858156300">
    <w:abstractNumId w:val="70"/>
  </w:num>
  <w:num w:numId="59" w16cid:durableId="1472088509">
    <w:abstractNumId w:val="18"/>
  </w:num>
  <w:num w:numId="60" w16cid:durableId="10153085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0189980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1637852">
    <w:abstractNumId w:val="46"/>
  </w:num>
  <w:num w:numId="63" w16cid:durableId="1935046340">
    <w:abstractNumId w:val="60"/>
  </w:num>
  <w:num w:numId="64" w16cid:durableId="1454327771">
    <w:abstractNumId w:val="53"/>
  </w:num>
  <w:num w:numId="65" w16cid:durableId="1752848582">
    <w:abstractNumId w:val="32"/>
  </w:num>
  <w:num w:numId="66" w16cid:durableId="308176532">
    <w:abstractNumId w:val="2"/>
  </w:num>
  <w:num w:numId="67" w16cid:durableId="682123450">
    <w:abstractNumId w:val="13"/>
  </w:num>
  <w:num w:numId="68" w16cid:durableId="165292525">
    <w:abstractNumId w:val="56"/>
  </w:num>
  <w:num w:numId="69" w16cid:durableId="613050742">
    <w:abstractNumId w:val="66"/>
  </w:num>
  <w:num w:numId="70" w16cid:durableId="1079596798">
    <w:abstractNumId w:val="58"/>
  </w:num>
  <w:num w:numId="71" w16cid:durableId="606472755">
    <w:abstractNumId w:val="44"/>
  </w:num>
  <w:num w:numId="72" w16cid:durableId="1959023518">
    <w:abstractNumId w:val="30"/>
    <w:lvlOverride w:ilvl="0">
      <w:startOverride w:val="1"/>
    </w:lvlOverride>
  </w:num>
  <w:num w:numId="73" w16cid:durableId="1525360532">
    <w:abstractNumId w:val="7"/>
  </w:num>
  <w:num w:numId="74" w16cid:durableId="1039935381">
    <w:abstractNumId w:val="73"/>
  </w:num>
  <w:num w:numId="75" w16cid:durableId="1177890974">
    <w:abstractNumId w:val="43"/>
  </w:num>
  <w:num w:numId="76" w16cid:durableId="510490629">
    <w:abstractNumId w:val="30"/>
    <w:lvlOverride w:ilvl="0">
      <w:startOverride w:val="1"/>
    </w:lvlOverride>
  </w:num>
  <w:num w:numId="77" w16cid:durableId="659773470">
    <w:abstractNumId w:val="16"/>
  </w:num>
  <w:num w:numId="78" w16cid:durableId="5502703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238055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999967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155344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33272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732710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84801489">
    <w:abstractNumId w:val="28"/>
  </w:num>
  <w:num w:numId="85" w16cid:durableId="1296253249">
    <w:abstractNumId w:val="51"/>
  </w:num>
  <w:num w:numId="86" w16cid:durableId="17497654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322834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5641717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150285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3752006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66611868">
    <w:abstractNumId w:val="30"/>
    <w:lvlOverride w:ilvl="0">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hideSpellingErrors/>
  <w:hideGrammaticalErrors/>
  <w:stylePaneFormatFilter w:val="5F24" w:allStyles="0" w:customStyles="0" w:latentStyles="1" w:stylesInUse="0" w:headingStyles="1" w:numberingStyles="0" w:tableStyles="0" w:directFormattingOnRuns="1" w:directFormattingOnParagraphs="1" w:directFormattingOnNumbering="1" w:directFormattingOnTables="1" w:clearFormatting="1" w:top3HeadingStyles="0" w:visibleStyles="1" w:alternateStyleNames="0"/>
  <w:stylePaneSortMethod w:val="0004"/>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Red"/>
    <w:docVar w:name="LW_ACCOMPAGNANT.CP" w:val="Accompanying the documents"/>
    <w:docVar w:name="LW_CORRIGENDUM" w:val="&lt;UNUSED&gt;"/>
    <w:docVar w:name="LW_COVERPAGE_EXISTS" w:val="True"/>
    <w:docVar w:name="LW_COVERPAGE_GUID" w:val="144011CB-F05B-470A-A279-ADAB9B7AF66D"/>
    <w:docVar w:name="LW_COVERPAGE_TYPE" w:val="1"/>
    <w:docVar w:name="LW_CROSSREFERENCE" w:val="{COM(2026) 616 final} - {COM(2026) 619 final} - {COM(2026) 620 final} - {SEC(2026) 616 final} - {SWD(2026) 617 final} - {SWD(2026) 618 final}"/>
    <w:docVar w:name="LW_DocType" w:val="RICARDO REPORT TEMPLATE (1)"/>
    <w:docVar w:name="LW_EMISSION" w:val="17.7.2026"/>
    <w:docVar w:name="LW_EMISSION_ISODATE" w:val="2026-07-17"/>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_x000d__x000d__x000d__x000d__x000b__x000d__x000d__x000d__x000d__x000b__x000d__x000d__x000d__x000d__x000b__x000d__x000d__x000d__x000d__x000b_REGULATION OF THE EUROPEAN PARLIAMENT AND OF THE COUNCIL amending Directive 2003/87/EC as regards revised benchmark values for the heat and fuel benchmarks for the period from 2026 to 2030_x000d__x000d__x000d__x000d__x000b__x000d__x000d__x000d__x000d__x000b__x000d__x000d__x000d__x000d__x000b__x000d__x000d__x000d__x000d__x000b_REGULATION OF THE EUROPEAN PARLIAMENT AND OF THE COUNCIL amending Regulations (EU) 2015/757 and (EU) 2023/1805 to simplify and streamline monitoring, reporting and verification and to align with revisions of the EU Emissions Trading System"/>
    <w:docVar w:name="LW_PART_NBR" w:val="2"/>
    <w:docVar w:name="LW_PART_NBR_TOTAL" w:val="5"/>
    <w:docVar w:name="LW_REF.INST.NEW" w:val="SWD"/>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w:docVar w:name="LwApiVersions" w:val="LW4CoDe 1.24.5.0; LW 9.2, Build 20251112"/>
  </w:docVars>
  <w:rsids>
    <w:rsidRoot w:val="00782018"/>
    <w:rsid w:val="00000049"/>
    <w:rsid w:val="000000F9"/>
    <w:rsid w:val="0000017E"/>
    <w:rsid w:val="0000042E"/>
    <w:rsid w:val="00000544"/>
    <w:rsid w:val="0000054D"/>
    <w:rsid w:val="00000609"/>
    <w:rsid w:val="00000667"/>
    <w:rsid w:val="00000717"/>
    <w:rsid w:val="0000086A"/>
    <w:rsid w:val="000008B4"/>
    <w:rsid w:val="00000952"/>
    <w:rsid w:val="0000095E"/>
    <w:rsid w:val="00000A89"/>
    <w:rsid w:val="00000A97"/>
    <w:rsid w:val="00000B06"/>
    <w:rsid w:val="00000B1F"/>
    <w:rsid w:val="00000B49"/>
    <w:rsid w:val="00000BE9"/>
    <w:rsid w:val="00000EBC"/>
    <w:rsid w:val="00000EC1"/>
    <w:rsid w:val="00000FF2"/>
    <w:rsid w:val="00000FFF"/>
    <w:rsid w:val="000012AE"/>
    <w:rsid w:val="000012D4"/>
    <w:rsid w:val="000013A3"/>
    <w:rsid w:val="000015CB"/>
    <w:rsid w:val="000016E2"/>
    <w:rsid w:val="00001781"/>
    <w:rsid w:val="000017EB"/>
    <w:rsid w:val="000018A9"/>
    <w:rsid w:val="00001919"/>
    <w:rsid w:val="00001A7B"/>
    <w:rsid w:val="00001DEE"/>
    <w:rsid w:val="00001F88"/>
    <w:rsid w:val="00002055"/>
    <w:rsid w:val="000023CE"/>
    <w:rsid w:val="00002411"/>
    <w:rsid w:val="000024B0"/>
    <w:rsid w:val="000025C4"/>
    <w:rsid w:val="000025E7"/>
    <w:rsid w:val="000025F1"/>
    <w:rsid w:val="00002741"/>
    <w:rsid w:val="00002767"/>
    <w:rsid w:val="00002774"/>
    <w:rsid w:val="000027C5"/>
    <w:rsid w:val="00002869"/>
    <w:rsid w:val="000028D6"/>
    <w:rsid w:val="000028EC"/>
    <w:rsid w:val="0000294D"/>
    <w:rsid w:val="00002D75"/>
    <w:rsid w:val="00002DA0"/>
    <w:rsid w:val="00002F22"/>
    <w:rsid w:val="00002FD9"/>
    <w:rsid w:val="00003049"/>
    <w:rsid w:val="0000305C"/>
    <w:rsid w:val="0000323E"/>
    <w:rsid w:val="0000328A"/>
    <w:rsid w:val="00003299"/>
    <w:rsid w:val="000032FB"/>
    <w:rsid w:val="0000335F"/>
    <w:rsid w:val="00003376"/>
    <w:rsid w:val="00003475"/>
    <w:rsid w:val="00003565"/>
    <w:rsid w:val="0000361E"/>
    <w:rsid w:val="0000362D"/>
    <w:rsid w:val="00003656"/>
    <w:rsid w:val="00003A96"/>
    <w:rsid w:val="00003AFD"/>
    <w:rsid w:val="00003BD4"/>
    <w:rsid w:val="00003D45"/>
    <w:rsid w:val="00003DAC"/>
    <w:rsid w:val="00003EC3"/>
    <w:rsid w:val="000040C7"/>
    <w:rsid w:val="00004182"/>
    <w:rsid w:val="000041AB"/>
    <w:rsid w:val="000043A9"/>
    <w:rsid w:val="00004429"/>
    <w:rsid w:val="0000478F"/>
    <w:rsid w:val="000047C0"/>
    <w:rsid w:val="000047C3"/>
    <w:rsid w:val="00004A32"/>
    <w:rsid w:val="00004BCC"/>
    <w:rsid w:val="00004D3E"/>
    <w:rsid w:val="00004DE2"/>
    <w:rsid w:val="00004E92"/>
    <w:rsid w:val="00004EAD"/>
    <w:rsid w:val="00004F5D"/>
    <w:rsid w:val="0000511C"/>
    <w:rsid w:val="00005293"/>
    <w:rsid w:val="00005339"/>
    <w:rsid w:val="000053B2"/>
    <w:rsid w:val="000055CD"/>
    <w:rsid w:val="0000572B"/>
    <w:rsid w:val="000057B2"/>
    <w:rsid w:val="000058B2"/>
    <w:rsid w:val="00005A32"/>
    <w:rsid w:val="00005B04"/>
    <w:rsid w:val="00005B1D"/>
    <w:rsid w:val="00005CC4"/>
    <w:rsid w:val="00005DD3"/>
    <w:rsid w:val="00005F49"/>
    <w:rsid w:val="0000609E"/>
    <w:rsid w:val="000062DF"/>
    <w:rsid w:val="000063CA"/>
    <w:rsid w:val="0000650E"/>
    <w:rsid w:val="0000655E"/>
    <w:rsid w:val="0000676D"/>
    <w:rsid w:val="00006789"/>
    <w:rsid w:val="00006810"/>
    <w:rsid w:val="00006821"/>
    <w:rsid w:val="0000682C"/>
    <w:rsid w:val="0000687F"/>
    <w:rsid w:val="00006AD7"/>
    <w:rsid w:val="00006AF8"/>
    <w:rsid w:val="00006B3E"/>
    <w:rsid w:val="00006BAC"/>
    <w:rsid w:val="00006C79"/>
    <w:rsid w:val="00006E12"/>
    <w:rsid w:val="00006E7E"/>
    <w:rsid w:val="00006EDE"/>
    <w:rsid w:val="00007179"/>
    <w:rsid w:val="000072D0"/>
    <w:rsid w:val="000074A8"/>
    <w:rsid w:val="000075D9"/>
    <w:rsid w:val="000075ED"/>
    <w:rsid w:val="00007640"/>
    <w:rsid w:val="00007676"/>
    <w:rsid w:val="00007730"/>
    <w:rsid w:val="000078AF"/>
    <w:rsid w:val="000078CA"/>
    <w:rsid w:val="000079AB"/>
    <w:rsid w:val="000079F3"/>
    <w:rsid w:val="00007CF7"/>
    <w:rsid w:val="00007CFD"/>
    <w:rsid w:val="00007EA7"/>
    <w:rsid w:val="00007F51"/>
    <w:rsid w:val="00007FE7"/>
    <w:rsid w:val="00007FED"/>
    <w:rsid w:val="00010070"/>
    <w:rsid w:val="000100F1"/>
    <w:rsid w:val="000104A0"/>
    <w:rsid w:val="000104C7"/>
    <w:rsid w:val="000105ED"/>
    <w:rsid w:val="000106D2"/>
    <w:rsid w:val="0001071F"/>
    <w:rsid w:val="00010A16"/>
    <w:rsid w:val="00010BC7"/>
    <w:rsid w:val="00010F81"/>
    <w:rsid w:val="0001104A"/>
    <w:rsid w:val="00011081"/>
    <w:rsid w:val="000110C8"/>
    <w:rsid w:val="000110FB"/>
    <w:rsid w:val="000111E7"/>
    <w:rsid w:val="00011263"/>
    <w:rsid w:val="000113A7"/>
    <w:rsid w:val="00011453"/>
    <w:rsid w:val="000114FF"/>
    <w:rsid w:val="0001153D"/>
    <w:rsid w:val="000116D9"/>
    <w:rsid w:val="000117D3"/>
    <w:rsid w:val="0001183A"/>
    <w:rsid w:val="00011843"/>
    <w:rsid w:val="0001194F"/>
    <w:rsid w:val="00011984"/>
    <w:rsid w:val="00011D0E"/>
    <w:rsid w:val="00012109"/>
    <w:rsid w:val="00012173"/>
    <w:rsid w:val="0001239B"/>
    <w:rsid w:val="000123AD"/>
    <w:rsid w:val="0001241E"/>
    <w:rsid w:val="00012456"/>
    <w:rsid w:val="000125B2"/>
    <w:rsid w:val="00012705"/>
    <w:rsid w:val="00012754"/>
    <w:rsid w:val="000129AB"/>
    <w:rsid w:val="00012AA7"/>
    <w:rsid w:val="00012B0F"/>
    <w:rsid w:val="00012F86"/>
    <w:rsid w:val="0001300C"/>
    <w:rsid w:val="0001336D"/>
    <w:rsid w:val="000133B8"/>
    <w:rsid w:val="0001352F"/>
    <w:rsid w:val="00013582"/>
    <w:rsid w:val="000136DB"/>
    <w:rsid w:val="0001374B"/>
    <w:rsid w:val="0001385F"/>
    <w:rsid w:val="00013AE4"/>
    <w:rsid w:val="00013CA2"/>
    <w:rsid w:val="00013CB4"/>
    <w:rsid w:val="00013D93"/>
    <w:rsid w:val="00013E00"/>
    <w:rsid w:val="00013EC0"/>
    <w:rsid w:val="00014185"/>
    <w:rsid w:val="000141CF"/>
    <w:rsid w:val="00014228"/>
    <w:rsid w:val="00014232"/>
    <w:rsid w:val="00014297"/>
    <w:rsid w:val="000142FD"/>
    <w:rsid w:val="000143AE"/>
    <w:rsid w:val="000143F1"/>
    <w:rsid w:val="0001442F"/>
    <w:rsid w:val="00014685"/>
    <w:rsid w:val="000146C8"/>
    <w:rsid w:val="00014770"/>
    <w:rsid w:val="000147EE"/>
    <w:rsid w:val="000149A7"/>
    <w:rsid w:val="000149A9"/>
    <w:rsid w:val="000149AC"/>
    <w:rsid w:val="00014A2F"/>
    <w:rsid w:val="00014A4B"/>
    <w:rsid w:val="00014A74"/>
    <w:rsid w:val="00014B09"/>
    <w:rsid w:val="00014B8A"/>
    <w:rsid w:val="00014BC5"/>
    <w:rsid w:val="00014C08"/>
    <w:rsid w:val="00014CFE"/>
    <w:rsid w:val="00014E21"/>
    <w:rsid w:val="00014E70"/>
    <w:rsid w:val="00014E79"/>
    <w:rsid w:val="00014EBA"/>
    <w:rsid w:val="00014FEA"/>
    <w:rsid w:val="0001535C"/>
    <w:rsid w:val="0001544F"/>
    <w:rsid w:val="000155DC"/>
    <w:rsid w:val="0001563E"/>
    <w:rsid w:val="0001569C"/>
    <w:rsid w:val="000156D4"/>
    <w:rsid w:val="0001592E"/>
    <w:rsid w:val="000159D2"/>
    <w:rsid w:val="000159E2"/>
    <w:rsid w:val="000159F4"/>
    <w:rsid w:val="00015A0C"/>
    <w:rsid w:val="00015ADB"/>
    <w:rsid w:val="00015BA9"/>
    <w:rsid w:val="00015C03"/>
    <w:rsid w:val="00015C2A"/>
    <w:rsid w:val="00015C6C"/>
    <w:rsid w:val="00015E84"/>
    <w:rsid w:val="00015ED3"/>
    <w:rsid w:val="00015FAD"/>
    <w:rsid w:val="000160A3"/>
    <w:rsid w:val="00016134"/>
    <w:rsid w:val="000161A0"/>
    <w:rsid w:val="000161FA"/>
    <w:rsid w:val="00016277"/>
    <w:rsid w:val="00016356"/>
    <w:rsid w:val="00016366"/>
    <w:rsid w:val="0001636B"/>
    <w:rsid w:val="00016670"/>
    <w:rsid w:val="00016835"/>
    <w:rsid w:val="00016852"/>
    <w:rsid w:val="000168E7"/>
    <w:rsid w:val="0001697E"/>
    <w:rsid w:val="00016ACA"/>
    <w:rsid w:val="00016AF7"/>
    <w:rsid w:val="00016C1F"/>
    <w:rsid w:val="00016D2A"/>
    <w:rsid w:val="00016D64"/>
    <w:rsid w:val="00016DDE"/>
    <w:rsid w:val="00016E9E"/>
    <w:rsid w:val="00016F61"/>
    <w:rsid w:val="00017193"/>
    <w:rsid w:val="0001726F"/>
    <w:rsid w:val="000172ED"/>
    <w:rsid w:val="00017371"/>
    <w:rsid w:val="00017464"/>
    <w:rsid w:val="00017500"/>
    <w:rsid w:val="00017552"/>
    <w:rsid w:val="000175E0"/>
    <w:rsid w:val="00017650"/>
    <w:rsid w:val="00017738"/>
    <w:rsid w:val="000177BF"/>
    <w:rsid w:val="00017960"/>
    <w:rsid w:val="000179B4"/>
    <w:rsid w:val="00017AD8"/>
    <w:rsid w:val="00017B8F"/>
    <w:rsid w:val="00017D3A"/>
    <w:rsid w:val="00017D6D"/>
    <w:rsid w:val="00017D89"/>
    <w:rsid w:val="00017DD4"/>
    <w:rsid w:val="00017E67"/>
    <w:rsid w:val="00017EEA"/>
    <w:rsid w:val="000200F4"/>
    <w:rsid w:val="00020354"/>
    <w:rsid w:val="000203AD"/>
    <w:rsid w:val="00020418"/>
    <w:rsid w:val="0002044D"/>
    <w:rsid w:val="00020492"/>
    <w:rsid w:val="000206B8"/>
    <w:rsid w:val="0002078C"/>
    <w:rsid w:val="000209A4"/>
    <w:rsid w:val="00020AA8"/>
    <w:rsid w:val="00020CA3"/>
    <w:rsid w:val="00020CC0"/>
    <w:rsid w:val="00020D5C"/>
    <w:rsid w:val="00020DB2"/>
    <w:rsid w:val="00020DD0"/>
    <w:rsid w:val="00020E50"/>
    <w:rsid w:val="00020E8A"/>
    <w:rsid w:val="00020FD9"/>
    <w:rsid w:val="00020FF3"/>
    <w:rsid w:val="00020FF8"/>
    <w:rsid w:val="000210B6"/>
    <w:rsid w:val="00021104"/>
    <w:rsid w:val="00021156"/>
    <w:rsid w:val="0002115A"/>
    <w:rsid w:val="000211E6"/>
    <w:rsid w:val="0002135D"/>
    <w:rsid w:val="0002139B"/>
    <w:rsid w:val="000216C0"/>
    <w:rsid w:val="000216FA"/>
    <w:rsid w:val="0002185B"/>
    <w:rsid w:val="000218F5"/>
    <w:rsid w:val="00021923"/>
    <w:rsid w:val="00021996"/>
    <w:rsid w:val="00021A4D"/>
    <w:rsid w:val="00021AFE"/>
    <w:rsid w:val="00021B82"/>
    <w:rsid w:val="00021B83"/>
    <w:rsid w:val="00021B9F"/>
    <w:rsid w:val="00021C6C"/>
    <w:rsid w:val="00021D2F"/>
    <w:rsid w:val="00021DED"/>
    <w:rsid w:val="00021E28"/>
    <w:rsid w:val="00021E3F"/>
    <w:rsid w:val="00021E40"/>
    <w:rsid w:val="00021E65"/>
    <w:rsid w:val="00021EDE"/>
    <w:rsid w:val="00021FE7"/>
    <w:rsid w:val="0002215F"/>
    <w:rsid w:val="000224DE"/>
    <w:rsid w:val="0002253F"/>
    <w:rsid w:val="000225A8"/>
    <w:rsid w:val="000225E4"/>
    <w:rsid w:val="00022774"/>
    <w:rsid w:val="000228FC"/>
    <w:rsid w:val="000229F0"/>
    <w:rsid w:val="00022BEA"/>
    <w:rsid w:val="00023024"/>
    <w:rsid w:val="00023066"/>
    <w:rsid w:val="000230E5"/>
    <w:rsid w:val="0002340F"/>
    <w:rsid w:val="000234AB"/>
    <w:rsid w:val="000234B0"/>
    <w:rsid w:val="0002350E"/>
    <w:rsid w:val="00023529"/>
    <w:rsid w:val="00023968"/>
    <w:rsid w:val="0002399F"/>
    <w:rsid w:val="000239F4"/>
    <w:rsid w:val="00023A03"/>
    <w:rsid w:val="00023C5B"/>
    <w:rsid w:val="00023DDA"/>
    <w:rsid w:val="00023E35"/>
    <w:rsid w:val="00023E6C"/>
    <w:rsid w:val="00023FA7"/>
    <w:rsid w:val="000240AC"/>
    <w:rsid w:val="0002423E"/>
    <w:rsid w:val="000244DC"/>
    <w:rsid w:val="00024516"/>
    <w:rsid w:val="00024575"/>
    <w:rsid w:val="0002459B"/>
    <w:rsid w:val="0002465D"/>
    <w:rsid w:val="00024848"/>
    <w:rsid w:val="00024857"/>
    <w:rsid w:val="00024961"/>
    <w:rsid w:val="00024988"/>
    <w:rsid w:val="000249BE"/>
    <w:rsid w:val="00024AA8"/>
    <w:rsid w:val="00024AFB"/>
    <w:rsid w:val="00024C2D"/>
    <w:rsid w:val="00024D7F"/>
    <w:rsid w:val="00024D97"/>
    <w:rsid w:val="00024ED7"/>
    <w:rsid w:val="00024F7D"/>
    <w:rsid w:val="00025100"/>
    <w:rsid w:val="0002516E"/>
    <w:rsid w:val="000252D0"/>
    <w:rsid w:val="000252D6"/>
    <w:rsid w:val="00025322"/>
    <w:rsid w:val="0002533F"/>
    <w:rsid w:val="0002539E"/>
    <w:rsid w:val="000253F2"/>
    <w:rsid w:val="00025422"/>
    <w:rsid w:val="00025433"/>
    <w:rsid w:val="00025471"/>
    <w:rsid w:val="000254A2"/>
    <w:rsid w:val="000254FA"/>
    <w:rsid w:val="00025565"/>
    <w:rsid w:val="000255E5"/>
    <w:rsid w:val="0002566C"/>
    <w:rsid w:val="00025711"/>
    <w:rsid w:val="0002577A"/>
    <w:rsid w:val="0002580C"/>
    <w:rsid w:val="00025B18"/>
    <w:rsid w:val="00025B85"/>
    <w:rsid w:val="00025C23"/>
    <w:rsid w:val="00025DB7"/>
    <w:rsid w:val="00025DF7"/>
    <w:rsid w:val="00025E55"/>
    <w:rsid w:val="00025EE4"/>
    <w:rsid w:val="00025F2E"/>
    <w:rsid w:val="00026004"/>
    <w:rsid w:val="00026026"/>
    <w:rsid w:val="0002607D"/>
    <w:rsid w:val="0002608F"/>
    <w:rsid w:val="00026128"/>
    <w:rsid w:val="000262AB"/>
    <w:rsid w:val="00026310"/>
    <w:rsid w:val="00026524"/>
    <w:rsid w:val="00026527"/>
    <w:rsid w:val="00026609"/>
    <w:rsid w:val="000267F8"/>
    <w:rsid w:val="00026AB7"/>
    <w:rsid w:val="00026D76"/>
    <w:rsid w:val="00026E1E"/>
    <w:rsid w:val="00026E5A"/>
    <w:rsid w:val="00027013"/>
    <w:rsid w:val="00027028"/>
    <w:rsid w:val="0002715F"/>
    <w:rsid w:val="000273B2"/>
    <w:rsid w:val="000274D0"/>
    <w:rsid w:val="00027571"/>
    <w:rsid w:val="00027682"/>
    <w:rsid w:val="00027700"/>
    <w:rsid w:val="000277D8"/>
    <w:rsid w:val="000277EE"/>
    <w:rsid w:val="000278D6"/>
    <w:rsid w:val="00027951"/>
    <w:rsid w:val="000279F4"/>
    <w:rsid w:val="000279FE"/>
    <w:rsid w:val="00027DD5"/>
    <w:rsid w:val="00027E26"/>
    <w:rsid w:val="00027EC9"/>
    <w:rsid w:val="00027EF3"/>
    <w:rsid w:val="00030031"/>
    <w:rsid w:val="000300E2"/>
    <w:rsid w:val="000300FC"/>
    <w:rsid w:val="00030279"/>
    <w:rsid w:val="000302FA"/>
    <w:rsid w:val="00030305"/>
    <w:rsid w:val="00030328"/>
    <w:rsid w:val="000304D3"/>
    <w:rsid w:val="000305DB"/>
    <w:rsid w:val="0003086C"/>
    <w:rsid w:val="00030A48"/>
    <w:rsid w:val="00030B2D"/>
    <w:rsid w:val="00030B69"/>
    <w:rsid w:val="00030C19"/>
    <w:rsid w:val="00030C9B"/>
    <w:rsid w:val="00030DC1"/>
    <w:rsid w:val="00030E4A"/>
    <w:rsid w:val="00030E5D"/>
    <w:rsid w:val="00030E5F"/>
    <w:rsid w:val="00030F3A"/>
    <w:rsid w:val="00030FFA"/>
    <w:rsid w:val="00031068"/>
    <w:rsid w:val="0003128A"/>
    <w:rsid w:val="000312E4"/>
    <w:rsid w:val="000313C7"/>
    <w:rsid w:val="00031427"/>
    <w:rsid w:val="00031597"/>
    <w:rsid w:val="000315F2"/>
    <w:rsid w:val="0003178E"/>
    <w:rsid w:val="00031832"/>
    <w:rsid w:val="0003190A"/>
    <w:rsid w:val="00031943"/>
    <w:rsid w:val="00031950"/>
    <w:rsid w:val="0003198C"/>
    <w:rsid w:val="000319E3"/>
    <w:rsid w:val="00031A32"/>
    <w:rsid w:val="00031AC8"/>
    <w:rsid w:val="00031B24"/>
    <w:rsid w:val="00031BFB"/>
    <w:rsid w:val="00031D0C"/>
    <w:rsid w:val="00031D21"/>
    <w:rsid w:val="00031E0C"/>
    <w:rsid w:val="00031ECB"/>
    <w:rsid w:val="00031FBD"/>
    <w:rsid w:val="00032101"/>
    <w:rsid w:val="00032135"/>
    <w:rsid w:val="00032306"/>
    <w:rsid w:val="0003233D"/>
    <w:rsid w:val="00032361"/>
    <w:rsid w:val="0003236F"/>
    <w:rsid w:val="000323DA"/>
    <w:rsid w:val="00032572"/>
    <w:rsid w:val="000327A9"/>
    <w:rsid w:val="00032809"/>
    <w:rsid w:val="00032916"/>
    <w:rsid w:val="0003294A"/>
    <w:rsid w:val="00032B0F"/>
    <w:rsid w:val="00032C72"/>
    <w:rsid w:val="00032DB2"/>
    <w:rsid w:val="00032FBA"/>
    <w:rsid w:val="000330C4"/>
    <w:rsid w:val="00033175"/>
    <w:rsid w:val="000331C2"/>
    <w:rsid w:val="000331C8"/>
    <w:rsid w:val="000331FD"/>
    <w:rsid w:val="00033252"/>
    <w:rsid w:val="000336BE"/>
    <w:rsid w:val="0003374F"/>
    <w:rsid w:val="00033874"/>
    <w:rsid w:val="00033A20"/>
    <w:rsid w:val="00033A55"/>
    <w:rsid w:val="00033A63"/>
    <w:rsid w:val="00033AEE"/>
    <w:rsid w:val="00033AFD"/>
    <w:rsid w:val="00033DE1"/>
    <w:rsid w:val="00033E80"/>
    <w:rsid w:val="00033EBB"/>
    <w:rsid w:val="00034031"/>
    <w:rsid w:val="0003415A"/>
    <w:rsid w:val="00034195"/>
    <w:rsid w:val="00034290"/>
    <w:rsid w:val="000342BD"/>
    <w:rsid w:val="00034393"/>
    <w:rsid w:val="00034416"/>
    <w:rsid w:val="0003446D"/>
    <w:rsid w:val="00034507"/>
    <w:rsid w:val="0003450C"/>
    <w:rsid w:val="0003453B"/>
    <w:rsid w:val="000346A5"/>
    <w:rsid w:val="00034883"/>
    <w:rsid w:val="000348F6"/>
    <w:rsid w:val="000349E9"/>
    <w:rsid w:val="00034C11"/>
    <w:rsid w:val="00034C4F"/>
    <w:rsid w:val="00034D6E"/>
    <w:rsid w:val="00034FAC"/>
    <w:rsid w:val="00035039"/>
    <w:rsid w:val="0003515E"/>
    <w:rsid w:val="00035197"/>
    <w:rsid w:val="000351B6"/>
    <w:rsid w:val="00035497"/>
    <w:rsid w:val="000354F8"/>
    <w:rsid w:val="000355E9"/>
    <w:rsid w:val="0003563B"/>
    <w:rsid w:val="00035689"/>
    <w:rsid w:val="00035888"/>
    <w:rsid w:val="00035AB9"/>
    <w:rsid w:val="00035AE0"/>
    <w:rsid w:val="000361C1"/>
    <w:rsid w:val="000361D7"/>
    <w:rsid w:val="00036253"/>
    <w:rsid w:val="0003627B"/>
    <w:rsid w:val="000362FA"/>
    <w:rsid w:val="0003663D"/>
    <w:rsid w:val="0003668A"/>
    <w:rsid w:val="000366EA"/>
    <w:rsid w:val="00036788"/>
    <w:rsid w:val="000367C8"/>
    <w:rsid w:val="000367D6"/>
    <w:rsid w:val="00036A38"/>
    <w:rsid w:val="00036A98"/>
    <w:rsid w:val="00036B7D"/>
    <w:rsid w:val="00036BA4"/>
    <w:rsid w:val="00036CAF"/>
    <w:rsid w:val="00036D0A"/>
    <w:rsid w:val="00036DBD"/>
    <w:rsid w:val="00036F97"/>
    <w:rsid w:val="0003704B"/>
    <w:rsid w:val="00037164"/>
    <w:rsid w:val="000371C3"/>
    <w:rsid w:val="0003723F"/>
    <w:rsid w:val="000372D9"/>
    <w:rsid w:val="000372F8"/>
    <w:rsid w:val="00037638"/>
    <w:rsid w:val="0003793B"/>
    <w:rsid w:val="000379D7"/>
    <w:rsid w:val="00037A17"/>
    <w:rsid w:val="00037AFE"/>
    <w:rsid w:val="00037BB3"/>
    <w:rsid w:val="00037C54"/>
    <w:rsid w:val="00037C6E"/>
    <w:rsid w:val="00037DCB"/>
    <w:rsid w:val="00037E06"/>
    <w:rsid w:val="00037E97"/>
    <w:rsid w:val="00037F78"/>
    <w:rsid w:val="000401F0"/>
    <w:rsid w:val="000402E4"/>
    <w:rsid w:val="000405C8"/>
    <w:rsid w:val="00040690"/>
    <w:rsid w:val="000406B9"/>
    <w:rsid w:val="000407D5"/>
    <w:rsid w:val="00040930"/>
    <w:rsid w:val="00040A71"/>
    <w:rsid w:val="00040AA0"/>
    <w:rsid w:val="00040B36"/>
    <w:rsid w:val="00040C10"/>
    <w:rsid w:val="00040C97"/>
    <w:rsid w:val="00040CD0"/>
    <w:rsid w:val="00040D18"/>
    <w:rsid w:val="00040D81"/>
    <w:rsid w:val="00040EFC"/>
    <w:rsid w:val="00041134"/>
    <w:rsid w:val="00041380"/>
    <w:rsid w:val="0004158C"/>
    <w:rsid w:val="000416F4"/>
    <w:rsid w:val="00041894"/>
    <w:rsid w:val="00041A97"/>
    <w:rsid w:val="00041B97"/>
    <w:rsid w:val="00041C8C"/>
    <w:rsid w:val="00041DBF"/>
    <w:rsid w:val="00041DDC"/>
    <w:rsid w:val="00041E0F"/>
    <w:rsid w:val="00041F75"/>
    <w:rsid w:val="00042033"/>
    <w:rsid w:val="0004231C"/>
    <w:rsid w:val="0004231D"/>
    <w:rsid w:val="0004238A"/>
    <w:rsid w:val="00042624"/>
    <w:rsid w:val="0004266A"/>
    <w:rsid w:val="000426A8"/>
    <w:rsid w:val="000428B7"/>
    <w:rsid w:val="000428E7"/>
    <w:rsid w:val="00042BA0"/>
    <w:rsid w:val="00042C96"/>
    <w:rsid w:val="00042CEB"/>
    <w:rsid w:val="00042D33"/>
    <w:rsid w:val="00042E7E"/>
    <w:rsid w:val="00042EA6"/>
    <w:rsid w:val="00042F69"/>
    <w:rsid w:val="0004302E"/>
    <w:rsid w:val="000430CC"/>
    <w:rsid w:val="00043212"/>
    <w:rsid w:val="00043468"/>
    <w:rsid w:val="000434BA"/>
    <w:rsid w:val="000434BD"/>
    <w:rsid w:val="000436CE"/>
    <w:rsid w:val="00043752"/>
    <w:rsid w:val="00043782"/>
    <w:rsid w:val="000437DD"/>
    <w:rsid w:val="000438AC"/>
    <w:rsid w:val="00043914"/>
    <w:rsid w:val="000439D2"/>
    <w:rsid w:val="00043A27"/>
    <w:rsid w:val="00043ADF"/>
    <w:rsid w:val="00043AE2"/>
    <w:rsid w:val="00043B76"/>
    <w:rsid w:val="00043BE3"/>
    <w:rsid w:val="00043C02"/>
    <w:rsid w:val="00043C7D"/>
    <w:rsid w:val="00043CC7"/>
    <w:rsid w:val="00043F1E"/>
    <w:rsid w:val="00043FB6"/>
    <w:rsid w:val="00043FBD"/>
    <w:rsid w:val="00044048"/>
    <w:rsid w:val="00044097"/>
    <w:rsid w:val="000441F5"/>
    <w:rsid w:val="0004425C"/>
    <w:rsid w:val="00044357"/>
    <w:rsid w:val="0004445E"/>
    <w:rsid w:val="0004450D"/>
    <w:rsid w:val="00044573"/>
    <w:rsid w:val="00044731"/>
    <w:rsid w:val="000447B4"/>
    <w:rsid w:val="000447B7"/>
    <w:rsid w:val="000447E8"/>
    <w:rsid w:val="00044823"/>
    <w:rsid w:val="00044B4B"/>
    <w:rsid w:val="00044B98"/>
    <w:rsid w:val="00044BF6"/>
    <w:rsid w:val="00044BF7"/>
    <w:rsid w:val="00044E3D"/>
    <w:rsid w:val="0004503B"/>
    <w:rsid w:val="00045073"/>
    <w:rsid w:val="000450F7"/>
    <w:rsid w:val="000452E6"/>
    <w:rsid w:val="0004534B"/>
    <w:rsid w:val="00045355"/>
    <w:rsid w:val="00045408"/>
    <w:rsid w:val="00045493"/>
    <w:rsid w:val="000455A5"/>
    <w:rsid w:val="000455CE"/>
    <w:rsid w:val="000457F2"/>
    <w:rsid w:val="0004583D"/>
    <w:rsid w:val="00045894"/>
    <w:rsid w:val="000458ED"/>
    <w:rsid w:val="00045946"/>
    <w:rsid w:val="00045A10"/>
    <w:rsid w:val="00045AE1"/>
    <w:rsid w:val="00045AF5"/>
    <w:rsid w:val="00045AF9"/>
    <w:rsid w:val="00045BB9"/>
    <w:rsid w:val="00045CA4"/>
    <w:rsid w:val="00045D0E"/>
    <w:rsid w:val="00045E78"/>
    <w:rsid w:val="00045F01"/>
    <w:rsid w:val="00045F3F"/>
    <w:rsid w:val="00045F70"/>
    <w:rsid w:val="0004602E"/>
    <w:rsid w:val="00046127"/>
    <w:rsid w:val="000462F0"/>
    <w:rsid w:val="000463C0"/>
    <w:rsid w:val="00046455"/>
    <w:rsid w:val="00046573"/>
    <w:rsid w:val="00046790"/>
    <w:rsid w:val="000467FB"/>
    <w:rsid w:val="0004684C"/>
    <w:rsid w:val="00046908"/>
    <w:rsid w:val="0004695A"/>
    <w:rsid w:val="00046A5A"/>
    <w:rsid w:val="00046B86"/>
    <w:rsid w:val="00046CC5"/>
    <w:rsid w:val="00046D0F"/>
    <w:rsid w:val="00046D90"/>
    <w:rsid w:val="00046E2D"/>
    <w:rsid w:val="00046EB7"/>
    <w:rsid w:val="00046F72"/>
    <w:rsid w:val="00046F95"/>
    <w:rsid w:val="00047103"/>
    <w:rsid w:val="00047170"/>
    <w:rsid w:val="000471AA"/>
    <w:rsid w:val="000471C3"/>
    <w:rsid w:val="0004720E"/>
    <w:rsid w:val="00047262"/>
    <w:rsid w:val="0004730C"/>
    <w:rsid w:val="00047340"/>
    <w:rsid w:val="00047430"/>
    <w:rsid w:val="00047484"/>
    <w:rsid w:val="0004748F"/>
    <w:rsid w:val="000475C1"/>
    <w:rsid w:val="000476B9"/>
    <w:rsid w:val="00047739"/>
    <w:rsid w:val="00047811"/>
    <w:rsid w:val="00047849"/>
    <w:rsid w:val="000479C7"/>
    <w:rsid w:val="00047A8D"/>
    <w:rsid w:val="00047B0B"/>
    <w:rsid w:val="00047B53"/>
    <w:rsid w:val="00047E43"/>
    <w:rsid w:val="00047EDC"/>
    <w:rsid w:val="00047EED"/>
    <w:rsid w:val="00047F09"/>
    <w:rsid w:val="00047FEC"/>
    <w:rsid w:val="000500A2"/>
    <w:rsid w:val="00050251"/>
    <w:rsid w:val="00050477"/>
    <w:rsid w:val="0005073B"/>
    <w:rsid w:val="00050890"/>
    <w:rsid w:val="00050AF5"/>
    <w:rsid w:val="00050C3C"/>
    <w:rsid w:val="00050CC7"/>
    <w:rsid w:val="00050F12"/>
    <w:rsid w:val="00050F32"/>
    <w:rsid w:val="00050F97"/>
    <w:rsid w:val="00051047"/>
    <w:rsid w:val="000511A7"/>
    <w:rsid w:val="000511B3"/>
    <w:rsid w:val="00051288"/>
    <w:rsid w:val="000512E2"/>
    <w:rsid w:val="0005132B"/>
    <w:rsid w:val="0005146F"/>
    <w:rsid w:val="000514ED"/>
    <w:rsid w:val="00051667"/>
    <w:rsid w:val="00051724"/>
    <w:rsid w:val="00051743"/>
    <w:rsid w:val="0005186D"/>
    <w:rsid w:val="00051A4E"/>
    <w:rsid w:val="00051AF2"/>
    <w:rsid w:val="00051B16"/>
    <w:rsid w:val="00051B25"/>
    <w:rsid w:val="00051B4B"/>
    <w:rsid w:val="00051E83"/>
    <w:rsid w:val="00051ED7"/>
    <w:rsid w:val="00052122"/>
    <w:rsid w:val="000522EE"/>
    <w:rsid w:val="00052411"/>
    <w:rsid w:val="000524AE"/>
    <w:rsid w:val="0005257B"/>
    <w:rsid w:val="00052599"/>
    <w:rsid w:val="000525F4"/>
    <w:rsid w:val="00052806"/>
    <w:rsid w:val="000528E1"/>
    <w:rsid w:val="00052955"/>
    <w:rsid w:val="0005299B"/>
    <w:rsid w:val="000529FF"/>
    <w:rsid w:val="00052A87"/>
    <w:rsid w:val="00052ACB"/>
    <w:rsid w:val="00052AF7"/>
    <w:rsid w:val="00052B4F"/>
    <w:rsid w:val="00052C69"/>
    <w:rsid w:val="00052DA9"/>
    <w:rsid w:val="00052E2B"/>
    <w:rsid w:val="00052E3A"/>
    <w:rsid w:val="00053029"/>
    <w:rsid w:val="0005302A"/>
    <w:rsid w:val="0005308D"/>
    <w:rsid w:val="000531CC"/>
    <w:rsid w:val="000531DA"/>
    <w:rsid w:val="00053214"/>
    <w:rsid w:val="000532D5"/>
    <w:rsid w:val="0005337F"/>
    <w:rsid w:val="00053541"/>
    <w:rsid w:val="000536FD"/>
    <w:rsid w:val="00053783"/>
    <w:rsid w:val="00053885"/>
    <w:rsid w:val="0005397F"/>
    <w:rsid w:val="00053B3F"/>
    <w:rsid w:val="00053B59"/>
    <w:rsid w:val="00053DE6"/>
    <w:rsid w:val="00053E94"/>
    <w:rsid w:val="00053FC5"/>
    <w:rsid w:val="00054075"/>
    <w:rsid w:val="000540AC"/>
    <w:rsid w:val="000540F4"/>
    <w:rsid w:val="000541AE"/>
    <w:rsid w:val="000541B1"/>
    <w:rsid w:val="00054352"/>
    <w:rsid w:val="000543DC"/>
    <w:rsid w:val="000544E0"/>
    <w:rsid w:val="000544FF"/>
    <w:rsid w:val="00054514"/>
    <w:rsid w:val="0005451B"/>
    <w:rsid w:val="000545DD"/>
    <w:rsid w:val="000546BD"/>
    <w:rsid w:val="00054705"/>
    <w:rsid w:val="000547C9"/>
    <w:rsid w:val="0005481D"/>
    <w:rsid w:val="00054A7D"/>
    <w:rsid w:val="00054A83"/>
    <w:rsid w:val="00054BE1"/>
    <w:rsid w:val="00054C9B"/>
    <w:rsid w:val="00054CDB"/>
    <w:rsid w:val="00054D1D"/>
    <w:rsid w:val="00054F64"/>
    <w:rsid w:val="00055004"/>
    <w:rsid w:val="0005500B"/>
    <w:rsid w:val="00055012"/>
    <w:rsid w:val="000551E1"/>
    <w:rsid w:val="0005524A"/>
    <w:rsid w:val="000552C1"/>
    <w:rsid w:val="00055333"/>
    <w:rsid w:val="000553F8"/>
    <w:rsid w:val="000554C6"/>
    <w:rsid w:val="000554F9"/>
    <w:rsid w:val="000556BA"/>
    <w:rsid w:val="000556D9"/>
    <w:rsid w:val="0005572C"/>
    <w:rsid w:val="00055873"/>
    <w:rsid w:val="00055989"/>
    <w:rsid w:val="00055A6D"/>
    <w:rsid w:val="00055B08"/>
    <w:rsid w:val="00055B40"/>
    <w:rsid w:val="00055B41"/>
    <w:rsid w:val="00055D4D"/>
    <w:rsid w:val="00055DF8"/>
    <w:rsid w:val="00055F54"/>
    <w:rsid w:val="00055F77"/>
    <w:rsid w:val="00055F96"/>
    <w:rsid w:val="000560BE"/>
    <w:rsid w:val="000560DE"/>
    <w:rsid w:val="0005611B"/>
    <w:rsid w:val="000562AB"/>
    <w:rsid w:val="000562B7"/>
    <w:rsid w:val="00056352"/>
    <w:rsid w:val="0005647B"/>
    <w:rsid w:val="000564B1"/>
    <w:rsid w:val="00056509"/>
    <w:rsid w:val="00056522"/>
    <w:rsid w:val="000566F5"/>
    <w:rsid w:val="0005684B"/>
    <w:rsid w:val="000568AD"/>
    <w:rsid w:val="00056918"/>
    <w:rsid w:val="00056A55"/>
    <w:rsid w:val="00056B83"/>
    <w:rsid w:val="00056BD9"/>
    <w:rsid w:val="00056CAB"/>
    <w:rsid w:val="00056D5C"/>
    <w:rsid w:val="00056DC9"/>
    <w:rsid w:val="00056EA4"/>
    <w:rsid w:val="00056ED2"/>
    <w:rsid w:val="00056F6B"/>
    <w:rsid w:val="0005725C"/>
    <w:rsid w:val="0005734F"/>
    <w:rsid w:val="00057379"/>
    <w:rsid w:val="00057589"/>
    <w:rsid w:val="0005759B"/>
    <w:rsid w:val="0005764A"/>
    <w:rsid w:val="00057749"/>
    <w:rsid w:val="000577B0"/>
    <w:rsid w:val="000577FC"/>
    <w:rsid w:val="00057A45"/>
    <w:rsid w:val="00057AF3"/>
    <w:rsid w:val="00057B17"/>
    <w:rsid w:val="00057B72"/>
    <w:rsid w:val="00057C9F"/>
    <w:rsid w:val="00057D05"/>
    <w:rsid w:val="00057D09"/>
    <w:rsid w:val="00057D15"/>
    <w:rsid w:val="00057D83"/>
    <w:rsid w:val="00057E74"/>
    <w:rsid w:val="00057F52"/>
    <w:rsid w:val="00057F7B"/>
    <w:rsid w:val="0006018B"/>
    <w:rsid w:val="00060250"/>
    <w:rsid w:val="00060283"/>
    <w:rsid w:val="000602FB"/>
    <w:rsid w:val="00060541"/>
    <w:rsid w:val="0006060F"/>
    <w:rsid w:val="000606E6"/>
    <w:rsid w:val="00060830"/>
    <w:rsid w:val="0006090C"/>
    <w:rsid w:val="00060A09"/>
    <w:rsid w:val="00060A49"/>
    <w:rsid w:val="00060C22"/>
    <w:rsid w:val="00060EA4"/>
    <w:rsid w:val="00060EDF"/>
    <w:rsid w:val="00060F0E"/>
    <w:rsid w:val="00060F28"/>
    <w:rsid w:val="00060F8B"/>
    <w:rsid w:val="00060FB7"/>
    <w:rsid w:val="00060FC5"/>
    <w:rsid w:val="00061141"/>
    <w:rsid w:val="0006118F"/>
    <w:rsid w:val="0006134B"/>
    <w:rsid w:val="000613BE"/>
    <w:rsid w:val="000614EB"/>
    <w:rsid w:val="000615FA"/>
    <w:rsid w:val="0006178F"/>
    <w:rsid w:val="00061794"/>
    <w:rsid w:val="000617CC"/>
    <w:rsid w:val="0006181A"/>
    <w:rsid w:val="0006197D"/>
    <w:rsid w:val="00061A2C"/>
    <w:rsid w:val="00061D3C"/>
    <w:rsid w:val="00061E1B"/>
    <w:rsid w:val="00061E9F"/>
    <w:rsid w:val="00061F2E"/>
    <w:rsid w:val="00061F78"/>
    <w:rsid w:val="00061F82"/>
    <w:rsid w:val="00061FBE"/>
    <w:rsid w:val="000621F0"/>
    <w:rsid w:val="00062244"/>
    <w:rsid w:val="000624E3"/>
    <w:rsid w:val="00062835"/>
    <w:rsid w:val="00062A4E"/>
    <w:rsid w:val="00062A6B"/>
    <w:rsid w:val="00062B07"/>
    <w:rsid w:val="00062D4E"/>
    <w:rsid w:val="00062F0E"/>
    <w:rsid w:val="000630E5"/>
    <w:rsid w:val="000630EF"/>
    <w:rsid w:val="0006315E"/>
    <w:rsid w:val="000631DC"/>
    <w:rsid w:val="0006338F"/>
    <w:rsid w:val="000633BB"/>
    <w:rsid w:val="00063499"/>
    <w:rsid w:val="0006353B"/>
    <w:rsid w:val="0006366D"/>
    <w:rsid w:val="000636F2"/>
    <w:rsid w:val="000637A3"/>
    <w:rsid w:val="000638DF"/>
    <w:rsid w:val="00063AA3"/>
    <w:rsid w:val="00063D68"/>
    <w:rsid w:val="00063FB6"/>
    <w:rsid w:val="00064022"/>
    <w:rsid w:val="000640C2"/>
    <w:rsid w:val="000640C8"/>
    <w:rsid w:val="000640F4"/>
    <w:rsid w:val="00064118"/>
    <w:rsid w:val="00064131"/>
    <w:rsid w:val="00064277"/>
    <w:rsid w:val="000642BC"/>
    <w:rsid w:val="0006433E"/>
    <w:rsid w:val="000643C5"/>
    <w:rsid w:val="000643D3"/>
    <w:rsid w:val="00064447"/>
    <w:rsid w:val="0006454B"/>
    <w:rsid w:val="00064726"/>
    <w:rsid w:val="0006479D"/>
    <w:rsid w:val="00064833"/>
    <w:rsid w:val="00064866"/>
    <w:rsid w:val="00064869"/>
    <w:rsid w:val="00064A08"/>
    <w:rsid w:val="00064B19"/>
    <w:rsid w:val="00064CDD"/>
    <w:rsid w:val="00064CFB"/>
    <w:rsid w:val="000650D0"/>
    <w:rsid w:val="000653A9"/>
    <w:rsid w:val="00065453"/>
    <w:rsid w:val="0006547B"/>
    <w:rsid w:val="000654B9"/>
    <w:rsid w:val="0006553B"/>
    <w:rsid w:val="00065740"/>
    <w:rsid w:val="0006574F"/>
    <w:rsid w:val="00065863"/>
    <w:rsid w:val="0006598B"/>
    <w:rsid w:val="000659A3"/>
    <w:rsid w:val="000659CC"/>
    <w:rsid w:val="000659F5"/>
    <w:rsid w:val="00065ABC"/>
    <w:rsid w:val="00065C7C"/>
    <w:rsid w:val="00065CB7"/>
    <w:rsid w:val="00065D8F"/>
    <w:rsid w:val="00065DC3"/>
    <w:rsid w:val="00065E2D"/>
    <w:rsid w:val="00065F30"/>
    <w:rsid w:val="00066022"/>
    <w:rsid w:val="00066061"/>
    <w:rsid w:val="00066153"/>
    <w:rsid w:val="0006623E"/>
    <w:rsid w:val="00066290"/>
    <w:rsid w:val="0006639D"/>
    <w:rsid w:val="00066593"/>
    <w:rsid w:val="000665C1"/>
    <w:rsid w:val="000665C9"/>
    <w:rsid w:val="00066827"/>
    <w:rsid w:val="00066B17"/>
    <w:rsid w:val="00066B46"/>
    <w:rsid w:val="00066D9B"/>
    <w:rsid w:val="00066E74"/>
    <w:rsid w:val="00066EDB"/>
    <w:rsid w:val="00067074"/>
    <w:rsid w:val="00067127"/>
    <w:rsid w:val="0006738C"/>
    <w:rsid w:val="0006771A"/>
    <w:rsid w:val="00067788"/>
    <w:rsid w:val="00067894"/>
    <w:rsid w:val="00067AD7"/>
    <w:rsid w:val="00067D58"/>
    <w:rsid w:val="00070013"/>
    <w:rsid w:val="000700E7"/>
    <w:rsid w:val="000703A0"/>
    <w:rsid w:val="000703D8"/>
    <w:rsid w:val="000704EF"/>
    <w:rsid w:val="0007057A"/>
    <w:rsid w:val="0007060C"/>
    <w:rsid w:val="00070616"/>
    <w:rsid w:val="000706B5"/>
    <w:rsid w:val="000706F8"/>
    <w:rsid w:val="000707C8"/>
    <w:rsid w:val="00070A6E"/>
    <w:rsid w:val="00071158"/>
    <w:rsid w:val="00071190"/>
    <w:rsid w:val="000711D9"/>
    <w:rsid w:val="00071291"/>
    <w:rsid w:val="00071437"/>
    <w:rsid w:val="000714EE"/>
    <w:rsid w:val="0007156C"/>
    <w:rsid w:val="00071654"/>
    <w:rsid w:val="000716FE"/>
    <w:rsid w:val="00071722"/>
    <w:rsid w:val="00071738"/>
    <w:rsid w:val="000719F7"/>
    <w:rsid w:val="00071C0D"/>
    <w:rsid w:val="00071E12"/>
    <w:rsid w:val="00071E5B"/>
    <w:rsid w:val="00071E89"/>
    <w:rsid w:val="00071FDB"/>
    <w:rsid w:val="00072183"/>
    <w:rsid w:val="0007231E"/>
    <w:rsid w:val="000724FC"/>
    <w:rsid w:val="00072860"/>
    <w:rsid w:val="00072862"/>
    <w:rsid w:val="000728CD"/>
    <w:rsid w:val="00072929"/>
    <w:rsid w:val="0007296C"/>
    <w:rsid w:val="000729C9"/>
    <w:rsid w:val="00072ABC"/>
    <w:rsid w:val="00072AE5"/>
    <w:rsid w:val="00072B01"/>
    <w:rsid w:val="00072C2B"/>
    <w:rsid w:val="00072DC3"/>
    <w:rsid w:val="00073052"/>
    <w:rsid w:val="00073127"/>
    <w:rsid w:val="000732D4"/>
    <w:rsid w:val="0007340B"/>
    <w:rsid w:val="0007366C"/>
    <w:rsid w:val="0007369B"/>
    <w:rsid w:val="000736AC"/>
    <w:rsid w:val="000736F4"/>
    <w:rsid w:val="0007374B"/>
    <w:rsid w:val="000738C5"/>
    <w:rsid w:val="00073A14"/>
    <w:rsid w:val="00073A3C"/>
    <w:rsid w:val="00073AD3"/>
    <w:rsid w:val="00073B3E"/>
    <w:rsid w:val="00073B52"/>
    <w:rsid w:val="00073EAD"/>
    <w:rsid w:val="00073EB7"/>
    <w:rsid w:val="00073F9D"/>
    <w:rsid w:val="00073FB1"/>
    <w:rsid w:val="00074007"/>
    <w:rsid w:val="0007407D"/>
    <w:rsid w:val="0007420E"/>
    <w:rsid w:val="000743B4"/>
    <w:rsid w:val="000743E6"/>
    <w:rsid w:val="00074414"/>
    <w:rsid w:val="0007445E"/>
    <w:rsid w:val="0007459D"/>
    <w:rsid w:val="0007464A"/>
    <w:rsid w:val="00074738"/>
    <w:rsid w:val="00074785"/>
    <w:rsid w:val="000747A1"/>
    <w:rsid w:val="00074829"/>
    <w:rsid w:val="0007485A"/>
    <w:rsid w:val="000749E0"/>
    <w:rsid w:val="00074A1C"/>
    <w:rsid w:val="00074ACF"/>
    <w:rsid w:val="00074B3C"/>
    <w:rsid w:val="00074D84"/>
    <w:rsid w:val="00074FCE"/>
    <w:rsid w:val="0007508E"/>
    <w:rsid w:val="00075137"/>
    <w:rsid w:val="00075150"/>
    <w:rsid w:val="000752F9"/>
    <w:rsid w:val="0007542B"/>
    <w:rsid w:val="00075511"/>
    <w:rsid w:val="00075794"/>
    <w:rsid w:val="00075A30"/>
    <w:rsid w:val="00075AC2"/>
    <w:rsid w:val="00075F12"/>
    <w:rsid w:val="00075F46"/>
    <w:rsid w:val="0007604B"/>
    <w:rsid w:val="00076192"/>
    <w:rsid w:val="00076208"/>
    <w:rsid w:val="00076297"/>
    <w:rsid w:val="000762D4"/>
    <w:rsid w:val="000762D9"/>
    <w:rsid w:val="00076648"/>
    <w:rsid w:val="0007668C"/>
    <w:rsid w:val="000767F8"/>
    <w:rsid w:val="00076915"/>
    <w:rsid w:val="0007697A"/>
    <w:rsid w:val="000769DD"/>
    <w:rsid w:val="00076A7C"/>
    <w:rsid w:val="00076A8C"/>
    <w:rsid w:val="00076AC8"/>
    <w:rsid w:val="00076B11"/>
    <w:rsid w:val="00076D94"/>
    <w:rsid w:val="00076DB5"/>
    <w:rsid w:val="00076DDB"/>
    <w:rsid w:val="00076E8B"/>
    <w:rsid w:val="00076EB2"/>
    <w:rsid w:val="00076EC9"/>
    <w:rsid w:val="00076F22"/>
    <w:rsid w:val="00076F45"/>
    <w:rsid w:val="0007700C"/>
    <w:rsid w:val="0007708C"/>
    <w:rsid w:val="000771D5"/>
    <w:rsid w:val="0007727C"/>
    <w:rsid w:val="00077299"/>
    <w:rsid w:val="0007729D"/>
    <w:rsid w:val="0007729F"/>
    <w:rsid w:val="000773C6"/>
    <w:rsid w:val="00077593"/>
    <w:rsid w:val="00077610"/>
    <w:rsid w:val="0007775E"/>
    <w:rsid w:val="0007777B"/>
    <w:rsid w:val="000778D1"/>
    <w:rsid w:val="000778D4"/>
    <w:rsid w:val="00077C3E"/>
    <w:rsid w:val="00077C51"/>
    <w:rsid w:val="00077D54"/>
    <w:rsid w:val="00077D95"/>
    <w:rsid w:val="00077D9D"/>
    <w:rsid w:val="00077DC4"/>
    <w:rsid w:val="00080094"/>
    <w:rsid w:val="000800C4"/>
    <w:rsid w:val="00080763"/>
    <w:rsid w:val="000808B7"/>
    <w:rsid w:val="00080A13"/>
    <w:rsid w:val="00080B7D"/>
    <w:rsid w:val="00080BA5"/>
    <w:rsid w:val="00080C1E"/>
    <w:rsid w:val="00080CF8"/>
    <w:rsid w:val="00080E90"/>
    <w:rsid w:val="00080EAD"/>
    <w:rsid w:val="00080FF5"/>
    <w:rsid w:val="000810E3"/>
    <w:rsid w:val="000810E6"/>
    <w:rsid w:val="00081344"/>
    <w:rsid w:val="0008139A"/>
    <w:rsid w:val="00081689"/>
    <w:rsid w:val="000817C4"/>
    <w:rsid w:val="000818ED"/>
    <w:rsid w:val="0008191E"/>
    <w:rsid w:val="000819D1"/>
    <w:rsid w:val="00081BDA"/>
    <w:rsid w:val="00081C83"/>
    <w:rsid w:val="00081EF5"/>
    <w:rsid w:val="00081F4C"/>
    <w:rsid w:val="00081F58"/>
    <w:rsid w:val="00081F62"/>
    <w:rsid w:val="00081F88"/>
    <w:rsid w:val="0008225C"/>
    <w:rsid w:val="00082356"/>
    <w:rsid w:val="0008238B"/>
    <w:rsid w:val="0008248D"/>
    <w:rsid w:val="00082583"/>
    <w:rsid w:val="0008266E"/>
    <w:rsid w:val="0008269A"/>
    <w:rsid w:val="000826E7"/>
    <w:rsid w:val="00082721"/>
    <w:rsid w:val="000827AB"/>
    <w:rsid w:val="0008282D"/>
    <w:rsid w:val="00082873"/>
    <w:rsid w:val="00082AB9"/>
    <w:rsid w:val="00082AFA"/>
    <w:rsid w:val="00082B50"/>
    <w:rsid w:val="00082B6E"/>
    <w:rsid w:val="00082D2F"/>
    <w:rsid w:val="00082D5D"/>
    <w:rsid w:val="00083031"/>
    <w:rsid w:val="000830AF"/>
    <w:rsid w:val="00083131"/>
    <w:rsid w:val="0008315F"/>
    <w:rsid w:val="000831A6"/>
    <w:rsid w:val="000832D2"/>
    <w:rsid w:val="00083359"/>
    <w:rsid w:val="000837A8"/>
    <w:rsid w:val="00083CA4"/>
    <w:rsid w:val="00083D6F"/>
    <w:rsid w:val="00083E08"/>
    <w:rsid w:val="00083E57"/>
    <w:rsid w:val="00083E7F"/>
    <w:rsid w:val="00083E81"/>
    <w:rsid w:val="00084117"/>
    <w:rsid w:val="0008412A"/>
    <w:rsid w:val="0008419E"/>
    <w:rsid w:val="00084212"/>
    <w:rsid w:val="000844D9"/>
    <w:rsid w:val="00084504"/>
    <w:rsid w:val="0008450D"/>
    <w:rsid w:val="0008466C"/>
    <w:rsid w:val="00084681"/>
    <w:rsid w:val="0008473D"/>
    <w:rsid w:val="0008480D"/>
    <w:rsid w:val="00084900"/>
    <w:rsid w:val="00084905"/>
    <w:rsid w:val="000849C1"/>
    <w:rsid w:val="00084A1B"/>
    <w:rsid w:val="00084A69"/>
    <w:rsid w:val="00084A98"/>
    <w:rsid w:val="00084AA6"/>
    <w:rsid w:val="00084B92"/>
    <w:rsid w:val="00084C97"/>
    <w:rsid w:val="00084CBB"/>
    <w:rsid w:val="00084CCD"/>
    <w:rsid w:val="00084D2C"/>
    <w:rsid w:val="00084D5C"/>
    <w:rsid w:val="00084DCE"/>
    <w:rsid w:val="00084EB7"/>
    <w:rsid w:val="00084EF1"/>
    <w:rsid w:val="00084FC4"/>
    <w:rsid w:val="00084FC7"/>
    <w:rsid w:val="00084FD4"/>
    <w:rsid w:val="00085018"/>
    <w:rsid w:val="00085029"/>
    <w:rsid w:val="00085378"/>
    <w:rsid w:val="000853F3"/>
    <w:rsid w:val="00085573"/>
    <w:rsid w:val="000855DF"/>
    <w:rsid w:val="000856BD"/>
    <w:rsid w:val="0008593A"/>
    <w:rsid w:val="00085AA6"/>
    <w:rsid w:val="00085B5A"/>
    <w:rsid w:val="00085B7B"/>
    <w:rsid w:val="00085B7C"/>
    <w:rsid w:val="00085CBC"/>
    <w:rsid w:val="00085EA1"/>
    <w:rsid w:val="00085EAA"/>
    <w:rsid w:val="00085F0F"/>
    <w:rsid w:val="0008603E"/>
    <w:rsid w:val="000861C1"/>
    <w:rsid w:val="000865CA"/>
    <w:rsid w:val="000865CD"/>
    <w:rsid w:val="000865F6"/>
    <w:rsid w:val="0008671B"/>
    <w:rsid w:val="000868F5"/>
    <w:rsid w:val="0008690D"/>
    <w:rsid w:val="00086B31"/>
    <w:rsid w:val="00086B8E"/>
    <w:rsid w:val="00086BD1"/>
    <w:rsid w:val="00086C43"/>
    <w:rsid w:val="00086CD9"/>
    <w:rsid w:val="00086EF0"/>
    <w:rsid w:val="00086FF5"/>
    <w:rsid w:val="0008711E"/>
    <w:rsid w:val="0008716E"/>
    <w:rsid w:val="00087436"/>
    <w:rsid w:val="00087564"/>
    <w:rsid w:val="00087674"/>
    <w:rsid w:val="000878C2"/>
    <w:rsid w:val="000879B2"/>
    <w:rsid w:val="00087B6A"/>
    <w:rsid w:val="00087C52"/>
    <w:rsid w:val="00087C7C"/>
    <w:rsid w:val="00087C88"/>
    <w:rsid w:val="00087EE8"/>
    <w:rsid w:val="00087F01"/>
    <w:rsid w:val="0009003A"/>
    <w:rsid w:val="0009022F"/>
    <w:rsid w:val="000903D7"/>
    <w:rsid w:val="000904CB"/>
    <w:rsid w:val="00090508"/>
    <w:rsid w:val="00090551"/>
    <w:rsid w:val="00090589"/>
    <w:rsid w:val="00090866"/>
    <w:rsid w:val="00090898"/>
    <w:rsid w:val="00090A67"/>
    <w:rsid w:val="00090A68"/>
    <w:rsid w:val="00090CC0"/>
    <w:rsid w:val="00090CC1"/>
    <w:rsid w:val="00090CEC"/>
    <w:rsid w:val="000910A4"/>
    <w:rsid w:val="00091191"/>
    <w:rsid w:val="000913F9"/>
    <w:rsid w:val="00091448"/>
    <w:rsid w:val="000914C8"/>
    <w:rsid w:val="00091521"/>
    <w:rsid w:val="0009159C"/>
    <w:rsid w:val="0009165C"/>
    <w:rsid w:val="000916C2"/>
    <w:rsid w:val="0009174C"/>
    <w:rsid w:val="0009181B"/>
    <w:rsid w:val="000918AF"/>
    <w:rsid w:val="000918B3"/>
    <w:rsid w:val="00091961"/>
    <w:rsid w:val="000919D6"/>
    <w:rsid w:val="00091B9F"/>
    <w:rsid w:val="00091BE1"/>
    <w:rsid w:val="00091E52"/>
    <w:rsid w:val="00091E7B"/>
    <w:rsid w:val="00091ED2"/>
    <w:rsid w:val="000920D0"/>
    <w:rsid w:val="000920DD"/>
    <w:rsid w:val="000922F5"/>
    <w:rsid w:val="0009235A"/>
    <w:rsid w:val="0009238F"/>
    <w:rsid w:val="000924AB"/>
    <w:rsid w:val="0009255D"/>
    <w:rsid w:val="000925E1"/>
    <w:rsid w:val="000926C0"/>
    <w:rsid w:val="00092742"/>
    <w:rsid w:val="00092794"/>
    <w:rsid w:val="00092826"/>
    <w:rsid w:val="0009289D"/>
    <w:rsid w:val="00092AAD"/>
    <w:rsid w:val="00092AB1"/>
    <w:rsid w:val="00092BE3"/>
    <w:rsid w:val="00092C85"/>
    <w:rsid w:val="00092D00"/>
    <w:rsid w:val="00092DB8"/>
    <w:rsid w:val="00092E57"/>
    <w:rsid w:val="00092F45"/>
    <w:rsid w:val="00092FC1"/>
    <w:rsid w:val="00093029"/>
    <w:rsid w:val="000930BC"/>
    <w:rsid w:val="00093182"/>
    <w:rsid w:val="000931E2"/>
    <w:rsid w:val="0009320B"/>
    <w:rsid w:val="000933C8"/>
    <w:rsid w:val="000934B6"/>
    <w:rsid w:val="00093581"/>
    <w:rsid w:val="00093674"/>
    <w:rsid w:val="00093A69"/>
    <w:rsid w:val="00093AC5"/>
    <w:rsid w:val="00093B0E"/>
    <w:rsid w:val="00093E8D"/>
    <w:rsid w:val="00093E8F"/>
    <w:rsid w:val="00093F31"/>
    <w:rsid w:val="00093FC0"/>
    <w:rsid w:val="0009404E"/>
    <w:rsid w:val="00094064"/>
    <w:rsid w:val="00094075"/>
    <w:rsid w:val="00094093"/>
    <w:rsid w:val="00094200"/>
    <w:rsid w:val="0009424C"/>
    <w:rsid w:val="000943F6"/>
    <w:rsid w:val="000944F4"/>
    <w:rsid w:val="00094536"/>
    <w:rsid w:val="0009488B"/>
    <w:rsid w:val="000948DB"/>
    <w:rsid w:val="00094A50"/>
    <w:rsid w:val="00094A71"/>
    <w:rsid w:val="00094AA1"/>
    <w:rsid w:val="00094B1D"/>
    <w:rsid w:val="00094B4E"/>
    <w:rsid w:val="00094C6C"/>
    <w:rsid w:val="00094D61"/>
    <w:rsid w:val="00094D9B"/>
    <w:rsid w:val="00094EDC"/>
    <w:rsid w:val="00094F57"/>
    <w:rsid w:val="00095093"/>
    <w:rsid w:val="00095098"/>
    <w:rsid w:val="00095290"/>
    <w:rsid w:val="000952CC"/>
    <w:rsid w:val="000953BE"/>
    <w:rsid w:val="00095420"/>
    <w:rsid w:val="00095592"/>
    <w:rsid w:val="00095669"/>
    <w:rsid w:val="000957E8"/>
    <w:rsid w:val="000957F1"/>
    <w:rsid w:val="00095B31"/>
    <w:rsid w:val="00095B41"/>
    <w:rsid w:val="00095C27"/>
    <w:rsid w:val="00095CD2"/>
    <w:rsid w:val="00095D20"/>
    <w:rsid w:val="00095D45"/>
    <w:rsid w:val="00095DB2"/>
    <w:rsid w:val="00095E2E"/>
    <w:rsid w:val="00095FF5"/>
    <w:rsid w:val="00096057"/>
    <w:rsid w:val="000960C5"/>
    <w:rsid w:val="00096178"/>
    <w:rsid w:val="000962F5"/>
    <w:rsid w:val="00096346"/>
    <w:rsid w:val="00096364"/>
    <w:rsid w:val="000963E1"/>
    <w:rsid w:val="00096407"/>
    <w:rsid w:val="000964DB"/>
    <w:rsid w:val="00096584"/>
    <w:rsid w:val="0009666D"/>
    <w:rsid w:val="000966F2"/>
    <w:rsid w:val="000967B6"/>
    <w:rsid w:val="00096813"/>
    <w:rsid w:val="0009685D"/>
    <w:rsid w:val="000968C7"/>
    <w:rsid w:val="0009694B"/>
    <w:rsid w:val="000969FE"/>
    <w:rsid w:val="00096C4C"/>
    <w:rsid w:val="00096CA1"/>
    <w:rsid w:val="00096CA4"/>
    <w:rsid w:val="00096DD5"/>
    <w:rsid w:val="00096E43"/>
    <w:rsid w:val="00096ECA"/>
    <w:rsid w:val="00096FAC"/>
    <w:rsid w:val="00097130"/>
    <w:rsid w:val="00097139"/>
    <w:rsid w:val="00097196"/>
    <w:rsid w:val="0009723D"/>
    <w:rsid w:val="00097310"/>
    <w:rsid w:val="0009773C"/>
    <w:rsid w:val="00097A53"/>
    <w:rsid w:val="00097B92"/>
    <w:rsid w:val="00097C8D"/>
    <w:rsid w:val="00097C9D"/>
    <w:rsid w:val="00097F63"/>
    <w:rsid w:val="00097F9C"/>
    <w:rsid w:val="000A00A2"/>
    <w:rsid w:val="000A0174"/>
    <w:rsid w:val="000A041C"/>
    <w:rsid w:val="000A0525"/>
    <w:rsid w:val="000A0554"/>
    <w:rsid w:val="000A0735"/>
    <w:rsid w:val="000A0744"/>
    <w:rsid w:val="000A076A"/>
    <w:rsid w:val="000A07BA"/>
    <w:rsid w:val="000A07D8"/>
    <w:rsid w:val="000A088E"/>
    <w:rsid w:val="000A0954"/>
    <w:rsid w:val="000A09D0"/>
    <w:rsid w:val="000A0E35"/>
    <w:rsid w:val="000A0FB6"/>
    <w:rsid w:val="000A0FE9"/>
    <w:rsid w:val="000A0FF6"/>
    <w:rsid w:val="000A111B"/>
    <w:rsid w:val="000A1197"/>
    <w:rsid w:val="000A11A4"/>
    <w:rsid w:val="000A1207"/>
    <w:rsid w:val="000A132D"/>
    <w:rsid w:val="000A1398"/>
    <w:rsid w:val="000A143D"/>
    <w:rsid w:val="000A1499"/>
    <w:rsid w:val="000A14FE"/>
    <w:rsid w:val="000A1704"/>
    <w:rsid w:val="000A1740"/>
    <w:rsid w:val="000A177A"/>
    <w:rsid w:val="000A193B"/>
    <w:rsid w:val="000A1978"/>
    <w:rsid w:val="000A1A1E"/>
    <w:rsid w:val="000A1A20"/>
    <w:rsid w:val="000A1A32"/>
    <w:rsid w:val="000A1A35"/>
    <w:rsid w:val="000A1A5C"/>
    <w:rsid w:val="000A1A76"/>
    <w:rsid w:val="000A1BCD"/>
    <w:rsid w:val="000A1BCE"/>
    <w:rsid w:val="000A1C2C"/>
    <w:rsid w:val="000A1CFE"/>
    <w:rsid w:val="000A1D00"/>
    <w:rsid w:val="000A205B"/>
    <w:rsid w:val="000A207F"/>
    <w:rsid w:val="000A2502"/>
    <w:rsid w:val="000A266F"/>
    <w:rsid w:val="000A29C9"/>
    <w:rsid w:val="000A2A23"/>
    <w:rsid w:val="000A2A60"/>
    <w:rsid w:val="000A2B37"/>
    <w:rsid w:val="000A2B87"/>
    <w:rsid w:val="000A2BB7"/>
    <w:rsid w:val="000A2BFF"/>
    <w:rsid w:val="000A2CD1"/>
    <w:rsid w:val="000A2DB0"/>
    <w:rsid w:val="000A2E16"/>
    <w:rsid w:val="000A2F0F"/>
    <w:rsid w:val="000A3044"/>
    <w:rsid w:val="000A30DF"/>
    <w:rsid w:val="000A3101"/>
    <w:rsid w:val="000A3116"/>
    <w:rsid w:val="000A32B8"/>
    <w:rsid w:val="000A32B9"/>
    <w:rsid w:val="000A32C3"/>
    <w:rsid w:val="000A3368"/>
    <w:rsid w:val="000A3429"/>
    <w:rsid w:val="000A343E"/>
    <w:rsid w:val="000A3561"/>
    <w:rsid w:val="000A358A"/>
    <w:rsid w:val="000A35A7"/>
    <w:rsid w:val="000A35BD"/>
    <w:rsid w:val="000A35EE"/>
    <w:rsid w:val="000A3699"/>
    <w:rsid w:val="000A3713"/>
    <w:rsid w:val="000A3761"/>
    <w:rsid w:val="000A3800"/>
    <w:rsid w:val="000A398C"/>
    <w:rsid w:val="000A3998"/>
    <w:rsid w:val="000A39A5"/>
    <w:rsid w:val="000A3A4A"/>
    <w:rsid w:val="000A3AD7"/>
    <w:rsid w:val="000A3CDC"/>
    <w:rsid w:val="000A3D59"/>
    <w:rsid w:val="000A3DC9"/>
    <w:rsid w:val="000A3E3E"/>
    <w:rsid w:val="000A3F49"/>
    <w:rsid w:val="000A414F"/>
    <w:rsid w:val="000A41E5"/>
    <w:rsid w:val="000A41E8"/>
    <w:rsid w:val="000A42BF"/>
    <w:rsid w:val="000A44B8"/>
    <w:rsid w:val="000A44C0"/>
    <w:rsid w:val="000A454A"/>
    <w:rsid w:val="000A457A"/>
    <w:rsid w:val="000A45BA"/>
    <w:rsid w:val="000A45DB"/>
    <w:rsid w:val="000A48BD"/>
    <w:rsid w:val="000A48D5"/>
    <w:rsid w:val="000A4910"/>
    <w:rsid w:val="000A4928"/>
    <w:rsid w:val="000A4CF0"/>
    <w:rsid w:val="000A4D32"/>
    <w:rsid w:val="000A4E03"/>
    <w:rsid w:val="000A4E2B"/>
    <w:rsid w:val="000A51AA"/>
    <w:rsid w:val="000A5500"/>
    <w:rsid w:val="000A55A2"/>
    <w:rsid w:val="000A55BF"/>
    <w:rsid w:val="000A57D7"/>
    <w:rsid w:val="000A57EA"/>
    <w:rsid w:val="000A59B6"/>
    <w:rsid w:val="000A5AE8"/>
    <w:rsid w:val="000A5B13"/>
    <w:rsid w:val="000A5B27"/>
    <w:rsid w:val="000A5B63"/>
    <w:rsid w:val="000A5D5A"/>
    <w:rsid w:val="000A5EFE"/>
    <w:rsid w:val="000A5F3C"/>
    <w:rsid w:val="000A609C"/>
    <w:rsid w:val="000A6126"/>
    <w:rsid w:val="000A61D5"/>
    <w:rsid w:val="000A6291"/>
    <w:rsid w:val="000A629A"/>
    <w:rsid w:val="000A62B1"/>
    <w:rsid w:val="000A6318"/>
    <w:rsid w:val="000A6505"/>
    <w:rsid w:val="000A6533"/>
    <w:rsid w:val="000A65B2"/>
    <w:rsid w:val="000A6612"/>
    <w:rsid w:val="000A6634"/>
    <w:rsid w:val="000A6727"/>
    <w:rsid w:val="000A6A03"/>
    <w:rsid w:val="000A6A9C"/>
    <w:rsid w:val="000A6C2E"/>
    <w:rsid w:val="000A6D5B"/>
    <w:rsid w:val="000A6DA3"/>
    <w:rsid w:val="000A6E5A"/>
    <w:rsid w:val="000A6EBB"/>
    <w:rsid w:val="000A6EC8"/>
    <w:rsid w:val="000A6FC8"/>
    <w:rsid w:val="000A6FFA"/>
    <w:rsid w:val="000A7173"/>
    <w:rsid w:val="000A71A4"/>
    <w:rsid w:val="000A71CA"/>
    <w:rsid w:val="000A724A"/>
    <w:rsid w:val="000A727F"/>
    <w:rsid w:val="000A7315"/>
    <w:rsid w:val="000A7374"/>
    <w:rsid w:val="000A73DF"/>
    <w:rsid w:val="000A748E"/>
    <w:rsid w:val="000A74A6"/>
    <w:rsid w:val="000A75BD"/>
    <w:rsid w:val="000A7805"/>
    <w:rsid w:val="000A7863"/>
    <w:rsid w:val="000A799B"/>
    <w:rsid w:val="000A7A26"/>
    <w:rsid w:val="000A7BC1"/>
    <w:rsid w:val="000A7E65"/>
    <w:rsid w:val="000B008A"/>
    <w:rsid w:val="000B00B4"/>
    <w:rsid w:val="000B02E6"/>
    <w:rsid w:val="000B043A"/>
    <w:rsid w:val="000B0491"/>
    <w:rsid w:val="000B04EC"/>
    <w:rsid w:val="000B07EE"/>
    <w:rsid w:val="000B081F"/>
    <w:rsid w:val="000B090F"/>
    <w:rsid w:val="000B0A1B"/>
    <w:rsid w:val="000B0B3D"/>
    <w:rsid w:val="000B0BC8"/>
    <w:rsid w:val="000B0CA7"/>
    <w:rsid w:val="000B0CF6"/>
    <w:rsid w:val="000B0D34"/>
    <w:rsid w:val="000B0D9B"/>
    <w:rsid w:val="000B0F19"/>
    <w:rsid w:val="000B0F6C"/>
    <w:rsid w:val="000B0FBD"/>
    <w:rsid w:val="000B1036"/>
    <w:rsid w:val="000B10D9"/>
    <w:rsid w:val="000B122D"/>
    <w:rsid w:val="000B1289"/>
    <w:rsid w:val="000B12C9"/>
    <w:rsid w:val="000B12F4"/>
    <w:rsid w:val="000B138E"/>
    <w:rsid w:val="000B13BB"/>
    <w:rsid w:val="000B15B1"/>
    <w:rsid w:val="000B15D6"/>
    <w:rsid w:val="000B1804"/>
    <w:rsid w:val="000B1A43"/>
    <w:rsid w:val="000B1AE4"/>
    <w:rsid w:val="000B1C12"/>
    <w:rsid w:val="000B1D46"/>
    <w:rsid w:val="000B1DA5"/>
    <w:rsid w:val="000B2101"/>
    <w:rsid w:val="000B2124"/>
    <w:rsid w:val="000B229E"/>
    <w:rsid w:val="000B254E"/>
    <w:rsid w:val="000B26A6"/>
    <w:rsid w:val="000B26F1"/>
    <w:rsid w:val="000B2707"/>
    <w:rsid w:val="000B279B"/>
    <w:rsid w:val="000B27EE"/>
    <w:rsid w:val="000B2828"/>
    <w:rsid w:val="000B284D"/>
    <w:rsid w:val="000B28A5"/>
    <w:rsid w:val="000B28ED"/>
    <w:rsid w:val="000B295E"/>
    <w:rsid w:val="000B2989"/>
    <w:rsid w:val="000B2AB4"/>
    <w:rsid w:val="000B2B15"/>
    <w:rsid w:val="000B2BA5"/>
    <w:rsid w:val="000B2D48"/>
    <w:rsid w:val="000B2D71"/>
    <w:rsid w:val="000B2E89"/>
    <w:rsid w:val="000B2F05"/>
    <w:rsid w:val="000B3345"/>
    <w:rsid w:val="000B334D"/>
    <w:rsid w:val="000B35C7"/>
    <w:rsid w:val="000B35E3"/>
    <w:rsid w:val="000B3647"/>
    <w:rsid w:val="000B3652"/>
    <w:rsid w:val="000B36C2"/>
    <w:rsid w:val="000B36C3"/>
    <w:rsid w:val="000B36D5"/>
    <w:rsid w:val="000B373B"/>
    <w:rsid w:val="000B3D80"/>
    <w:rsid w:val="000B3ED7"/>
    <w:rsid w:val="000B410B"/>
    <w:rsid w:val="000B4130"/>
    <w:rsid w:val="000B4174"/>
    <w:rsid w:val="000B4564"/>
    <w:rsid w:val="000B45A3"/>
    <w:rsid w:val="000B4785"/>
    <w:rsid w:val="000B4811"/>
    <w:rsid w:val="000B4875"/>
    <w:rsid w:val="000B48E0"/>
    <w:rsid w:val="000B48F8"/>
    <w:rsid w:val="000B49CA"/>
    <w:rsid w:val="000B4A74"/>
    <w:rsid w:val="000B4AEC"/>
    <w:rsid w:val="000B4B8B"/>
    <w:rsid w:val="000B4DC3"/>
    <w:rsid w:val="000B4E13"/>
    <w:rsid w:val="000B4E60"/>
    <w:rsid w:val="000B4EA5"/>
    <w:rsid w:val="000B4F25"/>
    <w:rsid w:val="000B500C"/>
    <w:rsid w:val="000B500F"/>
    <w:rsid w:val="000B50D8"/>
    <w:rsid w:val="000B50F5"/>
    <w:rsid w:val="000B5167"/>
    <w:rsid w:val="000B52EE"/>
    <w:rsid w:val="000B533A"/>
    <w:rsid w:val="000B5344"/>
    <w:rsid w:val="000B54BA"/>
    <w:rsid w:val="000B5553"/>
    <w:rsid w:val="000B586F"/>
    <w:rsid w:val="000B58D2"/>
    <w:rsid w:val="000B5905"/>
    <w:rsid w:val="000B5A02"/>
    <w:rsid w:val="000B5AAC"/>
    <w:rsid w:val="000B5B2B"/>
    <w:rsid w:val="000B5B6C"/>
    <w:rsid w:val="000B5B95"/>
    <w:rsid w:val="000B5B9A"/>
    <w:rsid w:val="000B5D9C"/>
    <w:rsid w:val="000B5DDC"/>
    <w:rsid w:val="000B5E99"/>
    <w:rsid w:val="000B5EE0"/>
    <w:rsid w:val="000B615C"/>
    <w:rsid w:val="000B62B2"/>
    <w:rsid w:val="000B6358"/>
    <w:rsid w:val="000B642B"/>
    <w:rsid w:val="000B65B8"/>
    <w:rsid w:val="000B65C5"/>
    <w:rsid w:val="000B65FB"/>
    <w:rsid w:val="000B67F8"/>
    <w:rsid w:val="000B6807"/>
    <w:rsid w:val="000B681B"/>
    <w:rsid w:val="000B686D"/>
    <w:rsid w:val="000B6916"/>
    <w:rsid w:val="000B69F8"/>
    <w:rsid w:val="000B6C69"/>
    <w:rsid w:val="000B6F68"/>
    <w:rsid w:val="000B6FEF"/>
    <w:rsid w:val="000B6FF3"/>
    <w:rsid w:val="000B70A7"/>
    <w:rsid w:val="000B713D"/>
    <w:rsid w:val="000B717E"/>
    <w:rsid w:val="000B7342"/>
    <w:rsid w:val="000B7733"/>
    <w:rsid w:val="000B77C7"/>
    <w:rsid w:val="000B787F"/>
    <w:rsid w:val="000B79B7"/>
    <w:rsid w:val="000B7A53"/>
    <w:rsid w:val="000B7A62"/>
    <w:rsid w:val="000B7A93"/>
    <w:rsid w:val="000B7BD6"/>
    <w:rsid w:val="000B7C20"/>
    <w:rsid w:val="000B7EE6"/>
    <w:rsid w:val="000C00F9"/>
    <w:rsid w:val="000C02CE"/>
    <w:rsid w:val="000C038B"/>
    <w:rsid w:val="000C03E6"/>
    <w:rsid w:val="000C0428"/>
    <w:rsid w:val="000C05C3"/>
    <w:rsid w:val="000C075E"/>
    <w:rsid w:val="000C0770"/>
    <w:rsid w:val="000C09CD"/>
    <w:rsid w:val="000C0A2F"/>
    <w:rsid w:val="000C0A5C"/>
    <w:rsid w:val="000C0B66"/>
    <w:rsid w:val="000C0BBD"/>
    <w:rsid w:val="000C0BCE"/>
    <w:rsid w:val="000C0C48"/>
    <w:rsid w:val="000C0C7B"/>
    <w:rsid w:val="000C0EC6"/>
    <w:rsid w:val="000C0F58"/>
    <w:rsid w:val="000C0FB8"/>
    <w:rsid w:val="000C10EC"/>
    <w:rsid w:val="000C1179"/>
    <w:rsid w:val="000C14F7"/>
    <w:rsid w:val="000C18BF"/>
    <w:rsid w:val="000C18CC"/>
    <w:rsid w:val="000C1AA2"/>
    <w:rsid w:val="000C1B21"/>
    <w:rsid w:val="000C1C1A"/>
    <w:rsid w:val="000C1C91"/>
    <w:rsid w:val="000C1D64"/>
    <w:rsid w:val="000C1DB3"/>
    <w:rsid w:val="000C1E35"/>
    <w:rsid w:val="000C1EE3"/>
    <w:rsid w:val="000C1FE9"/>
    <w:rsid w:val="000C2038"/>
    <w:rsid w:val="000C20E2"/>
    <w:rsid w:val="000C224D"/>
    <w:rsid w:val="000C251B"/>
    <w:rsid w:val="000C2626"/>
    <w:rsid w:val="000C2747"/>
    <w:rsid w:val="000C275A"/>
    <w:rsid w:val="000C27D5"/>
    <w:rsid w:val="000C290D"/>
    <w:rsid w:val="000C2976"/>
    <w:rsid w:val="000C29DB"/>
    <w:rsid w:val="000C2A09"/>
    <w:rsid w:val="000C2A2E"/>
    <w:rsid w:val="000C2BE1"/>
    <w:rsid w:val="000C2D6E"/>
    <w:rsid w:val="000C2F15"/>
    <w:rsid w:val="000C2F23"/>
    <w:rsid w:val="000C303C"/>
    <w:rsid w:val="000C309E"/>
    <w:rsid w:val="000C30BE"/>
    <w:rsid w:val="000C30C3"/>
    <w:rsid w:val="000C31BF"/>
    <w:rsid w:val="000C31D6"/>
    <w:rsid w:val="000C34FA"/>
    <w:rsid w:val="000C357E"/>
    <w:rsid w:val="000C371D"/>
    <w:rsid w:val="000C38CE"/>
    <w:rsid w:val="000C3A72"/>
    <w:rsid w:val="000C3AA2"/>
    <w:rsid w:val="000C3AC4"/>
    <w:rsid w:val="000C3B33"/>
    <w:rsid w:val="000C3B43"/>
    <w:rsid w:val="000C3B52"/>
    <w:rsid w:val="000C3BD7"/>
    <w:rsid w:val="000C3C1E"/>
    <w:rsid w:val="000C3DEA"/>
    <w:rsid w:val="000C3F3D"/>
    <w:rsid w:val="000C4086"/>
    <w:rsid w:val="000C4158"/>
    <w:rsid w:val="000C416F"/>
    <w:rsid w:val="000C41F9"/>
    <w:rsid w:val="000C43A3"/>
    <w:rsid w:val="000C43E0"/>
    <w:rsid w:val="000C46DB"/>
    <w:rsid w:val="000C4A54"/>
    <w:rsid w:val="000C4AB9"/>
    <w:rsid w:val="000C4AC8"/>
    <w:rsid w:val="000C4AE4"/>
    <w:rsid w:val="000C4C4A"/>
    <w:rsid w:val="000C4D1A"/>
    <w:rsid w:val="000C4DC7"/>
    <w:rsid w:val="000C4DCF"/>
    <w:rsid w:val="000C4E21"/>
    <w:rsid w:val="000C4E22"/>
    <w:rsid w:val="000C50EC"/>
    <w:rsid w:val="000C51D2"/>
    <w:rsid w:val="000C5280"/>
    <w:rsid w:val="000C52C0"/>
    <w:rsid w:val="000C5352"/>
    <w:rsid w:val="000C537A"/>
    <w:rsid w:val="000C5399"/>
    <w:rsid w:val="000C53FA"/>
    <w:rsid w:val="000C5403"/>
    <w:rsid w:val="000C5598"/>
    <w:rsid w:val="000C5601"/>
    <w:rsid w:val="000C56BF"/>
    <w:rsid w:val="000C57E3"/>
    <w:rsid w:val="000C58A3"/>
    <w:rsid w:val="000C5A62"/>
    <w:rsid w:val="000C5C58"/>
    <w:rsid w:val="000C5C8E"/>
    <w:rsid w:val="000C5CBC"/>
    <w:rsid w:val="000C5D43"/>
    <w:rsid w:val="000C5DAE"/>
    <w:rsid w:val="000C5E61"/>
    <w:rsid w:val="000C5EC0"/>
    <w:rsid w:val="000C629D"/>
    <w:rsid w:val="000C6476"/>
    <w:rsid w:val="000C6594"/>
    <w:rsid w:val="000C65DF"/>
    <w:rsid w:val="000C66AB"/>
    <w:rsid w:val="000C6729"/>
    <w:rsid w:val="000C6748"/>
    <w:rsid w:val="000C67D3"/>
    <w:rsid w:val="000C6946"/>
    <w:rsid w:val="000C6966"/>
    <w:rsid w:val="000C6A7B"/>
    <w:rsid w:val="000C6ADF"/>
    <w:rsid w:val="000C6B4A"/>
    <w:rsid w:val="000C6CF4"/>
    <w:rsid w:val="000C6DDD"/>
    <w:rsid w:val="000C6ED5"/>
    <w:rsid w:val="000C6FF0"/>
    <w:rsid w:val="000C7157"/>
    <w:rsid w:val="000C7181"/>
    <w:rsid w:val="000C71AC"/>
    <w:rsid w:val="000C720C"/>
    <w:rsid w:val="000C7488"/>
    <w:rsid w:val="000C7559"/>
    <w:rsid w:val="000C76BA"/>
    <w:rsid w:val="000C76CD"/>
    <w:rsid w:val="000C7D7A"/>
    <w:rsid w:val="000C7ECF"/>
    <w:rsid w:val="000C7EFA"/>
    <w:rsid w:val="000C7F21"/>
    <w:rsid w:val="000D0007"/>
    <w:rsid w:val="000D0466"/>
    <w:rsid w:val="000D046F"/>
    <w:rsid w:val="000D047C"/>
    <w:rsid w:val="000D0812"/>
    <w:rsid w:val="000D0A90"/>
    <w:rsid w:val="000D0BC0"/>
    <w:rsid w:val="000D0C9E"/>
    <w:rsid w:val="000D0DE2"/>
    <w:rsid w:val="000D0EC3"/>
    <w:rsid w:val="000D0EE2"/>
    <w:rsid w:val="000D0F59"/>
    <w:rsid w:val="000D12D9"/>
    <w:rsid w:val="000D13FA"/>
    <w:rsid w:val="000D1637"/>
    <w:rsid w:val="000D164B"/>
    <w:rsid w:val="000D1814"/>
    <w:rsid w:val="000D18A8"/>
    <w:rsid w:val="000D19F2"/>
    <w:rsid w:val="000D1A72"/>
    <w:rsid w:val="000D1C05"/>
    <w:rsid w:val="000D1D8B"/>
    <w:rsid w:val="000D1DD4"/>
    <w:rsid w:val="000D1E60"/>
    <w:rsid w:val="000D1EFF"/>
    <w:rsid w:val="000D1F33"/>
    <w:rsid w:val="000D1FE1"/>
    <w:rsid w:val="000D2005"/>
    <w:rsid w:val="000D2013"/>
    <w:rsid w:val="000D20CE"/>
    <w:rsid w:val="000D20EA"/>
    <w:rsid w:val="000D21EB"/>
    <w:rsid w:val="000D2251"/>
    <w:rsid w:val="000D2272"/>
    <w:rsid w:val="000D2363"/>
    <w:rsid w:val="000D23A0"/>
    <w:rsid w:val="000D245E"/>
    <w:rsid w:val="000D25E1"/>
    <w:rsid w:val="000D26BE"/>
    <w:rsid w:val="000D29A7"/>
    <w:rsid w:val="000D2AE3"/>
    <w:rsid w:val="000D2C18"/>
    <w:rsid w:val="000D2C2E"/>
    <w:rsid w:val="000D2D15"/>
    <w:rsid w:val="000D2D45"/>
    <w:rsid w:val="000D2DE1"/>
    <w:rsid w:val="000D30B3"/>
    <w:rsid w:val="000D3120"/>
    <w:rsid w:val="000D3513"/>
    <w:rsid w:val="000D3582"/>
    <w:rsid w:val="000D364F"/>
    <w:rsid w:val="000D3745"/>
    <w:rsid w:val="000D37AF"/>
    <w:rsid w:val="000D3923"/>
    <w:rsid w:val="000D39A6"/>
    <w:rsid w:val="000D3ACA"/>
    <w:rsid w:val="000D3B7D"/>
    <w:rsid w:val="000D3BA5"/>
    <w:rsid w:val="000D3C40"/>
    <w:rsid w:val="000D3D46"/>
    <w:rsid w:val="000D3EAB"/>
    <w:rsid w:val="000D3EE8"/>
    <w:rsid w:val="000D3F0C"/>
    <w:rsid w:val="000D41BD"/>
    <w:rsid w:val="000D420D"/>
    <w:rsid w:val="000D4265"/>
    <w:rsid w:val="000D4390"/>
    <w:rsid w:val="000D451A"/>
    <w:rsid w:val="000D4600"/>
    <w:rsid w:val="000D46B1"/>
    <w:rsid w:val="000D480E"/>
    <w:rsid w:val="000D489E"/>
    <w:rsid w:val="000D48B4"/>
    <w:rsid w:val="000D4A25"/>
    <w:rsid w:val="000D4A45"/>
    <w:rsid w:val="000D4B1F"/>
    <w:rsid w:val="000D4BD7"/>
    <w:rsid w:val="000D4C61"/>
    <w:rsid w:val="000D4C74"/>
    <w:rsid w:val="000D4D6F"/>
    <w:rsid w:val="000D4F65"/>
    <w:rsid w:val="000D50D3"/>
    <w:rsid w:val="000D51BB"/>
    <w:rsid w:val="000D5226"/>
    <w:rsid w:val="000D530C"/>
    <w:rsid w:val="000D5674"/>
    <w:rsid w:val="000D571E"/>
    <w:rsid w:val="000D57CF"/>
    <w:rsid w:val="000D5825"/>
    <w:rsid w:val="000D588D"/>
    <w:rsid w:val="000D5957"/>
    <w:rsid w:val="000D595F"/>
    <w:rsid w:val="000D5A63"/>
    <w:rsid w:val="000D5A8A"/>
    <w:rsid w:val="000D5AFF"/>
    <w:rsid w:val="000D5B08"/>
    <w:rsid w:val="000D5C86"/>
    <w:rsid w:val="000D5D4D"/>
    <w:rsid w:val="000D5DD3"/>
    <w:rsid w:val="000D5F42"/>
    <w:rsid w:val="000D5F7B"/>
    <w:rsid w:val="000D5FE3"/>
    <w:rsid w:val="000D5FE8"/>
    <w:rsid w:val="000D6061"/>
    <w:rsid w:val="000D6067"/>
    <w:rsid w:val="000D63A7"/>
    <w:rsid w:val="000D63CA"/>
    <w:rsid w:val="000D64CE"/>
    <w:rsid w:val="000D64F2"/>
    <w:rsid w:val="000D65A7"/>
    <w:rsid w:val="000D6DE5"/>
    <w:rsid w:val="000D7025"/>
    <w:rsid w:val="000D702D"/>
    <w:rsid w:val="000D716C"/>
    <w:rsid w:val="000D726D"/>
    <w:rsid w:val="000D729D"/>
    <w:rsid w:val="000D74F5"/>
    <w:rsid w:val="000D750C"/>
    <w:rsid w:val="000D758E"/>
    <w:rsid w:val="000D78F1"/>
    <w:rsid w:val="000D7B04"/>
    <w:rsid w:val="000D7CCD"/>
    <w:rsid w:val="000D7CF1"/>
    <w:rsid w:val="000D7E45"/>
    <w:rsid w:val="000D7ED3"/>
    <w:rsid w:val="000D7F02"/>
    <w:rsid w:val="000E0029"/>
    <w:rsid w:val="000E0089"/>
    <w:rsid w:val="000E0130"/>
    <w:rsid w:val="000E03C4"/>
    <w:rsid w:val="000E03E3"/>
    <w:rsid w:val="000E047E"/>
    <w:rsid w:val="000E04B6"/>
    <w:rsid w:val="000E0726"/>
    <w:rsid w:val="000E092D"/>
    <w:rsid w:val="000E09C3"/>
    <w:rsid w:val="000E0A14"/>
    <w:rsid w:val="000E0A80"/>
    <w:rsid w:val="000E0ADA"/>
    <w:rsid w:val="000E0B82"/>
    <w:rsid w:val="000E0B8C"/>
    <w:rsid w:val="000E0BA6"/>
    <w:rsid w:val="000E0C7D"/>
    <w:rsid w:val="000E0D5F"/>
    <w:rsid w:val="000E0E75"/>
    <w:rsid w:val="000E0F5C"/>
    <w:rsid w:val="000E1096"/>
    <w:rsid w:val="000E10F7"/>
    <w:rsid w:val="000E1140"/>
    <w:rsid w:val="000E1260"/>
    <w:rsid w:val="000E13B8"/>
    <w:rsid w:val="000E13D9"/>
    <w:rsid w:val="000E1547"/>
    <w:rsid w:val="000E163C"/>
    <w:rsid w:val="000E16AA"/>
    <w:rsid w:val="000E1776"/>
    <w:rsid w:val="000E1932"/>
    <w:rsid w:val="000E1A45"/>
    <w:rsid w:val="000E1ABB"/>
    <w:rsid w:val="000E1B7E"/>
    <w:rsid w:val="000E1D35"/>
    <w:rsid w:val="000E1E5A"/>
    <w:rsid w:val="000E1F8A"/>
    <w:rsid w:val="000E1FEB"/>
    <w:rsid w:val="000E2003"/>
    <w:rsid w:val="000E21D4"/>
    <w:rsid w:val="000E227E"/>
    <w:rsid w:val="000E2356"/>
    <w:rsid w:val="000E23F6"/>
    <w:rsid w:val="000E2515"/>
    <w:rsid w:val="000E251A"/>
    <w:rsid w:val="000E254B"/>
    <w:rsid w:val="000E25E1"/>
    <w:rsid w:val="000E2631"/>
    <w:rsid w:val="000E264B"/>
    <w:rsid w:val="000E26DB"/>
    <w:rsid w:val="000E272F"/>
    <w:rsid w:val="000E2777"/>
    <w:rsid w:val="000E2792"/>
    <w:rsid w:val="000E27BE"/>
    <w:rsid w:val="000E28A2"/>
    <w:rsid w:val="000E28F4"/>
    <w:rsid w:val="000E29F6"/>
    <w:rsid w:val="000E2A22"/>
    <w:rsid w:val="000E2BF8"/>
    <w:rsid w:val="000E2C2C"/>
    <w:rsid w:val="000E2C98"/>
    <w:rsid w:val="000E2E45"/>
    <w:rsid w:val="000E2E8C"/>
    <w:rsid w:val="000E3111"/>
    <w:rsid w:val="000E3191"/>
    <w:rsid w:val="000E3223"/>
    <w:rsid w:val="000E341B"/>
    <w:rsid w:val="000E3512"/>
    <w:rsid w:val="000E3606"/>
    <w:rsid w:val="000E363D"/>
    <w:rsid w:val="000E37D0"/>
    <w:rsid w:val="000E38A8"/>
    <w:rsid w:val="000E391D"/>
    <w:rsid w:val="000E392E"/>
    <w:rsid w:val="000E39A9"/>
    <w:rsid w:val="000E3B25"/>
    <w:rsid w:val="000E3B9A"/>
    <w:rsid w:val="000E3C86"/>
    <w:rsid w:val="000E3E86"/>
    <w:rsid w:val="000E3F9A"/>
    <w:rsid w:val="000E417B"/>
    <w:rsid w:val="000E4579"/>
    <w:rsid w:val="000E4730"/>
    <w:rsid w:val="000E47B4"/>
    <w:rsid w:val="000E48A7"/>
    <w:rsid w:val="000E49D5"/>
    <w:rsid w:val="000E4AA2"/>
    <w:rsid w:val="000E4B38"/>
    <w:rsid w:val="000E4E0B"/>
    <w:rsid w:val="000E5026"/>
    <w:rsid w:val="000E5115"/>
    <w:rsid w:val="000E51A8"/>
    <w:rsid w:val="000E5224"/>
    <w:rsid w:val="000E527D"/>
    <w:rsid w:val="000E52AF"/>
    <w:rsid w:val="000E5399"/>
    <w:rsid w:val="000E545E"/>
    <w:rsid w:val="000E5486"/>
    <w:rsid w:val="000E56F9"/>
    <w:rsid w:val="000E58B9"/>
    <w:rsid w:val="000E58FD"/>
    <w:rsid w:val="000E5963"/>
    <w:rsid w:val="000E5B47"/>
    <w:rsid w:val="000E5C5E"/>
    <w:rsid w:val="000E5CDC"/>
    <w:rsid w:val="000E5D7A"/>
    <w:rsid w:val="000E5F53"/>
    <w:rsid w:val="000E60B9"/>
    <w:rsid w:val="000E60F5"/>
    <w:rsid w:val="000E61BF"/>
    <w:rsid w:val="000E61D1"/>
    <w:rsid w:val="000E621F"/>
    <w:rsid w:val="000E6248"/>
    <w:rsid w:val="000E63A2"/>
    <w:rsid w:val="000E63E9"/>
    <w:rsid w:val="000E6409"/>
    <w:rsid w:val="000E654F"/>
    <w:rsid w:val="000E6564"/>
    <w:rsid w:val="000E65DA"/>
    <w:rsid w:val="000E662F"/>
    <w:rsid w:val="000E669C"/>
    <w:rsid w:val="000E676B"/>
    <w:rsid w:val="000E6796"/>
    <w:rsid w:val="000E68DC"/>
    <w:rsid w:val="000E699C"/>
    <w:rsid w:val="000E69AF"/>
    <w:rsid w:val="000E6AB3"/>
    <w:rsid w:val="000E6C0B"/>
    <w:rsid w:val="000E6E50"/>
    <w:rsid w:val="000E6E70"/>
    <w:rsid w:val="000E6EEB"/>
    <w:rsid w:val="000E6EF9"/>
    <w:rsid w:val="000E6F82"/>
    <w:rsid w:val="000E6FE7"/>
    <w:rsid w:val="000E7007"/>
    <w:rsid w:val="000E7070"/>
    <w:rsid w:val="000E7274"/>
    <w:rsid w:val="000E74AF"/>
    <w:rsid w:val="000E754D"/>
    <w:rsid w:val="000E7631"/>
    <w:rsid w:val="000E7738"/>
    <w:rsid w:val="000E7788"/>
    <w:rsid w:val="000E7920"/>
    <w:rsid w:val="000E79BA"/>
    <w:rsid w:val="000E7AB7"/>
    <w:rsid w:val="000E7C79"/>
    <w:rsid w:val="000E7F1E"/>
    <w:rsid w:val="000E7F2A"/>
    <w:rsid w:val="000E7FE3"/>
    <w:rsid w:val="000F0004"/>
    <w:rsid w:val="000F032B"/>
    <w:rsid w:val="000F0441"/>
    <w:rsid w:val="000F086F"/>
    <w:rsid w:val="000F0962"/>
    <w:rsid w:val="000F097D"/>
    <w:rsid w:val="000F09AA"/>
    <w:rsid w:val="000F09AE"/>
    <w:rsid w:val="000F0DAD"/>
    <w:rsid w:val="000F0E7B"/>
    <w:rsid w:val="000F0E9F"/>
    <w:rsid w:val="000F1018"/>
    <w:rsid w:val="000F1023"/>
    <w:rsid w:val="000F10A4"/>
    <w:rsid w:val="000F1434"/>
    <w:rsid w:val="000F144E"/>
    <w:rsid w:val="000F158D"/>
    <w:rsid w:val="000F1698"/>
    <w:rsid w:val="000F172D"/>
    <w:rsid w:val="000F17E8"/>
    <w:rsid w:val="000F1862"/>
    <w:rsid w:val="000F188F"/>
    <w:rsid w:val="000F1954"/>
    <w:rsid w:val="000F1C02"/>
    <w:rsid w:val="000F1D71"/>
    <w:rsid w:val="000F1ECD"/>
    <w:rsid w:val="000F1F7A"/>
    <w:rsid w:val="000F1FDA"/>
    <w:rsid w:val="000F207B"/>
    <w:rsid w:val="000F20A3"/>
    <w:rsid w:val="000F20A6"/>
    <w:rsid w:val="000F20B6"/>
    <w:rsid w:val="000F2287"/>
    <w:rsid w:val="000F2336"/>
    <w:rsid w:val="000F248D"/>
    <w:rsid w:val="000F24DC"/>
    <w:rsid w:val="000F2526"/>
    <w:rsid w:val="000F2795"/>
    <w:rsid w:val="000F28A7"/>
    <w:rsid w:val="000F2946"/>
    <w:rsid w:val="000F29F9"/>
    <w:rsid w:val="000F2A8B"/>
    <w:rsid w:val="000F2A96"/>
    <w:rsid w:val="000F2CB5"/>
    <w:rsid w:val="000F2DF3"/>
    <w:rsid w:val="000F2E3C"/>
    <w:rsid w:val="000F2F2E"/>
    <w:rsid w:val="000F30A0"/>
    <w:rsid w:val="000F3127"/>
    <w:rsid w:val="000F314D"/>
    <w:rsid w:val="000F3179"/>
    <w:rsid w:val="000F31E4"/>
    <w:rsid w:val="000F3355"/>
    <w:rsid w:val="000F33A5"/>
    <w:rsid w:val="000F34D2"/>
    <w:rsid w:val="000F3591"/>
    <w:rsid w:val="000F35A9"/>
    <w:rsid w:val="000F368C"/>
    <w:rsid w:val="000F3845"/>
    <w:rsid w:val="000F3BC5"/>
    <w:rsid w:val="000F3C86"/>
    <w:rsid w:val="000F3DAF"/>
    <w:rsid w:val="000F3E5C"/>
    <w:rsid w:val="000F401D"/>
    <w:rsid w:val="000F402C"/>
    <w:rsid w:val="000F40B9"/>
    <w:rsid w:val="000F4120"/>
    <w:rsid w:val="000F417D"/>
    <w:rsid w:val="000F41A3"/>
    <w:rsid w:val="000F42DB"/>
    <w:rsid w:val="000F42FD"/>
    <w:rsid w:val="000F43FC"/>
    <w:rsid w:val="000F447B"/>
    <w:rsid w:val="000F44F3"/>
    <w:rsid w:val="000F44FA"/>
    <w:rsid w:val="000F477B"/>
    <w:rsid w:val="000F47BA"/>
    <w:rsid w:val="000F4812"/>
    <w:rsid w:val="000F4824"/>
    <w:rsid w:val="000F4907"/>
    <w:rsid w:val="000F4B16"/>
    <w:rsid w:val="000F4D09"/>
    <w:rsid w:val="000F4D5C"/>
    <w:rsid w:val="000F4DF1"/>
    <w:rsid w:val="000F4DF7"/>
    <w:rsid w:val="000F4E07"/>
    <w:rsid w:val="000F4E99"/>
    <w:rsid w:val="000F4FE3"/>
    <w:rsid w:val="000F4FF2"/>
    <w:rsid w:val="000F4FF4"/>
    <w:rsid w:val="000F5090"/>
    <w:rsid w:val="000F5093"/>
    <w:rsid w:val="000F50E2"/>
    <w:rsid w:val="000F5101"/>
    <w:rsid w:val="000F5207"/>
    <w:rsid w:val="000F53AE"/>
    <w:rsid w:val="000F5422"/>
    <w:rsid w:val="000F5434"/>
    <w:rsid w:val="000F54AE"/>
    <w:rsid w:val="000F5574"/>
    <w:rsid w:val="000F566A"/>
    <w:rsid w:val="000F573C"/>
    <w:rsid w:val="000F57C0"/>
    <w:rsid w:val="000F58CD"/>
    <w:rsid w:val="000F5954"/>
    <w:rsid w:val="000F5966"/>
    <w:rsid w:val="000F5A2A"/>
    <w:rsid w:val="000F5A4E"/>
    <w:rsid w:val="000F5A95"/>
    <w:rsid w:val="000F5AA3"/>
    <w:rsid w:val="000F5B3E"/>
    <w:rsid w:val="000F5BAE"/>
    <w:rsid w:val="000F5BF5"/>
    <w:rsid w:val="000F5C49"/>
    <w:rsid w:val="000F5D7B"/>
    <w:rsid w:val="000F5DA1"/>
    <w:rsid w:val="000F5E04"/>
    <w:rsid w:val="000F6071"/>
    <w:rsid w:val="000F6145"/>
    <w:rsid w:val="000F6291"/>
    <w:rsid w:val="000F645A"/>
    <w:rsid w:val="000F64EF"/>
    <w:rsid w:val="000F6504"/>
    <w:rsid w:val="000F6917"/>
    <w:rsid w:val="000F69FB"/>
    <w:rsid w:val="000F6A12"/>
    <w:rsid w:val="000F6A80"/>
    <w:rsid w:val="000F6A9B"/>
    <w:rsid w:val="000F6B86"/>
    <w:rsid w:val="000F6BAC"/>
    <w:rsid w:val="000F6C1E"/>
    <w:rsid w:val="000F6D25"/>
    <w:rsid w:val="000F6DBD"/>
    <w:rsid w:val="000F6E01"/>
    <w:rsid w:val="000F6E8C"/>
    <w:rsid w:val="000F6EA1"/>
    <w:rsid w:val="000F6FF7"/>
    <w:rsid w:val="000F735B"/>
    <w:rsid w:val="000F74FA"/>
    <w:rsid w:val="000F75C4"/>
    <w:rsid w:val="000F76D6"/>
    <w:rsid w:val="000F77C2"/>
    <w:rsid w:val="000F786D"/>
    <w:rsid w:val="000F78A5"/>
    <w:rsid w:val="000F796D"/>
    <w:rsid w:val="000F7A00"/>
    <w:rsid w:val="000F7BC2"/>
    <w:rsid w:val="000F7C7A"/>
    <w:rsid w:val="000F7CF8"/>
    <w:rsid w:val="000F7F39"/>
    <w:rsid w:val="00100064"/>
    <w:rsid w:val="00100066"/>
    <w:rsid w:val="00100070"/>
    <w:rsid w:val="0010015E"/>
    <w:rsid w:val="001001F2"/>
    <w:rsid w:val="0010022B"/>
    <w:rsid w:val="00100268"/>
    <w:rsid w:val="001002A1"/>
    <w:rsid w:val="0010058B"/>
    <w:rsid w:val="001005B5"/>
    <w:rsid w:val="001005EE"/>
    <w:rsid w:val="00100617"/>
    <w:rsid w:val="00100631"/>
    <w:rsid w:val="001009FF"/>
    <w:rsid w:val="00100A60"/>
    <w:rsid w:val="00100C35"/>
    <w:rsid w:val="00100CEC"/>
    <w:rsid w:val="00100D72"/>
    <w:rsid w:val="00100D74"/>
    <w:rsid w:val="00101023"/>
    <w:rsid w:val="0010108C"/>
    <w:rsid w:val="001010C7"/>
    <w:rsid w:val="001010E1"/>
    <w:rsid w:val="001011D9"/>
    <w:rsid w:val="0010127F"/>
    <w:rsid w:val="00101336"/>
    <w:rsid w:val="00101390"/>
    <w:rsid w:val="00101391"/>
    <w:rsid w:val="001016D5"/>
    <w:rsid w:val="00101708"/>
    <w:rsid w:val="00101779"/>
    <w:rsid w:val="0010182D"/>
    <w:rsid w:val="00101879"/>
    <w:rsid w:val="00101948"/>
    <w:rsid w:val="001019CD"/>
    <w:rsid w:val="00101BD1"/>
    <w:rsid w:val="00101C52"/>
    <w:rsid w:val="00101C65"/>
    <w:rsid w:val="00101D25"/>
    <w:rsid w:val="00101DAE"/>
    <w:rsid w:val="00101DB8"/>
    <w:rsid w:val="00101E95"/>
    <w:rsid w:val="00101FF4"/>
    <w:rsid w:val="001020BD"/>
    <w:rsid w:val="00102155"/>
    <w:rsid w:val="001021CB"/>
    <w:rsid w:val="00102345"/>
    <w:rsid w:val="001023B6"/>
    <w:rsid w:val="00102453"/>
    <w:rsid w:val="001027B2"/>
    <w:rsid w:val="001027FE"/>
    <w:rsid w:val="00102B32"/>
    <w:rsid w:val="00102C32"/>
    <w:rsid w:val="00102C35"/>
    <w:rsid w:val="00102CF2"/>
    <w:rsid w:val="00102E32"/>
    <w:rsid w:val="00102F4F"/>
    <w:rsid w:val="00102F8A"/>
    <w:rsid w:val="00102FD2"/>
    <w:rsid w:val="0010301C"/>
    <w:rsid w:val="00103074"/>
    <w:rsid w:val="00103075"/>
    <w:rsid w:val="00103171"/>
    <w:rsid w:val="001032CD"/>
    <w:rsid w:val="001033ED"/>
    <w:rsid w:val="00103403"/>
    <w:rsid w:val="00103688"/>
    <w:rsid w:val="00103A11"/>
    <w:rsid w:val="00103AE3"/>
    <w:rsid w:val="00103CC9"/>
    <w:rsid w:val="00103D46"/>
    <w:rsid w:val="00103D8B"/>
    <w:rsid w:val="00103FF4"/>
    <w:rsid w:val="00104028"/>
    <w:rsid w:val="001041E7"/>
    <w:rsid w:val="001042E3"/>
    <w:rsid w:val="00104539"/>
    <w:rsid w:val="0010456E"/>
    <w:rsid w:val="0010456F"/>
    <w:rsid w:val="00104604"/>
    <w:rsid w:val="00104708"/>
    <w:rsid w:val="0010475E"/>
    <w:rsid w:val="00104A5D"/>
    <w:rsid w:val="00104B88"/>
    <w:rsid w:val="00104CB2"/>
    <w:rsid w:val="00104E50"/>
    <w:rsid w:val="00104F36"/>
    <w:rsid w:val="00105163"/>
    <w:rsid w:val="0010558D"/>
    <w:rsid w:val="001057DE"/>
    <w:rsid w:val="00105B3B"/>
    <w:rsid w:val="00105BFF"/>
    <w:rsid w:val="00105CEC"/>
    <w:rsid w:val="00105DA2"/>
    <w:rsid w:val="00105DC3"/>
    <w:rsid w:val="00105FAE"/>
    <w:rsid w:val="0010609B"/>
    <w:rsid w:val="001060C4"/>
    <w:rsid w:val="0010610D"/>
    <w:rsid w:val="00106125"/>
    <w:rsid w:val="001061C7"/>
    <w:rsid w:val="001061F3"/>
    <w:rsid w:val="001063D6"/>
    <w:rsid w:val="00106482"/>
    <w:rsid w:val="0010651B"/>
    <w:rsid w:val="00106966"/>
    <w:rsid w:val="00106A0A"/>
    <w:rsid w:val="00106A0D"/>
    <w:rsid w:val="00106B58"/>
    <w:rsid w:val="00106C93"/>
    <w:rsid w:val="00106D0F"/>
    <w:rsid w:val="00106D66"/>
    <w:rsid w:val="00106DA3"/>
    <w:rsid w:val="00106DF8"/>
    <w:rsid w:val="001070EE"/>
    <w:rsid w:val="00107121"/>
    <w:rsid w:val="0010727E"/>
    <w:rsid w:val="0010730F"/>
    <w:rsid w:val="001074F6"/>
    <w:rsid w:val="001078D1"/>
    <w:rsid w:val="00107A83"/>
    <w:rsid w:val="00107C71"/>
    <w:rsid w:val="00107CAD"/>
    <w:rsid w:val="00107D04"/>
    <w:rsid w:val="00107D9F"/>
    <w:rsid w:val="00107DC7"/>
    <w:rsid w:val="00107F1B"/>
    <w:rsid w:val="00107F62"/>
    <w:rsid w:val="00110065"/>
    <w:rsid w:val="00110136"/>
    <w:rsid w:val="001103AD"/>
    <w:rsid w:val="0011047E"/>
    <w:rsid w:val="00110488"/>
    <w:rsid w:val="0011055F"/>
    <w:rsid w:val="00110632"/>
    <w:rsid w:val="001106E0"/>
    <w:rsid w:val="001106E1"/>
    <w:rsid w:val="0011082F"/>
    <w:rsid w:val="00110918"/>
    <w:rsid w:val="00110A64"/>
    <w:rsid w:val="00110B36"/>
    <w:rsid w:val="00110CE9"/>
    <w:rsid w:val="00110CF0"/>
    <w:rsid w:val="00110D3E"/>
    <w:rsid w:val="00110D5B"/>
    <w:rsid w:val="00110E60"/>
    <w:rsid w:val="00111068"/>
    <w:rsid w:val="0011108D"/>
    <w:rsid w:val="00111137"/>
    <w:rsid w:val="001111F9"/>
    <w:rsid w:val="001111FC"/>
    <w:rsid w:val="001112BB"/>
    <w:rsid w:val="0011146A"/>
    <w:rsid w:val="00111502"/>
    <w:rsid w:val="00111593"/>
    <w:rsid w:val="001115B5"/>
    <w:rsid w:val="0011186A"/>
    <w:rsid w:val="0011186C"/>
    <w:rsid w:val="0011187A"/>
    <w:rsid w:val="0011188A"/>
    <w:rsid w:val="00111931"/>
    <w:rsid w:val="001119EC"/>
    <w:rsid w:val="001119FD"/>
    <w:rsid w:val="00111A28"/>
    <w:rsid w:val="00111A60"/>
    <w:rsid w:val="00111AC7"/>
    <w:rsid w:val="00111AD3"/>
    <w:rsid w:val="00111B47"/>
    <w:rsid w:val="00111CF1"/>
    <w:rsid w:val="00111D88"/>
    <w:rsid w:val="00112092"/>
    <w:rsid w:val="00112135"/>
    <w:rsid w:val="00112166"/>
    <w:rsid w:val="00112183"/>
    <w:rsid w:val="00112354"/>
    <w:rsid w:val="001123FC"/>
    <w:rsid w:val="00112525"/>
    <w:rsid w:val="001125EC"/>
    <w:rsid w:val="00112637"/>
    <w:rsid w:val="001127A5"/>
    <w:rsid w:val="00112954"/>
    <w:rsid w:val="00112A8E"/>
    <w:rsid w:val="00112CDB"/>
    <w:rsid w:val="00112D09"/>
    <w:rsid w:val="00112FF4"/>
    <w:rsid w:val="001130C8"/>
    <w:rsid w:val="0011317D"/>
    <w:rsid w:val="001131C3"/>
    <w:rsid w:val="001132E8"/>
    <w:rsid w:val="00113403"/>
    <w:rsid w:val="001134DE"/>
    <w:rsid w:val="00113630"/>
    <w:rsid w:val="0011373D"/>
    <w:rsid w:val="0011394A"/>
    <w:rsid w:val="00113A51"/>
    <w:rsid w:val="00113A7D"/>
    <w:rsid w:val="00113CD2"/>
    <w:rsid w:val="00113DD1"/>
    <w:rsid w:val="00113DD3"/>
    <w:rsid w:val="00113F78"/>
    <w:rsid w:val="00113FF1"/>
    <w:rsid w:val="0011401C"/>
    <w:rsid w:val="00114149"/>
    <w:rsid w:val="001141B0"/>
    <w:rsid w:val="001142DB"/>
    <w:rsid w:val="00114312"/>
    <w:rsid w:val="00114365"/>
    <w:rsid w:val="001143B7"/>
    <w:rsid w:val="00114449"/>
    <w:rsid w:val="0011449A"/>
    <w:rsid w:val="0011449C"/>
    <w:rsid w:val="0011454A"/>
    <w:rsid w:val="001145F5"/>
    <w:rsid w:val="0011477E"/>
    <w:rsid w:val="0011487C"/>
    <w:rsid w:val="00114B7D"/>
    <w:rsid w:val="00114BB2"/>
    <w:rsid w:val="00114C00"/>
    <w:rsid w:val="00114C1A"/>
    <w:rsid w:val="00114D25"/>
    <w:rsid w:val="00114D58"/>
    <w:rsid w:val="00114F10"/>
    <w:rsid w:val="00115074"/>
    <w:rsid w:val="0011511D"/>
    <w:rsid w:val="00115209"/>
    <w:rsid w:val="00115532"/>
    <w:rsid w:val="0011565D"/>
    <w:rsid w:val="0011583C"/>
    <w:rsid w:val="0011586F"/>
    <w:rsid w:val="00115B44"/>
    <w:rsid w:val="00115BE2"/>
    <w:rsid w:val="00115CFF"/>
    <w:rsid w:val="00115D49"/>
    <w:rsid w:val="00115DA2"/>
    <w:rsid w:val="00115ED8"/>
    <w:rsid w:val="0011606C"/>
    <w:rsid w:val="00116113"/>
    <w:rsid w:val="00116176"/>
    <w:rsid w:val="00116258"/>
    <w:rsid w:val="00116286"/>
    <w:rsid w:val="00116434"/>
    <w:rsid w:val="0011660B"/>
    <w:rsid w:val="001166C3"/>
    <w:rsid w:val="001166D7"/>
    <w:rsid w:val="001166FA"/>
    <w:rsid w:val="00116752"/>
    <w:rsid w:val="0011675E"/>
    <w:rsid w:val="001167AF"/>
    <w:rsid w:val="00116867"/>
    <w:rsid w:val="00116868"/>
    <w:rsid w:val="00116A14"/>
    <w:rsid w:val="00116A19"/>
    <w:rsid w:val="00116A6E"/>
    <w:rsid w:val="00116AAB"/>
    <w:rsid w:val="00116AC7"/>
    <w:rsid w:val="00116ADD"/>
    <w:rsid w:val="00116BAE"/>
    <w:rsid w:val="00116C8C"/>
    <w:rsid w:val="00116DAE"/>
    <w:rsid w:val="00116E5A"/>
    <w:rsid w:val="00116EE8"/>
    <w:rsid w:val="00116FD1"/>
    <w:rsid w:val="0011707A"/>
    <w:rsid w:val="001170D5"/>
    <w:rsid w:val="001170DC"/>
    <w:rsid w:val="0011718D"/>
    <w:rsid w:val="00117196"/>
    <w:rsid w:val="001171E9"/>
    <w:rsid w:val="0011745E"/>
    <w:rsid w:val="0011769E"/>
    <w:rsid w:val="001176F3"/>
    <w:rsid w:val="00117760"/>
    <w:rsid w:val="001177B1"/>
    <w:rsid w:val="00117871"/>
    <w:rsid w:val="001178DB"/>
    <w:rsid w:val="001179E5"/>
    <w:rsid w:val="00117A0E"/>
    <w:rsid w:val="00117A7A"/>
    <w:rsid w:val="00117B6F"/>
    <w:rsid w:val="00117D5B"/>
    <w:rsid w:val="00117E12"/>
    <w:rsid w:val="00120128"/>
    <w:rsid w:val="0012029F"/>
    <w:rsid w:val="0012032F"/>
    <w:rsid w:val="0012034A"/>
    <w:rsid w:val="00120355"/>
    <w:rsid w:val="00120362"/>
    <w:rsid w:val="00120395"/>
    <w:rsid w:val="00120423"/>
    <w:rsid w:val="001204C3"/>
    <w:rsid w:val="0012052F"/>
    <w:rsid w:val="00120558"/>
    <w:rsid w:val="0012055B"/>
    <w:rsid w:val="0012078D"/>
    <w:rsid w:val="0012081B"/>
    <w:rsid w:val="0012089B"/>
    <w:rsid w:val="00120924"/>
    <w:rsid w:val="00120929"/>
    <w:rsid w:val="00120BDD"/>
    <w:rsid w:val="00120DDA"/>
    <w:rsid w:val="00120F1C"/>
    <w:rsid w:val="00120F62"/>
    <w:rsid w:val="00120F6B"/>
    <w:rsid w:val="00121585"/>
    <w:rsid w:val="00121669"/>
    <w:rsid w:val="00121679"/>
    <w:rsid w:val="00121680"/>
    <w:rsid w:val="001217CB"/>
    <w:rsid w:val="001217E8"/>
    <w:rsid w:val="00121820"/>
    <w:rsid w:val="0012199C"/>
    <w:rsid w:val="001219D9"/>
    <w:rsid w:val="00121A1B"/>
    <w:rsid w:val="00121AF5"/>
    <w:rsid w:val="00121C6E"/>
    <w:rsid w:val="00121CD7"/>
    <w:rsid w:val="00121CE6"/>
    <w:rsid w:val="00121FA5"/>
    <w:rsid w:val="00121FFE"/>
    <w:rsid w:val="001220D3"/>
    <w:rsid w:val="00122218"/>
    <w:rsid w:val="001222A5"/>
    <w:rsid w:val="0012243F"/>
    <w:rsid w:val="0012244B"/>
    <w:rsid w:val="001224FE"/>
    <w:rsid w:val="001229E7"/>
    <w:rsid w:val="00122DC9"/>
    <w:rsid w:val="00122E7F"/>
    <w:rsid w:val="00123019"/>
    <w:rsid w:val="001231A9"/>
    <w:rsid w:val="001231C0"/>
    <w:rsid w:val="0012331E"/>
    <w:rsid w:val="00123419"/>
    <w:rsid w:val="00123626"/>
    <w:rsid w:val="0012364D"/>
    <w:rsid w:val="00123675"/>
    <w:rsid w:val="001236AD"/>
    <w:rsid w:val="00123742"/>
    <w:rsid w:val="00123778"/>
    <w:rsid w:val="00123826"/>
    <w:rsid w:val="001238BA"/>
    <w:rsid w:val="00123910"/>
    <w:rsid w:val="00123978"/>
    <w:rsid w:val="00123982"/>
    <w:rsid w:val="001239BB"/>
    <w:rsid w:val="00123A0A"/>
    <w:rsid w:val="00123A7A"/>
    <w:rsid w:val="00123BFA"/>
    <w:rsid w:val="00123C69"/>
    <w:rsid w:val="00123E27"/>
    <w:rsid w:val="00123F69"/>
    <w:rsid w:val="00123F90"/>
    <w:rsid w:val="0012404C"/>
    <w:rsid w:val="001242C0"/>
    <w:rsid w:val="001243B2"/>
    <w:rsid w:val="001244C0"/>
    <w:rsid w:val="001244F1"/>
    <w:rsid w:val="00124558"/>
    <w:rsid w:val="0012478D"/>
    <w:rsid w:val="00124821"/>
    <w:rsid w:val="001248AC"/>
    <w:rsid w:val="001249FE"/>
    <w:rsid w:val="00124ABB"/>
    <w:rsid w:val="00124ACD"/>
    <w:rsid w:val="00124B44"/>
    <w:rsid w:val="00124BE4"/>
    <w:rsid w:val="00124CB9"/>
    <w:rsid w:val="00124CF1"/>
    <w:rsid w:val="00124DC0"/>
    <w:rsid w:val="00125014"/>
    <w:rsid w:val="0012510F"/>
    <w:rsid w:val="00125200"/>
    <w:rsid w:val="00125287"/>
    <w:rsid w:val="001252F8"/>
    <w:rsid w:val="0012533F"/>
    <w:rsid w:val="00125533"/>
    <w:rsid w:val="00125548"/>
    <w:rsid w:val="001255A1"/>
    <w:rsid w:val="00125625"/>
    <w:rsid w:val="0012567B"/>
    <w:rsid w:val="001256C2"/>
    <w:rsid w:val="0012570B"/>
    <w:rsid w:val="001258F1"/>
    <w:rsid w:val="0012598F"/>
    <w:rsid w:val="00125A08"/>
    <w:rsid w:val="00125C09"/>
    <w:rsid w:val="00125EA0"/>
    <w:rsid w:val="00125EF2"/>
    <w:rsid w:val="00125F47"/>
    <w:rsid w:val="00125FB8"/>
    <w:rsid w:val="00125FE8"/>
    <w:rsid w:val="00126124"/>
    <w:rsid w:val="00126171"/>
    <w:rsid w:val="001261A0"/>
    <w:rsid w:val="001263C0"/>
    <w:rsid w:val="00126447"/>
    <w:rsid w:val="00126483"/>
    <w:rsid w:val="00126579"/>
    <w:rsid w:val="0012665C"/>
    <w:rsid w:val="001267D1"/>
    <w:rsid w:val="00126805"/>
    <w:rsid w:val="001268C2"/>
    <w:rsid w:val="001269EF"/>
    <w:rsid w:val="00126A6E"/>
    <w:rsid w:val="00126B32"/>
    <w:rsid w:val="00126BE2"/>
    <w:rsid w:val="00126CED"/>
    <w:rsid w:val="00126CF1"/>
    <w:rsid w:val="00126CF9"/>
    <w:rsid w:val="00126D85"/>
    <w:rsid w:val="00126DB9"/>
    <w:rsid w:val="00126DC1"/>
    <w:rsid w:val="00126DD7"/>
    <w:rsid w:val="00126EB0"/>
    <w:rsid w:val="00127053"/>
    <w:rsid w:val="00127157"/>
    <w:rsid w:val="001271FD"/>
    <w:rsid w:val="00127239"/>
    <w:rsid w:val="0012741A"/>
    <w:rsid w:val="0012749F"/>
    <w:rsid w:val="00127539"/>
    <w:rsid w:val="00127796"/>
    <w:rsid w:val="0012786C"/>
    <w:rsid w:val="001278C5"/>
    <w:rsid w:val="0012794F"/>
    <w:rsid w:val="0012796C"/>
    <w:rsid w:val="0012797B"/>
    <w:rsid w:val="00127A69"/>
    <w:rsid w:val="00127A87"/>
    <w:rsid w:val="00127ADF"/>
    <w:rsid w:val="00127B26"/>
    <w:rsid w:val="00127B40"/>
    <w:rsid w:val="00127B79"/>
    <w:rsid w:val="00127C98"/>
    <w:rsid w:val="00127DA2"/>
    <w:rsid w:val="00127E80"/>
    <w:rsid w:val="001300C6"/>
    <w:rsid w:val="001300CD"/>
    <w:rsid w:val="00130129"/>
    <w:rsid w:val="0013031D"/>
    <w:rsid w:val="0013036E"/>
    <w:rsid w:val="0013043B"/>
    <w:rsid w:val="0013044D"/>
    <w:rsid w:val="001305B4"/>
    <w:rsid w:val="001305DD"/>
    <w:rsid w:val="00130630"/>
    <w:rsid w:val="0013079C"/>
    <w:rsid w:val="001307A1"/>
    <w:rsid w:val="00130A69"/>
    <w:rsid w:val="00130B88"/>
    <w:rsid w:val="00130BB2"/>
    <w:rsid w:val="00130C25"/>
    <w:rsid w:val="00130CE1"/>
    <w:rsid w:val="00130DBE"/>
    <w:rsid w:val="00130F33"/>
    <w:rsid w:val="0013102B"/>
    <w:rsid w:val="001311EE"/>
    <w:rsid w:val="0013120B"/>
    <w:rsid w:val="0013137D"/>
    <w:rsid w:val="001313FC"/>
    <w:rsid w:val="0013140B"/>
    <w:rsid w:val="00131420"/>
    <w:rsid w:val="00131422"/>
    <w:rsid w:val="0013163A"/>
    <w:rsid w:val="001316B0"/>
    <w:rsid w:val="00131827"/>
    <w:rsid w:val="0013188B"/>
    <w:rsid w:val="00131AA1"/>
    <w:rsid w:val="00131ABD"/>
    <w:rsid w:val="00131B27"/>
    <w:rsid w:val="00131C90"/>
    <w:rsid w:val="00131E19"/>
    <w:rsid w:val="00131F45"/>
    <w:rsid w:val="0013215E"/>
    <w:rsid w:val="0013229C"/>
    <w:rsid w:val="001322A3"/>
    <w:rsid w:val="0013230B"/>
    <w:rsid w:val="00132359"/>
    <w:rsid w:val="001323BE"/>
    <w:rsid w:val="001323FB"/>
    <w:rsid w:val="0013246B"/>
    <w:rsid w:val="001324D4"/>
    <w:rsid w:val="00132555"/>
    <w:rsid w:val="00132564"/>
    <w:rsid w:val="0013258F"/>
    <w:rsid w:val="001325B0"/>
    <w:rsid w:val="001325E3"/>
    <w:rsid w:val="001326BB"/>
    <w:rsid w:val="00132867"/>
    <w:rsid w:val="0013293D"/>
    <w:rsid w:val="00132CA2"/>
    <w:rsid w:val="00132CE1"/>
    <w:rsid w:val="00132D36"/>
    <w:rsid w:val="00132DA2"/>
    <w:rsid w:val="00132EA4"/>
    <w:rsid w:val="00132EEB"/>
    <w:rsid w:val="0013301E"/>
    <w:rsid w:val="0013313A"/>
    <w:rsid w:val="001336BF"/>
    <w:rsid w:val="001336C8"/>
    <w:rsid w:val="001336DA"/>
    <w:rsid w:val="001336DC"/>
    <w:rsid w:val="001337F0"/>
    <w:rsid w:val="001338E7"/>
    <w:rsid w:val="00133D4D"/>
    <w:rsid w:val="00133E3F"/>
    <w:rsid w:val="00133EBC"/>
    <w:rsid w:val="00133EF6"/>
    <w:rsid w:val="00133F87"/>
    <w:rsid w:val="001341E3"/>
    <w:rsid w:val="00134283"/>
    <w:rsid w:val="001342DC"/>
    <w:rsid w:val="00134309"/>
    <w:rsid w:val="00134443"/>
    <w:rsid w:val="00134462"/>
    <w:rsid w:val="001344D4"/>
    <w:rsid w:val="00134689"/>
    <w:rsid w:val="00134819"/>
    <w:rsid w:val="00134939"/>
    <w:rsid w:val="0013493A"/>
    <w:rsid w:val="00134958"/>
    <w:rsid w:val="001349B2"/>
    <w:rsid w:val="001349C1"/>
    <w:rsid w:val="00134D79"/>
    <w:rsid w:val="00134F74"/>
    <w:rsid w:val="00135059"/>
    <w:rsid w:val="001351A5"/>
    <w:rsid w:val="001351F3"/>
    <w:rsid w:val="001351F7"/>
    <w:rsid w:val="00135241"/>
    <w:rsid w:val="0013527E"/>
    <w:rsid w:val="00135390"/>
    <w:rsid w:val="001354A7"/>
    <w:rsid w:val="0013557B"/>
    <w:rsid w:val="001355D2"/>
    <w:rsid w:val="00135601"/>
    <w:rsid w:val="00135629"/>
    <w:rsid w:val="00135644"/>
    <w:rsid w:val="001356A2"/>
    <w:rsid w:val="001356CF"/>
    <w:rsid w:val="0013571E"/>
    <w:rsid w:val="00135913"/>
    <w:rsid w:val="001359E0"/>
    <w:rsid w:val="00135BDC"/>
    <w:rsid w:val="00135E8C"/>
    <w:rsid w:val="00135EFD"/>
    <w:rsid w:val="00135FF8"/>
    <w:rsid w:val="00136044"/>
    <w:rsid w:val="00136070"/>
    <w:rsid w:val="001361A7"/>
    <w:rsid w:val="001361F2"/>
    <w:rsid w:val="00136214"/>
    <w:rsid w:val="0013627D"/>
    <w:rsid w:val="001363A3"/>
    <w:rsid w:val="001364B7"/>
    <w:rsid w:val="00136927"/>
    <w:rsid w:val="0013696D"/>
    <w:rsid w:val="00136A2C"/>
    <w:rsid w:val="00136B07"/>
    <w:rsid w:val="00136B1C"/>
    <w:rsid w:val="00136C22"/>
    <w:rsid w:val="00136C99"/>
    <w:rsid w:val="00136CD5"/>
    <w:rsid w:val="00136DF7"/>
    <w:rsid w:val="00136E6D"/>
    <w:rsid w:val="00136F04"/>
    <w:rsid w:val="00136F84"/>
    <w:rsid w:val="0013704B"/>
    <w:rsid w:val="0013707F"/>
    <w:rsid w:val="001370F7"/>
    <w:rsid w:val="0013712E"/>
    <w:rsid w:val="001371FD"/>
    <w:rsid w:val="00137234"/>
    <w:rsid w:val="001373F8"/>
    <w:rsid w:val="0013775B"/>
    <w:rsid w:val="001378C0"/>
    <w:rsid w:val="001379C4"/>
    <w:rsid w:val="00137AE8"/>
    <w:rsid w:val="00137BE6"/>
    <w:rsid w:val="00137C6C"/>
    <w:rsid w:val="00137D00"/>
    <w:rsid w:val="00137DC9"/>
    <w:rsid w:val="00137DD2"/>
    <w:rsid w:val="00137E28"/>
    <w:rsid w:val="00137EA9"/>
    <w:rsid w:val="00140086"/>
    <w:rsid w:val="001400BF"/>
    <w:rsid w:val="00140160"/>
    <w:rsid w:val="001401DB"/>
    <w:rsid w:val="001401DF"/>
    <w:rsid w:val="001402C1"/>
    <w:rsid w:val="001403C6"/>
    <w:rsid w:val="001403DC"/>
    <w:rsid w:val="001404ED"/>
    <w:rsid w:val="00140534"/>
    <w:rsid w:val="001405A2"/>
    <w:rsid w:val="00140654"/>
    <w:rsid w:val="0014069D"/>
    <w:rsid w:val="0014072F"/>
    <w:rsid w:val="0014073A"/>
    <w:rsid w:val="00140799"/>
    <w:rsid w:val="00140913"/>
    <w:rsid w:val="00140954"/>
    <w:rsid w:val="001409BD"/>
    <w:rsid w:val="00140AAC"/>
    <w:rsid w:val="00140AC9"/>
    <w:rsid w:val="00140B1C"/>
    <w:rsid w:val="00140C22"/>
    <w:rsid w:val="00140CBC"/>
    <w:rsid w:val="00140CE5"/>
    <w:rsid w:val="00140E38"/>
    <w:rsid w:val="00140E72"/>
    <w:rsid w:val="00140FC8"/>
    <w:rsid w:val="00140FF8"/>
    <w:rsid w:val="00141121"/>
    <w:rsid w:val="00141447"/>
    <w:rsid w:val="001416DE"/>
    <w:rsid w:val="00141842"/>
    <w:rsid w:val="001418C6"/>
    <w:rsid w:val="001418E7"/>
    <w:rsid w:val="00141A46"/>
    <w:rsid w:val="00141C78"/>
    <w:rsid w:val="00141CB7"/>
    <w:rsid w:val="00141E39"/>
    <w:rsid w:val="00141E56"/>
    <w:rsid w:val="00141ED4"/>
    <w:rsid w:val="00141FC7"/>
    <w:rsid w:val="0014205A"/>
    <w:rsid w:val="0014205D"/>
    <w:rsid w:val="001421BF"/>
    <w:rsid w:val="00142271"/>
    <w:rsid w:val="0014232B"/>
    <w:rsid w:val="001423F5"/>
    <w:rsid w:val="00142495"/>
    <w:rsid w:val="001424F7"/>
    <w:rsid w:val="0014262E"/>
    <w:rsid w:val="00142669"/>
    <w:rsid w:val="001427DF"/>
    <w:rsid w:val="00142845"/>
    <w:rsid w:val="00142883"/>
    <w:rsid w:val="00142A82"/>
    <w:rsid w:val="00142BAE"/>
    <w:rsid w:val="00143029"/>
    <w:rsid w:val="0014308C"/>
    <w:rsid w:val="0014309A"/>
    <w:rsid w:val="001430C6"/>
    <w:rsid w:val="0014316F"/>
    <w:rsid w:val="001431DA"/>
    <w:rsid w:val="00143280"/>
    <w:rsid w:val="0014345B"/>
    <w:rsid w:val="0014348E"/>
    <w:rsid w:val="001434FF"/>
    <w:rsid w:val="001435AD"/>
    <w:rsid w:val="00143871"/>
    <w:rsid w:val="0014396A"/>
    <w:rsid w:val="00143A37"/>
    <w:rsid w:val="00143B95"/>
    <w:rsid w:val="00143CA4"/>
    <w:rsid w:val="00143D8A"/>
    <w:rsid w:val="00143EC5"/>
    <w:rsid w:val="00144039"/>
    <w:rsid w:val="00144195"/>
    <w:rsid w:val="001441AD"/>
    <w:rsid w:val="00144586"/>
    <w:rsid w:val="0014464C"/>
    <w:rsid w:val="001447FB"/>
    <w:rsid w:val="0014496C"/>
    <w:rsid w:val="00144A40"/>
    <w:rsid w:val="00144AD0"/>
    <w:rsid w:val="00144B2A"/>
    <w:rsid w:val="00144B71"/>
    <w:rsid w:val="00144C8F"/>
    <w:rsid w:val="00144CBA"/>
    <w:rsid w:val="00144D5E"/>
    <w:rsid w:val="00144F02"/>
    <w:rsid w:val="00144FD3"/>
    <w:rsid w:val="00145010"/>
    <w:rsid w:val="0014503F"/>
    <w:rsid w:val="0014519B"/>
    <w:rsid w:val="001451A3"/>
    <w:rsid w:val="00145269"/>
    <w:rsid w:val="00145498"/>
    <w:rsid w:val="00145620"/>
    <w:rsid w:val="001456D7"/>
    <w:rsid w:val="00145779"/>
    <w:rsid w:val="001457DA"/>
    <w:rsid w:val="001458FB"/>
    <w:rsid w:val="0014594A"/>
    <w:rsid w:val="00145951"/>
    <w:rsid w:val="00145BB6"/>
    <w:rsid w:val="00145D17"/>
    <w:rsid w:val="00145EC2"/>
    <w:rsid w:val="00145F03"/>
    <w:rsid w:val="00145FC0"/>
    <w:rsid w:val="001460FE"/>
    <w:rsid w:val="001461A3"/>
    <w:rsid w:val="001461CB"/>
    <w:rsid w:val="0014651B"/>
    <w:rsid w:val="0014652F"/>
    <w:rsid w:val="00146564"/>
    <w:rsid w:val="00146640"/>
    <w:rsid w:val="00146650"/>
    <w:rsid w:val="001466E3"/>
    <w:rsid w:val="00146840"/>
    <w:rsid w:val="00146897"/>
    <w:rsid w:val="00146960"/>
    <w:rsid w:val="00146997"/>
    <w:rsid w:val="00146B00"/>
    <w:rsid w:val="00146BA6"/>
    <w:rsid w:val="00146BDF"/>
    <w:rsid w:val="00146E32"/>
    <w:rsid w:val="00147036"/>
    <w:rsid w:val="00147384"/>
    <w:rsid w:val="001473E3"/>
    <w:rsid w:val="00147420"/>
    <w:rsid w:val="001474A3"/>
    <w:rsid w:val="001474BF"/>
    <w:rsid w:val="00147554"/>
    <w:rsid w:val="001478A4"/>
    <w:rsid w:val="001478BB"/>
    <w:rsid w:val="001479EE"/>
    <w:rsid w:val="00147A37"/>
    <w:rsid w:val="00147AA3"/>
    <w:rsid w:val="00147AAE"/>
    <w:rsid w:val="00147B33"/>
    <w:rsid w:val="00147BB6"/>
    <w:rsid w:val="00147BF0"/>
    <w:rsid w:val="00147C91"/>
    <w:rsid w:val="00147D88"/>
    <w:rsid w:val="00147F8A"/>
    <w:rsid w:val="0015003A"/>
    <w:rsid w:val="0015006E"/>
    <w:rsid w:val="001501F2"/>
    <w:rsid w:val="001501F4"/>
    <w:rsid w:val="0015037D"/>
    <w:rsid w:val="00150447"/>
    <w:rsid w:val="00150499"/>
    <w:rsid w:val="00150526"/>
    <w:rsid w:val="00150539"/>
    <w:rsid w:val="001505BE"/>
    <w:rsid w:val="00150675"/>
    <w:rsid w:val="00150677"/>
    <w:rsid w:val="0015085E"/>
    <w:rsid w:val="001508A5"/>
    <w:rsid w:val="001508C1"/>
    <w:rsid w:val="001508F8"/>
    <w:rsid w:val="00150962"/>
    <w:rsid w:val="00150A1B"/>
    <w:rsid w:val="00150BC8"/>
    <w:rsid w:val="00150C0C"/>
    <w:rsid w:val="0015101F"/>
    <w:rsid w:val="00151054"/>
    <w:rsid w:val="001510C9"/>
    <w:rsid w:val="00151159"/>
    <w:rsid w:val="00151187"/>
    <w:rsid w:val="001511C5"/>
    <w:rsid w:val="0015123B"/>
    <w:rsid w:val="00151387"/>
    <w:rsid w:val="00151543"/>
    <w:rsid w:val="00151659"/>
    <w:rsid w:val="00151694"/>
    <w:rsid w:val="00151730"/>
    <w:rsid w:val="00151796"/>
    <w:rsid w:val="00151860"/>
    <w:rsid w:val="001518CF"/>
    <w:rsid w:val="0015196F"/>
    <w:rsid w:val="00151D7A"/>
    <w:rsid w:val="00151DAC"/>
    <w:rsid w:val="00151E32"/>
    <w:rsid w:val="00151E50"/>
    <w:rsid w:val="00151E5A"/>
    <w:rsid w:val="00151F49"/>
    <w:rsid w:val="00151F72"/>
    <w:rsid w:val="00151FF4"/>
    <w:rsid w:val="00152050"/>
    <w:rsid w:val="00152108"/>
    <w:rsid w:val="001521EE"/>
    <w:rsid w:val="001522DE"/>
    <w:rsid w:val="00152424"/>
    <w:rsid w:val="00152449"/>
    <w:rsid w:val="001526B9"/>
    <w:rsid w:val="001526D7"/>
    <w:rsid w:val="00152762"/>
    <w:rsid w:val="00152903"/>
    <w:rsid w:val="00152944"/>
    <w:rsid w:val="00152967"/>
    <w:rsid w:val="00152A94"/>
    <w:rsid w:val="00152B04"/>
    <w:rsid w:val="00152B8A"/>
    <w:rsid w:val="00152C08"/>
    <w:rsid w:val="00152F4C"/>
    <w:rsid w:val="00152F93"/>
    <w:rsid w:val="00153021"/>
    <w:rsid w:val="0015304B"/>
    <w:rsid w:val="00153083"/>
    <w:rsid w:val="0015309C"/>
    <w:rsid w:val="001530B3"/>
    <w:rsid w:val="001530D1"/>
    <w:rsid w:val="00153191"/>
    <w:rsid w:val="001531A2"/>
    <w:rsid w:val="001534DF"/>
    <w:rsid w:val="00153567"/>
    <w:rsid w:val="00153665"/>
    <w:rsid w:val="0015376C"/>
    <w:rsid w:val="00153882"/>
    <w:rsid w:val="0015391F"/>
    <w:rsid w:val="00153999"/>
    <w:rsid w:val="001539FD"/>
    <w:rsid w:val="00153A67"/>
    <w:rsid w:val="00153AAB"/>
    <w:rsid w:val="00153CAA"/>
    <w:rsid w:val="00153DD8"/>
    <w:rsid w:val="00153FEA"/>
    <w:rsid w:val="0015420E"/>
    <w:rsid w:val="0015422D"/>
    <w:rsid w:val="001542F1"/>
    <w:rsid w:val="00154315"/>
    <w:rsid w:val="0015432D"/>
    <w:rsid w:val="001545B0"/>
    <w:rsid w:val="0015481B"/>
    <w:rsid w:val="001548E8"/>
    <w:rsid w:val="00154961"/>
    <w:rsid w:val="001549F6"/>
    <w:rsid w:val="00154A17"/>
    <w:rsid w:val="00154AF2"/>
    <w:rsid w:val="00154B31"/>
    <w:rsid w:val="00154D36"/>
    <w:rsid w:val="00154ED4"/>
    <w:rsid w:val="00154EE6"/>
    <w:rsid w:val="00155083"/>
    <w:rsid w:val="001550C8"/>
    <w:rsid w:val="0015520E"/>
    <w:rsid w:val="0015537D"/>
    <w:rsid w:val="00155380"/>
    <w:rsid w:val="0015541E"/>
    <w:rsid w:val="00155482"/>
    <w:rsid w:val="001554F9"/>
    <w:rsid w:val="00155616"/>
    <w:rsid w:val="001556DC"/>
    <w:rsid w:val="00155715"/>
    <w:rsid w:val="0015587E"/>
    <w:rsid w:val="001558FD"/>
    <w:rsid w:val="00155952"/>
    <w:rsid w:val="0015599B"/>
    <w:rsid w:val="001559D8"/>
    <w:rsid w:val="001559F9"/>
    <w:rsid w:val="00155B37"/>
    <w:rsid w:val="00155C17"/>
    <w:rsid w:val="00155D20"/>
    <w:rsid w:val="00155E64"/>
    <w:rsid w:val="00155F29"/>
    <w:rsid w:val="00155FD3"/>
    <w:rsid w:val="00155FE5"/>
    <w:rsid w:val="001560CF"/>
    <w:rsid w:val="00156575"/>
    <w:rsid w:val="00156757"/>
    <w:rsid w:val="00156826"/>
    <w:rsid w:val="00156A9A"/>
    <w:rsid w:val="00156B34"/>
    <w:rsid w:val="00156CE7"/>
    <w:rsid w:val="00156DCE"/>
    <w:rsid w:val="00156EDD"/>
    <w:rsid w:val="001570A1"/>
    <w:rsid w:val="001570A6"/>
    <w:rsid w:val="00157120"/>
    <w:rsid w:val="001571FE"/>
    <w:rsid w:val="00157267"/>
    <w:rsid w:val="0015733F"/>
    <w:rsid w:val="00157701"/>
    <w:rsid w:val="00157B37"/>
    <w:rsid w:val="00157C61"/>
    <w:rsid w:val="00157C64"/>
    <w:rsid w:val="00157CBA"/>
    <w:rsid w:val="00157D3D"/>
    <w:rsid w:val="00157DD3"/>
    <w:rsid w:val="00160013"/>
    <w:rsid w:val="00160121"/>
    <w:rsid w:val="0016014F"/>
    <w:rsid w:val="00160176"/>
    <w:rsid w:val="00160177"/>
    <w:rsid w:val="00160318"/>
    <w:rsid w:val="00160341"/>
    <w:rsid w:val="0016050B"/>
    <w:rsid w:val="0016085C"/>
    <w:rsid w:val="001608C1"/>
    <w:rsid w:val="00160911"/>
    <w:rsid w:val="001609FB"/>
    <w:rsid w:val="00160ACE"/>
    <w:rsid w:val="00160B7A"/>
    <w:rsid w:val="00160C68"/>
    <w:rsid w:val="0016116B"/>
    <w:rsid w:val="001611D9"/>
    <w:rsid w:val="00161398"/>
    <w:rsid w:val="001614F7"/>
    <w:rsid w:val="001615F8"/>
    <w:rsid w:val="00161606"/>
    <w:rsid w:val="0016167E"/>
    <w:rsid w:val="00161737"/>
    <w:rsid w:val="00161A95"/>
    <w:rsid w:val="00161BD4"/>
    <w:rsid w:val="00161BF7"/>
    <w:rsid w:val="00161DAE"/>
    <w:rsid w:val="00161EF6"/>
    <w:rsid w:val="00161F2E"/>
    <w:rsid w:val="00161F7B"/>
    <w:rsid w:val="00161FB3"/>
    <w:rsid w:val="0016203F"/>
    <w:rsid w:val="001620A4"/>
    <w:rsid w:val="0016214A"/>
    <w:rsid w:val="00162194"/>
    <w:rsid w:val="0016219B"/>
    <w:rsid w:val="001625F9"/>
    <w:rsid w:val="001628FB"/>
    <w:rsid w:val="00162C70"/>
    <w:rsid w:val="00162CC4"/>
    <w:rsid w:val="00162DFE"/>
    <w:rsid w:val="00163015"/>
    <w:rsid w:val="00163029"/>
    <w:rsid w:val="001632B3"/>
    <w:rsid w:val="0016354D"/>
    <w:rsid w:val="00163583"/>
    <w:rsid w:val="0016358E"/>
    <w:rsid w:val="001635AC"/>
    <w:rsid w:val="00163712"/>
    <w:rsid w:val="001637F2"/>
    <w:rsid w:val="001637FE"/>
    <w:rsid w:val="001638C4"/>
    <w:rsid w:val="00163937"/>
    <w:rsid w:val="00163A40"/>
    <w:rsid w:val="00163B44"/>
    <w:rsid w:val="00163B80"/>
    <w:rsid w:val="00163D11"/>
    <w:rsid w:val="00163D21"/>
    <w:rsid w:val="00163D3E"/>
    <w:rsid w:val="00163DE4"/>
    <w:rsid w:val="00163E9A"/>
    <w:rsid w:val="00163F22"/>
    <w:rsid w:val="00163F33"/>
    <w:rsid w:val="001640FD"/>
    <w:rsid w:val="00164230"/>
    <w:rsid w:val="00164486"/>
    <w:rsid w:val="001645DB"/>
    <w:rsid w:val="001645F3"/>
    <w:rsid w:val="00164685"/>
    <w:rsid w:val="001647F8"/>
    <w:rsid w:val="001649F1"/>
    <w:rsid w:val="001649F7"/>
    <w:rsid w:val="00164A1F"/>
    <w:rsid w:val="00164A29"/>
    <w:rsid w:val="00164A84"/>
    <w:rsid w:val="00164AF9"/>
    <w:rsid w:val="00164B4D"/>
    <w:rsid w:val="00164BA1"/>
    <w:rsid w:val="00164C1D"/>
    <w:rsid w:val="00164C26"/>
    <w:rsid w:val="00164CED"/>
    <w:rsid w:val="00164D1D"/>
    <w:rsid w:val="00164D84"/>
    <w:rsid w:val="00164D8A"/>
    <w:rsid w:val="00164E96"/>
    <w:rsid w:val="00164EFD"/>
    <w:rsid w:val="0016501C"/>
    <w:rsid w:val="00165048"/>
    <w:rsid w:val="00165083"/>
    <w:rsid w:val="0016530B"/>
    <w:rsid w:val="001654D7"/>
    <w:rsid w:val="00165575"/>
    <w:rsid w:val="0016582B"/>
    <w:rsid w:val="00165848"/>
    <w:rsid w:val="00165871"/>
    <w:rsid w:val="0016588E"/>
    <w:rsid w:val="00165893"/>
    <w:rsid w:val="001659C3"/>
    <w:rsid w:val="00165C03"/>
    <w:rsid w:val="00165C4D"/>
    <w:rsid w:val="00165CD9"/>
    <w:rsid w:val="00165D3C"/>
    <w:rsid w:val="00165EBB"/>
    <w:rsid w:val="00165EC1"/>
    <w:rsid w:val="00165EEC"/>
    <w:rsid w:val="00165F34"/>
    <w:rsid w:val="00165F60"/>
    <w:rsid w:val="001660A5"/>
    <w:rsid w:val="00166126"/>
    <w:rsid w:val="00166459"/>
    <w:rsid w:val="0016646F"/>
    <w:rsid w:val="001664A0"/>
    <w:rsid w:val="0016650E"/>
    <w:rsid w:val="0016653C"/>
    <w:rsid w:val="00166565"/>
    <w:rsid w:val="0016659A"/>
    <w:rsid w:val="001665D4"/>
    <w:rsid w:val="0016676B"/>
    <w:rsid w:val="0016687B"/>
    <w:rsid w:val="0016691C"/>
    <w:rsid w:val="00166934"/>
    <w:rsid w:val="00166A5A"/>
    <w:rsid w:val="00166A67"/>
    <w:rsid w:val="00166CFD"/>
    <w:rsid w:val="00166D15"/>
    <w:rsid w:val="00166D37"/>
    <w:rsid w:val="00166E69"/>
    <w:rsid w:val="00166FD3"/>
    <w:rsid w:val="00167177"/>
    <w:rsid w:val="00167319"/>
    <w:rsid w:val="00167339"/>
    <w:rsid w:val="00167343"/>
    <w:rsid w:val="00167350"/>
    <w:rsid w:val="00167360"/>
    <w:rsid w:val="0016772F"/>
    <w:rsid w:val="00167889"/>
    <w:rsid w:val="00167902"/>
    <w:rsid w:val="00167A27"/>
    <w:rsid w:val="00167A72"/>
    <w:rsid w:val="001700BE"/>
    <w:rsid w:val="00170214"/>
    <w:rsid w:val="001702C4"/>
    <w:rsid w:val="0017031E"/>
    <w:rsid w:val="001703FA"/>
    <w:rsid w:val="0017044F"/>
    <w:rsid w:val="0017053C"/>
    <w:rsid w:val="0017056B"/>
    <w:rsid w:val="001705AD"/>
    <w:rsid w:val="001707C6"/>
    <w:rsid w:val="001709D9"/>
    <w:rsid w:val="00170B9C"/>
    <w:rsid w:val="00170FDC"/>
    <w:rsid w:val="0017105C"/>
    <w:rsid w:val="00171270"/>
    <w:rsid w:val="001713C0"/>
    <w:rsid w:val="0017142B"/>
    <w:rsid w:val="0017152C"/>
    <w:rsid w:val="0017168A"/>
    <w:rsid w:val="001716A2"/>
    <w:rsid w:val="00171781"/>
    <w:rsid w:val="001717C9"/>
    <w:rsid w:val="00171880"/>
    <w:rsid w:val="001718A0"/>
    <w:rsid w:val="00171978"/>
    <w:rsid w:val="00171ADE"/>
    <w:rsid w:val="00171BB7"/>
    <w:rsid w:val="00171C23"/>
    <w:rsid w:val="00171CBE"/>
    <w:rsid w:val="00171CDA"/>
    <w:rsid w:val="00171DA0"/>
    <w:rsid w:val="00171E56"/>
    <w:rsid w:val="00171EF6"/>
    <w:rsid w:val="00171EFB"/>
    <w:rsid w:val="00171FAC"/>
    <w:rsid w:val="0017223A"/>
    <w:rsid w:val="001722CA"/>
    <w:rsid w:val="001722D2"/>
    <w:rsid w:val="00172497"/>
    <w:rsid w:val="0017250A"/>
    <w:rsid w:val="00172695"/>
    <w:rsid w:val="001727A8"/>
    <w:rsid w:val="00172960"/>
    <w:rsid w:val="00172A07"/>
    <w:rsid w:val="00172B67"/>
    <w:rsid w:val="00172BC4"/>
    <w:rsid w:val="00172D32"/>
    <w:rsid w:val="00172E41"/>
    <w:rsid w:val="00173074"/>
    <w:rsid w:val="001731C2"/>
    <w:rsid w:val="0017322E"/>
    <w:rsid w:val="00173288"/>
    <w:rsid w:val="001732A0"/>
    <w:rsid w:val="001732A7"/>
    <w:rsid w:val="00173378"/>
    <w:rsid w:val="0017345B"/>
    <w:rsid w:val="00173528"/>
    <w:rsid w:val="00173660"/>
    <w:rsid w:val="00173839"/>
    <w:rsid w:val="00173A0A"/>
    <w:rsid w:val="00173A49"/>
    <w:rsid w:val="00173B5C"/>
    <w:rsid w:val="00173BCB"/>
    <w:rsid w:val="00173BD1"/>
    <w:rsid w:val="00173EAE"/>
    <w:rsid w:val="00173EDF"/>
    <w:rsid w:val="00173F4D"/>
    <w:rsid w:val="00174027"/>
    <w:rsid w:val="0017405B"/>
    <w:rsid w:val="0017406D"/>
    <w:rsid w:val="001740F3"/>
    <w:rsid w:val="00174159"/>
    <w:rsid w:val="001741BE"/>
    <w:rsid w:val="0017429D"/>
    <w:rsid w:val="001745B2"/>
    <w:rsid w:val="001745CD"/>
    <w:rsid w:val="00174721"/>
    <w:rsid w:val="00174865"/>
    <w:rsid w:val="0017487A"/>
    <w:rsid w:val="001749AF"/>
    <w:rsid w:val="001749B6"/>
    <w:rsid w:val="00174A45"/>
    <w:rsid w:val="00174AF6"/>
    <w:rsid w:val="00174BB3"/>
    <w:rsid w:val="00174BEB"/>
    <w:rsid w:val="00174EA0"/>
    <w:rsid w:val="00175046"/>
    <w:rsid w:val="0017507C"/>
    <w:rsid w:val="0017517C"/>
    <w:rsid w:val="001752EF"/>
    <w:rsid w:val="00175352"/>
    <w:rsid w:val="001754D8"/>
    <w:rsid w:val="001757AE"/>
    <w:rsid w:val="0017582A"/>
    <w:rsid w:val="001758EE"/>
    <w:rsid w:val="001758FD"/>
    <w:rsid w:val="001759CE"/>
    <w:rsid w:val="00175A83"/>
    <w:rsid w:val="00175BCC"/>
    <w:rsid w:val="00175CC9"/>
    <w:rsid w:val="00175CEE"/>
    <w:rsid w:val="00175D5F"/>
    <w:rsid w:val="00175DC3"/>
    <w:rsid w:val="00175E9D"/>
    <w:rsid w:val="00175F01"/>
    <w:rsid w:val="00176031"/>
    <w:rsid w:val="0017641D"/>
    <w:rsid w:val="001764E9"/>
    <w:rsid w:val="001765A8"/>
    <w:rsid w:val="0017674C"/>
    <w:rsid w:val="001768CD"/>
    <w:rsid w:val="00176D22"/>
    <w:rsid w:val="00176D67"/>
    <w:rsid w:val="00176D7D"/>
    <w:rsid w:val="00176DF0"/>
    <w:rsid w:val="00176E33"/>
    <w:rsid w:val="001770D3"/>
    <w:rsid w:val="001771F7"/>
    <w:rsid w:val="00177373"/>
    <w:rsid w:val="00177387"/>
    <w:rsid w:val="001773A8"/>
    <w:rsid w:val="0017749E"/>
    <w:rsid w:val="00177619"/>
    <w:rsid w:val="001776F6"/>
    <w:rsid w:val="001777FF"/>
    <w:rsid w:val="00177B22"/>
    <w:rsid w:val="00177B7A"/>
    <w:rsid w:val="00177F8C"/>
    <w:rsid w:val="00180153"/>
    <w:rsid w:val="001801CB"/>
    <w:rsid w:val="00180365"/>
    <w:rsid w:val="001804B8"/>
    <w:rsid w:val="00180509"/>
    <w:rsid w:val="001805F4"/>
    <w:rsid w:val="00180697"/>
    <w:rsid w:val="00180AD6"/>
    <w:rsid w:val="00180B5F"/>
    <w:rsid w:val="00180B93"/>
    <w:rsid w:val="00180D52"/>
    <w:rsid w:val="00180EBA"/>
    <w:rsid w:val="00181092"/>
    <w:rsid w:val="00181174"/>
    <w:rsid w:val="0018128F"/>
    <w:rsid w:val="001812CE"/>
    <w:rsid w:val="0018136C"/>
    <w:rsid w:val="00181495"/>
    <w:rsid w:val="00181582"/>
    <w:rsid w:val="00181585"/>
    <w:rsid w:val="0018170B"/>
    <w:rsid w:val="001817DC"/>
    <w:rsid w:val="00181992"/>
    <w:rsid w:val="00181A38"/>
    <w:rsid w:val="00181AA8"/>
    <w:rsid w:val="00181B3E"/>
    <w:rsid w:val="00181BC0"/>
    <w:rsid w:val="00181C81"/>
    <w:rsid w:val="00181CCD"/>
    <w:rsid w:val="00181D30"/>
    <w:rsid w:val="00181D3F"/>
    <w:rsid w:val="00181D99"/>
    <w:rsid w:val="00181F06"/>
    <w:rsid w:val="00181F78"/>
    <w:rsid w:val="00181FA6"/>
    <w:rsid w:val="00182024"/>
    <w:rsid w:val="001820F0"/>
    <w:rsid w:val="00182126"/>
    <w:rsid w:val="001824B8"/>
    <w:rsid w:val="0018261E"/>
    <w:rsid w:val="00182649"/>
    <w:rsid w:val="00182670"/>
    <w:rsid w:val="001827E7"/>
    <w:rsid w:val="0018281E"/>
    <w:rsid w:val="00182865"/>
    <w:rsid w:val="001828C2"/>
    <w:rsid w:val="00182913"/>
    <w:rsid w:val="001829E8"/>
    <w:rsid w:val="00182A1D"/>
    <w:rsid w:val="00182A35"/>
    <w:rsid w:val="00182B8E"/>
    <w:rsid w:val="00182C34"/>
    <w:rsid w:val="00182CAC"/>
    <w:rsid w:val="00182CE0"/>
    <w:rsid w:val="00182E4A"/>
    <w:rsid w:val="00182E86"/>
    <w:rsid w:val="00182F08"/>
    <w:rsid w:val="00182F12"/>
    <w:rsid w:val="00182FF8"/>
    <w:rsid w:val="00183013"/>
    <w:rsid w:val="001831C0"/>
    <w:rsid w:val="00183217"/>
    <w:rsid w:val="0018345C"/>
    <w:rsid w:val="001834BE"/>
    <w:rsid w:val="00183774"/>
    <w:rsid w:val="00183778"/>
    <w:rsid w:val="00183811"/>
    <w:rsid w:val="00183930"/>
    <w:rsid w:val="00183D09"/>
    <w:rsid w:val="00183D66"/>
    <w:rsid w:val="00183DC0"/>
    <w:rsid w:val="001841AC"/>
    <w:rsid w:val="001842F1"/>
    <w:rsid w:val="00184339"/>
    <w:rsid w:val="0018444B"/>
    <w:rsid w:val="0018446A"/>
    <w:rsid w:val="0018454B"/>
    <w:rsid w:val="0018458E"/>
    <w:rsid w:val="001847D3"/>
    <w:rsid w:val="0018486A"/>
    <w:rsid w:val="00184A26"/>
    <w:rsid w:val="00184A38"/>
    <w:rsid w:val="00184AB8"/>
    <w:rsid w:val="00184C26"/>
    <w:rsid w:val="00184CF3"/>
    <w:rsid w:val="00184D7D"/>
    <w:rsid w:val="00184EA6"/>
    <w:rsid w:val="00184F0A"/>
    <w:rsid w:val="00184FB7"/>
    <w:rsid w:val="00185097"/>
    <w:rsid w:val="00185174"/>
    <w:rsid w:val="0018527C"/>
    <w:rsid w:val="001852C4"/>
    <w:rsid w:val="0018537E"/>
    <w:rsid w:val="00185437"/>
    <w:rsid w:val="00185478"/>
    <w:rsid w:val="001856A0"/>
    <w:rsid w:val="0018571C"/>
    <w:rsid w:val="0018591E"/>
    <w:rsid w:val="0018599A"/>
    <w:rsid w:val="00185A5C"/>
    <w:rsid w:val="00185A8F"/>
    <w:rsid w:val="00185AE6"/>
    <w:rsid w:val="00185B21"/>
    <w:rsid w:val="00185C26"/>
    <w:rsid w:val="00185C39"/>
    <w:rsid w:val="00185C98"/>
    <w:rsid w:val="00185D97"/>
    <w:rsid w:val="00185DC9"/>
    <w:rsid w:val="001860D4"/>
    <w:rsid w:val="001860D8"/>
    <w:rsid w:val="001862BD"/>
    <w:rsid w:val="001862FA"/>
    <w:rsid w:val="001863B8"/>
    <w:rsid w:val="00186441"/>
    <w:rsid w:val="001864AD"/>
    <w:rsid w:val="001864ED"/>
    <w:rsid w:val="00186565"/>
    <w:rsid w:val="001865A6"/>
    <w:rsid w:val="00186886"/>
    <w:rsid w:val="00186A26"/>
    <w:rsid w:val="00186D31"/>
    <w:rsid w:val="00186D5A"/>
    <w:rsid w:val="00186D7A"/>
    <w:rsid w:val="00186DC8"/>
    <w:rsid w:val="00186E39"/>
    <w:rsid w:val="00186FA0"/>
    <w:rsid w:val="00186FBB"/>
    <w:rsid w:val="001873E5"/>
    <w:rsid w:val="00187769"/>
    <w:rsid w:val="00187979"/>
    <w:rsid w:val="00187985"/>
    <w:rsid w:val="0018799E"/>
    <w:rsid w:val="001879D0"/>
    <w:rsid w:val="001879D3"/>
    <w:rsid w:val="001879F8"/>
    <w:rsid w:val="00187B4A"/>
    <w:rsid w:val="00187E26"/>
    <w:rsid w:val="00187FBF"/>
    <w:rsid w:val="001900A1"/>
    <w:rsid w:val="001900C0"/>
    <w:rsid w:val="0019015E"/>
    <w:rsid w:val="00190259"/>
    <w:rsid w:val="001902AA"/>
    <w:rsid w:val="001902D4"/>
    <w:rsid w:val="0019049F"/>
    <w:rsid w:val="001905DC"/>
    <w:rsid w:val="001905E1"/>
    <w:rsid w:val="001906C6"/>
    <w:rsid w:val="00190799"/>
    <w:rsid w:val="00190839"/>
    <w:rsid w:val="00190900"/>
    <w:rsid w:val="00190A15"/>
    <w:rsid w:val="00190B1E"/>
    <w:rsid w:val="00190C29"/>
    <w:rsid w:val="00190DAA"/>
    <w:rsid w:val="001910E4"/>
    <w:rsid w:val="001911D8"/>
    <w:rsid w:val="001914E3"/>
    <w:rsid w:val="00191524"/>
    <w:rsid w:val="001915B6"/>
    <w:rsid w:val="001917B2"/>
    <w:rsid w:val="0019192A"/>
    <w:rsid w:val="001919DB"/>
    <w:rsid w:val="00191C25"/>
    <w:rsid w:val="00191C75"/>
    <w:rsid w:val="00191FE5"/>
    <w:rsid w:val="001921F1"/>
    <w:rsid w:val="00192281"/>
    <w:rsid w:val="00192331"/>
    <w:rsid w:val="00192384"/>
    <w:rsid w:val="00192438"/>
    <w:rsid w:val="001924B1"/>
    <w:rsid w:val="001925A4"/>
    <w:rsid w:val="00192750"/>
    <w:rsid w:val="00192777"/>
    <w:rsid w:val="001929AC"/>
    <w:rsid w:val="001929BB"/>
    <w:rsid w:val="00192A26"/>
    <w:rsid w:val="00192B0D"/>
    <w:rsid w:val="00192C7E"/>
    <w:rsid w:val="00192FA1"/>
    <w:rsid w:val="00193408"/>
    <w:rsid w:val="00193426"/>
    <w:rsid w:val="00193439"/>
    <w:rsid w:val="001934E2"/>
    <w:rsid w:val="0019356A"/>
    <w:rsid w:val="00193589"/>
    <w:rsid w:val="00193632"/>
    <w:rsid w:val="0019375C"/>
    <w:rsid w:val="001937DA"/>
    <w:rsid w:val="0019386C"/>
    <w:rsid w:val="00193B60"/>
    <w:rsid w:val="00193BCB"/>
    <w:rsid w:val="00193E79"/>
    <w:rsid w:val="00193FEC"/>
    <w:rsid w:val="001940D6"/>
    <w:rsid w:val="001941FB"/>
    <w:rsid w:val="00194215"/>
    <w:rsid w:val="001942E9"/>
    <w:rsid w:val="00194370"/>
    <w:rsid w:val="0019442E"/>
    <w:rsid w:val="001945E0"/>
    <w:rsid w:val="00194632"/>
    <w:rsid w:val="001946BF"/>
    <w:rsid w:val="001946C9"/>
    <w:rsid w:val="0019476A"/>
    <w:rsid w:val="0019476F"/>
    <w:rsid w:val="00194914"/>
    <w:rsid w:val="001949D8"/>
    <w:rsid w:val="00194C67"/>
    <w:rsid w:val="00194CB2"/>
    <w:rsid w:val="00194DF6"/>
    <w:rsid w:val="00194E7D"/>
    <w:rsid w:val="00194F4D"/>
    <w:rsid w:val="00194F5E"/>
    <w:rsid w:val="00194FFB"/>
    <w:rsid w:val="00195089"/>
    <w:rsid w:val="0019509F"/>
    <w:rsid w:val="00195146"/>
    <w:rsid w:val="0019522A"/>
    <w:rsid w:val="001953FF"/>
    <w:rsid w:val="001954D1"/>
    <w:rsid w:val="0019565E"/>
    <w:rsid w:val="001956B2"/>
    <w:rsid w:val="001957D3"/>
    <w:rsid w:val="00195A85"/>
    <w:rsid w:val="00195AFA"/>
    <w:rsid w:val="00195B0A"/>
    <w:rsid w:val="00195ED0"/>
    <w:rsid w:val="00195F3B"/>
    <w:rsid w:val="00195FBB"/>
    <w:rsid w:val="0019607C"/>
    <w:rsid w:val="001961CA"/>
    <w:rsid w:val="001961EC"/>
    <w:rsid w:val="00196263"/>
    <w:rsid w:val="001962AD"/>
    <w:rsid w:val="00196333"/>
    <w:rsid w:val="001964AB"/>
    <w:rsid w:val="001964D1"/>
    <w:rsid w:val="0019673E"/>
    <w:rsid w:val="001967DD"/>
    <w:rsid w:val="001967DE"/>
    <w:rsid w:val="001967E9"/>
    <w:rsid w:val="00196886"/>
    <w:rsid w:val="00196B94"/>
    <w:rsid w:val="00196C0A"/>
    <w:rsid w:val="00196CD4"/>
    <w:rsid w:val="00196E28"/>
    <w:rsid w:val="00196E3C"/>
    <w:rsid w:val="00196E55"/>
    <w:rsid w:val="00196E78"/>
    <w:rsid w:val="00196F28"/>
    <w:rsid w:val="00196FAD"/>
    <w:rsid w:val="00196FB7"/>
    <w:rsid w:val="001970E5"/>
    <w:rsid w:val="001970F7"/>
    <w:rsid w:val="00197147"/>
    <w:rsid w:val="00197188"/>
    <w:rsid w:val="001971FC"/>
    <w:rsid w:val="00197240"/>
    <w:rsid w:val="001972B6"/>
    <w:rsid w:val="001973B0"/>
    <w:rsid w:val="001973F2"/>
    <w:rsid w:val="00197400"/>
    <w:rsid w:val="001974A3"/>
    <w:rsid w:val="001974B7"/>
    <w:rsid w:val="001976F7"/>
    <w:rsid w:val="0019774D"/>
    <w:rsid w:val="00197830"/>
    <w:rsid w:val="0019793F"/>
    <w:rsid w:val="00197CAD"/>
    <w:rsid w:val="00197D72"/>
    <w:rsid w:val="00197E22"/>
    <w:rsid w:val="00197F02"/>
    <w:rsid w:val="001A010C"/>
    <w:rsid w:val="001A0119"/>
    <w:rsid w:val="001A01BD"/>
    <w:rsid w:val="001A020F"/>
    <w:rsid w:val="001A0262"/>
    <w:rsid w:val="001A02AE"/>
    <w:rsid w:val="001A02FF"/>
    <w:rsid w:val="001A0320"/>
    <w:rsid w:val="001A0531"/>
    <w:rsid w:val="001A0566"/>
    <w:rsid w:val="001A0612"/>
    <w:rsid w:val="001A0696"/>
    <w:rsid w:val="001A09EA"/>
    <w:rsid w:val="001A0B13"/>
    <w:rsid w:val="001A0CE9"/>
    <w:rsid w:val="001A0D1F"/>
    <w:rsid w:val="001A0E01"/>
    <w:rsid w:val="001A0EC2"/>
    <w:rsid w:val="001A0F45"/>
    <w:rsid w:val="001A0F97"/>
    <w:rsid w:val="001A0FA6"/>
    <w:rsid w:val="001A11B2"/>
    <w:rsid w:val="001A11FF"/>
    <w:rsid w:val="001A1237"/>
    <w:rsid w:val="001A126B"/>
    <w:rsid w:val="001A1518"/>
    <w:rsid w:val="001A15C8"/>
    <w:rsid w:val="001A16D4"/>
    <w:rsid w:val="001A16EE"/>
    <w:rsid w:val="001A1813"/>
    <w:rsid w:val="001A185D"/>
    <w:rsid w:val="001A185F"/>
    <w:rsid w:val="001A19B9"/>
    <w:rsid w:val="001A19F8"/>
    <w:rsid w:val="001A1AD8"/>
    <w:rsid w:val="001A1B21"/>
    <w:rsid w:val="001A1C38"/>
    <w:rsid w:val="001A1DF5"/>
    <w:rsid w:val="001A1E56"/>
    <w:rsid w:val="001A1F67"/>
    <w:rsid w:val="001A1F78"/>
    <w:rsid w:val="001A1FF3"/>
    <w:rsid w:val="001A20B6"/>
    <w:rsid w:val="001A2187"/>
    <w:rsid w:val="001A2189"/>
    <w:rsid w:val="001A2292"/>
    <w:rsid w:val="001A2301"/>
    <w:rsid w:val="001A231B"/>
    <w:rsid w:val="001A2601"/>
    <w:rsid w:val="001A260D"/>
    <w:rsid w:val="001A2666"/>
    <w:rsid w:val="001A2697"/>
    <w:rsid w:val="001A26E8"/>
    <w:rsid w:val="001A2736"/>
    <w:rsid w:val="001A2748"/>
    <w:rsid w:val="001A2A7A"/>
    <w:rsid w:val="001A2AFF"/>
    <w:rsid w:val="001A2FC1"/>
    <w:rsid w:val="001A3041"/>
    <w:rsid w:val="001A305A"/>
    <w:rsid w:val="001A30F5"/>
    <w:rsid w:val="001A315D"/>
    <w:rsid w:val="001A3229"/>
    <w:rsid w:val="001A34B1"/>
    <w:rsid w:val="001A3793"/>
    <w:rsid w:val="001A37AC"/>
    <w:rsid w:val="001A3884"/>
    <w:rsid w:val="001A39DB"/>
    <w:rsid w:val="001A3A6B"/>
    <w:rsid w:val="001A3AED"/>
    <w:rsid w:val="001A3E55"/>
    <w:rsid w:val="001A3E6E"/>
    <w:rsid w:val="001A4087"/>
    <w:rsid w:val="001A4092"/>
    <w:rsid w:val="001A420F"/>
    <w:rsid w:val="001A43C5"/>
    <w:rsid w:val="001A43D9"/>
    <w:rsid w:val="001A44DD"/>
    <w:rsid w:val="001A458F"/>
    <w:rsid w:val="001A459F"/>
    <w:rsid w:val="001A45E3"/>
    <w:rsid w:val="001A4642"/>
    <w:rsid w:val="001A4645"/>
    <w:rsid w:val="001A464B"/>
    <w:rsid w:val="001A46BC"/>
    <w:rsid w:val="001A4873"/>
    <w:rsid w:val="001A48E7"/>
    <w:rsid w:val="001A48F9"/>
    <w:rsid w:val="001A49A0"/>
    <w:rsid w:val="001A49AF"/>
    <w:rsid w:val="001A4A88"/>
    <w:rsid w:val="001A4CCA"/>
    <w:rsid w:val="001A4E24"/>
    <w:rsid w:val="001A4E77"/>
    <w:rsid w:val="001A4ECD"/>
    <w:rsid w:val="001A500D"/>
    <w:rsid w:val="001A509E"/>
    <w:rsid w:val="001A51BA"/>
    <w:rsid w:val="001A5252"/>
    <w:rsid w:val="001A5253"/>
    <w:rsid w:val="001A53A1"/>
    <w:rsid w:val="001A5492"/>
    <w:rsid w:val="001A550F"/>
    <w:rsid w:val="001A56AE"/>
    <w:rsid w:val="001A56BE"/>
    <w:rsid w:val="001A57D7"/>
    <w:rsid w:val="001A597C"/>
    <w:rsid w:val="001A5996"/>
    <w:rsid w:val="001A5A2D"/>
    <w:rsid w:val="001A5B57"/>
    <w:rsid w:val="001A5C21"/>
    <w:rsid w:val="001A5C3B"/>
    <w:rsid w:val="001A5D07"/>
    <w:rsid w:val="001A5F97"/>
    <w:rsid w:val="001A5FC5"/>
    <w:rsid w:val="001A6039"/>
    <w:rsid w:val="001A616D"/>
    <w:rsid w:val="001A6192"/>
    <w:rsid w:val="001A6241"/>
    <w:rsid w:val="001A6277"/>
    <w:rsid w:val="001A6392"/>
    <w:rsid w:val="001A641F"/>
    <w:rsid w:val="001A6532"/>
    <w:rsid w:val="001A6555"/>
    <w:rsid w:val="001A6671"/>
    <w:rsid w:val="001A66DD"/>
    <w:rsid w:val="001A66EE"/>
    <w:rsid w:val="001A6786"/>
    <w:rsid w:val="001A6788"/>
    <w:rsid w:val="001A6874"/>
    <w:rsid w:val="001A694B"/>
    <w:rsid w:val="001A6AFF"/>
    <w:rsid w:val="001A6F9C"/>
    <w:rsid w:val="001A70E2"/>
    <w:rsid w:val="001A7177"/>
    <w:rsid w:val="001A71D6"/>
    <w:rsid w:val="001A7277"/>
    <w:rsid w:val="001A733C"/>
    <w:rsid w:val="001A7358"/>
    <w:rsid w:val="001A73FC"/>
    <w:rsid w:val="001A7543"/>
    <w:rsid w:val="001A7789"/>
    <w:rsid w:val="001A7849"/>
    <w:rsid w:val="001A7A56"/>
    <w:rsid w:val="001A7AD9"/>
    <w:rsid w:val="001A7B1A"/>
    <w:rsid w:val="001A7BDA"/>
    <w:rsid w:val="001A7CCA"/>
    <w:rsid w:val="001A7D65"/>
    <w:rsid w:val="001A7D8F"/>
    <w:rsid w:val="001A7E02"/>
    <w:rsid w:val="001A7E19"/>
    <w:rsid w:val="001A7F01"/>
    <w:rsid w:val="001A7F70"/>
    <w:rsid w:val="001B009E"/>
    <w:rsid w:val="001B014B"/>
    <w:rsid w:val="001B018D"/>
    <w:rsid w:val="001B0234"/>
    <w:rsid w:val="001B0385"/>
    <w:rsid w:val="001B0571"/>
    <w:rsid w:val="001B057C"/>
    <w:rsid w:val="001B077C"/>
    <w:rsid w:val="001B0A2F"/>
    <w:rsid w:val="001B0E6A"/>
    <w:rsid w:val="001B1122"/>
    <w:rsid w:val="001B130A"/>
    <w:rsid w:val="001B1364"/>
    <w:rsid w:val="001B13E9"/>
    <w:rsid w:val="001B13F9"/>
    <w:rsid w:val="001B1467"/>
    <w:rsid w:val="001B1501"/>
    <w:rsid w:val="001B16C6"/>
    <w:rsid w:val="001B1721"/>
    <w:rsid w:val="001B173C"/>
    <w:rsid w:val="001B17C9"/>
    <w:rsid w:val="001B1994"/>
    <w:rsid w:val="001B1B19"/>
    <w:rsid w:val="001B1BC3"/>
    <w:rsid w:val="001B1BF7"/>
    <w:rsid w:val="001B1CA8"/>
    <w:rsid w:val="001B1CC8"/>
    <w:rsid w:val="001B1D71"/>
    <w:rsid w:val="001B1D91"/>
    <w:rsid w:val="001B1DD8"/>
    <w:rsid w:val="001B1DF9"/>
    <w:rsid w:val="001B1E0C"/>
    <w:rsid w:val="001B1ED2"/>
    <w:rsid w:val="001B1FE4"/>
    <w:rsid w:val="001B2085"/>
    <w:rsid w:val="001B2253"/>
    <w:rsid w:val="001B22DD"/>
    <w:rsid w:val="001B2338"/>
    <w:rsid w:val="001B2530"/>
    <w:rsid w:val="001B255D"/>
    <w:rsid w:val="001B25C7"/>
    <w:rsid w:val="001B26B0"/>
    <w:rsid w:val="001B279F"/>
    <w:rsid w:val="001B2815"/>
    <w:rsid w:val="001B2845"/>
    <w:rsid w:val="001B28AD"/>
    <w:rsid w:val="001B29FD"/>
    <w:rsid w:val="001B2A26"/>
    <w:rsid w:val="001B2BF0"/>
    <w:rsid w:val="001B2C19"/>
    <w:rsid w:val="001B2CA2"/>
    <w:rsid w:val="001B2CEB"/>
    <w:rsid w:val="001B2D49"/>
    <w:rsid w:val="001B2ED9"/>
    <w:rsid w:val="001B3014"/>
    <w:rsid w:val="001B3234"/>
    <w:rsid w:val="001B34B1"/>
    <w:rsid w:val="001B3696"/>
    <w:rsid w:val="001B374B"/>
    <w:rsid w:val="001B37D8"/>
    <w:rsid w:val="001B3811"/>
    <w:rsid w:val="001B3826"/>
    <w:rsid w:val="001B38AC"/>
    <w:rsid w:val="001B3A45"/>
    <w:rsid w:val="001B3BA6"/>
    <w:rsid w:val="001B3CF9"/>
    <w:rsid w:val="001B3D94"/>
    <w:rsid w:val="001B3F27"/>
    <w:rsid w:val="001B3FC0"/>
    <w:rsid w:val="001B43B1"/>
    <w:rsid w:val="001B43D1"/>
    <w:rsid w:val="001B4538"/>
    <w:rsid w:val="001B468C"/>
    <w:rsid w:val="001B46B0"/>
    <w:rsid w:val="001B46E8"/>
    <w:rsid w:val="001B47EE"/>
    <w:rsid w:val="001B48C2"/>
    <w:rsid w:val="001B48CE"/>
    <w:rsid w:val="001B48D1"/>
    <w:rsid w:val="001B4933"/>
    <w:rsid w:val="001B4961"/>
    <w:rsid w:val="001B49A4"/>
    <w:rsid w:val="001B49CA"/>
    <w:rsid w:val="001B4B3C"/>
    <w:rsid w:val="001B4C04"/>
    <w:rsid w:val="001B4C48"/>
    <w:rsid w:val="001B4D36"/>
    <w:rsid w:val="001B4DE4"/>
    <w:rsid w:val="001B4E4F"/>
    <w:rsid w:val="001B4EE2"/>
    <w:rsid w:val="001B4F01"/>
    <w:rsid w:val="001B5061"/>
    <w:rsid w:val="001B514F"/>
    <w:rsid w:val="001B51D7"/>
    <w:rsid w:val="001B5216"/>
    <w:rsid w:val="001B52D2"/>
    <w:rsid w:val="001B539C"/>
    <w:rsid w:val="001B5527"/>
    <w:rsid w:val="001B552A"/>
    <w:rsid w:val="001B5533"/>
    <w:rsid w:val="001B55B1"/>
    <w:rsid w:val="001B56AF"/>
    <w:rsid w:val="001B5919"/>
    <w:rsid w:val="001B59DE"/>
    <w:rsid w:val="001B5B34"/>
    <w:rsid w:val="001B5B49"/>
    <w:rsid w:val="001B5D0C"/>
    <w:rsid w:val="001B5D92"/>
    <w:rsid w:val="001B5F65"/>
    <w:rsid w:val="001B5FAA"/>
    <w:rsid w:val="001B6091"/>
    <w:rsid w:val="001B60CE"/>
    <w:rsid w:val="001B60F4"/>
    <w:rsid w:val="001B6230"/>
    <w:rsid w:val="001B6405"/>
    <w:rsid w:val="001B6490"/>
    <w:rsid w:val="001B64F7"/>
    <w:rsid w:val="001B65C9"/>
    <w:rsid w:val="001B6734"/>
    <w:rsid w:val="001B68CD"/>
    <w:rsid w:val="001B693E"/>
    <w:rsid w:val="001B6ABD"/>
    <w:rsid w:val="001B6B98"/>
    <w:rsid w:val="001B6C01"/>
    <w:rsid w:val="001B6D2B"/>
    <w:rsid w:val="001B6E1F"/>
    <w:rsid w:val="001B6EE3"/>
    <w:rsid w:val="001B6F39"/>
    <w:rsid w:val="001B6F84"/>
    <w:rsid w:val="001B6F90"/>
    <w:rsid w:val="001B7251"/>
    <w:rsid w:val="001B7305"/>
    <w:rsid w:val="001B734E"/>
    <w:rsid w:val="001B73C7"/>
    <w:rsid w:val="001B73DF"/>
    <w:rsid w:val="001B73F1"/>
    <w:rsid w:val="001B750D"/>
    <w:rsid w:val="001B752C"/>
    <w:rsid w:val="001B7537"/>
    <w:rsid w:val="001B7572"/>
    <w:rsid w:val="001B75E1"/>
    <w:rsid w:val="001B789C"/>
    <w:rsid w:val="001B7935"/>
    <w:rsid w:val="001B79EA"/>
    <w:rsid w:val="001B7A24"/>
    <w:rsid w:val="001B7E8F"/>
    <w:rsid w:val="001C001B"/>
    <w:rsid w:val="001C00F4"/>
    <w:rsid w:val="001C00FE"/>
    <w:rsid w:val="001C01FC"/>
    <w:rsid w:val="001C02B8"/>
    <w:rsid w:val="001C03F5"/>
    <w:rsid w:val="001C05EC"/>
    <w:rsid w:val="001C061B"/>
    <w:rsid w:val="001C068F"/>
    <w:rsid w:val="001C06FF"/>
    <w:rsid w:val="001C0725"/>
    <w:rsid w:val="001C080A"/>
    <w:rsid w:val="001C0869"/>
    <w:rsid w:val="001C089B"/>
    <w:rsid w:val="001C08D1"/>
    <w:rsid w:val="001C08D6"/>
    <w:rsid w:val="001C096B"/>
    <w:rsid w:val="001C0A96"/>
    <w:rsid w:val="001C0DA2"/>
    <w:rsid w:val="001C0E5D"/>
    <w:rsid w:val="001C0E89"/>
    <w:rsid w:val="001C0EAA"/>
    <w:rsid w:val="001C0FE2"/>
    <w:rsid w:val="001C11EE"/>
    <w:rsid w:val="001C12CF"/>
    <w:rsid w:val="001C143D"/>
    <w:rsid w:val="001C1478"/>
    <w:rsid w:val="001C15A2"/>
    <w:rsid w:val="001C15C1"/>
    <w:rsid w:val="001C1641"/>
    <w:rsid w:val="001C16C6"/>
    <w:rsid w:val="001C17A0"/>
    <w:rsid w:val="001C17DD"/>
    <w:rsid w:val="001C180B"/>
    <w:rsid w:val="001C18AC"/>
    <w:rsid w:val="001C19E3"/>
    <w:rsid w:val="001C1AC4"/>
    <w:rsid w:val="001C1B2E"/>
    <w:rsid w:val="001C1B65"/>
    <w:rsid w:val="001C1BEC"/>
    <w:rsid w:val="001C1BEE"/>
    <w:rsid w:val="001C1C16"/>
    <w:rsid w:val="001C1CC9"/>
    <w:rsid w:val="001C1DA4"/>
    <w:rsid w:val="001C2166"/>
    <w:rsid w:val="001C2193"/>
    <w:rsid w:val="001C2343"/>
    <w:rsid w:val="001C23AA"/>
    <w:rsid w:val="001C2470"/>
    <w:rsid w:val="001C2503"/>
    <w:rsid w:val="001C259F"/>
    <w:rsid w:val="001C27B5"/>
    <w:rsid w:val="001C298B"/>
    <w:rsid w:val="001C29F3"/>
    <w:rsid w:val="001C29F9"/>
    <w:rsid w:val="001C2AFF"/>
    <w:rsid w:val="001C2BC1"/>
    <w:rsid w:val="001C2D37"/>
    <w:rsid w:val="001C2DC5"/>
    <w:rsid w:val="001C2EAF"/>
    <w:rsid w:val="001C2EE0"/>
    <w:rsid w:val="001C3045"/>
    <w:rsid w:val="001C30C8"/>
    <w:rsid w:val="001C310A"/>
    <w:rsid w:val="001C31BD"/>
    <w:rsid w:val="001C3253"/>
    <w:rsid w:val="001C326B"/>
    <w:rsid w:val="001C32CF"/>
    <w:rsid w:val="001C32DF"/>
    <w:rsid w:val="001C33D2"/>
    <w:rsid w:val="001C3566"/>
    <w:rsid w:val="001C3595"/>
    <w:rsid w:val="001C35CF"/>
    <w:rsid w:val="001C3707"/>
    <w:rsid w:val="001C386C"/>
    <w:rsid w:val="001C3905"/>
    <w:rsid w:val="001C3A32"/>
    <w:rsid w:val="001C3A60"/>
    <w:rsid w:val="001C3A94"/>
    <w:rsid w:val="001C3AE7"/>
    <w:rsid w:val="001C3AED"/>
    <w:rsid w:val="001C3B01"/>
    <w:rsid w:val="001C3BC1"/>
    <w:rsid w:val="001C3DAB"/>
    <w:rsid w:val="001C3EB9"/>
    <w:rsid w:val="001C3F55"/>
    <w:rsid w:val="001C42C9"/>
    <w:rsid w:val="001C44AE"/>
    <w:rsid w:val="001C4594"/>
    <w:rsid w:val="001C4668"/>
    <w:rsid w:val="001C4697"/>
    <w:rsid w:val="001C4766"/>
    <w:rsid w:val="001C476E"/>
    <w:rsid w:val="001C4979"/>
    <w:rsid w:val="001C49B1"/>
    <w:rsid w:val="001C4AAD"/>
    <w:rsid w:val="001C4B3C"/>
    <w:rsid w:val="001C4CA4"/>
    <w:rsid w:val="001C4CAF"/>
    <w:rsid w:val="001C4DAA"/>
    <w:rsid w:val="001C4DC0"/>
    <w:rsid w:val="001C4E42"/>
    <w:rsid w:val="001C4E45"/>
    <w:rsid w:val="001C4F03"/>
    <w:rsid w:val="001C4F27"/>
    <w:rsid w:val="001C5002"/>
    <w:rsid w:val="001C5100"/>
    <w:rsid w:val="001C5287"/>
    <w:rsid w:val="001C528A"/>
    <w:rsid w:val="001C55B5"/>
    <w:rsid w:val="001C56BC"/>
    <w:rsid w:val="001C56E0"/>
    <w:rsid w:val="001C591E"/>
    <w:rsid w:val="001C5A1D"/>
    <w:rsid w:val="001C5A37"/>
    <w:rsid w:val="001C5AA5"/>
    <w:rsid w:val="001C5AAD"/>
    <w:rsid w:val="001C5AF5"/>
    <w:rsid w:val="001C5D01"/>
    <w:rsid w:val="001C5F2A"/>
    <w:rsid w:val="001C624D"/>
    <w:rsid w:val="001C6312"/>
    <w:rsid w:val="001C686E"/>
    <w:rsid w:val="001C68BB"/>
    <w:rsid w:val="001C68CB"/>
    <w:rsid w:val="001C69B0"/>
    <w:rsid w:val="001C69BC"/>
    <w:rsid w:val="001C6A24"/>
    <w:rsid w:val="001C6A68"/>
    <w:rsid w:val="001C6A7F"/>
    <w:rsid w:val="001C6BDC"/>
    <w:rsid w:val="001C6C58"/>
    <w:rsid w:val="001C6CF4"/>
    <w:rsid w:val="001C6DF2"/>
    <w:rsid w:val="001C6F89"/>
    <w:rsid w:val="001C6FD1"/>
    <w:rsid w:val="001C71BF"/>
    <w:rsid w:val="001C73A5"/>
    <w:rsid w:val="001C744C"/>
    <w:rsid w:val="001C74B8"/>
    <w:rsid w:val="001C74F2"/>
    <w:rsid w:val="001C7582"/>
    <w:rsid w:val="001C76E5"/>
    <w:rsid w:val="001C785D"/>
    <w:rsid w:val="001C78FA"/>
    <w:rsid w:val="001C792F"/>
    <w:rsid w:val="001C79E7"/>
    <w:rsid w:val="001C7AA0"/>
    <w:rsid w:val="001C7AA3"/>
    <w:rsid w:val="001C7BDC"/>
    <w:rsid w:val="001C7C39"/>
    <w:rsid w:val="001C7C46"/>
    <w:rsid w:val="001C7DFB"/>
    <w:rsid w:val="001C7EB2"/>
    <w:rsid w:val="001D01A6"/>
    <w:rsid w:val="001D02F4"/>
    <w:rsid w:val="001D02F7"/>
    <w:rsid w:val="001D03D6"/>
    <w:rsid w:val="001D056C"/>
    <w:rsid w:val="001D063A"/>
    <w:rsid w:val="001D07B7"/>
    <w:rsid w:val="001D088F"/>
    <w:rsid w:val="001D0A74"/>
    <w:rsid w:val="001D0B10"/>
    <w:rsid w:val="001D0C42"/>
    <w:rsid w:val="001D0C97"/>
    <w:rsid w:val="001D0C99"/>
    <w:rsid w:val="001D0D77"/>
    <w:rsid w:val="001D0DB2"/>
    <w:rsid w:val="001D0F36"/>
    <w:rsid w:val="001D0F48"/>
    <w:rsid w:val="001D100F"/>
    <w:rsid w:val="001D1127"/>
    <w:rsid w:val="001D131A"/>
    <w:rsid w:val="001D13B3"/>
    <w:rsid w:val="001D13F6"/>
    <w:rsid w:val="001D14EA"/>
    <w:rsid w:val="001D1704"/>
    <w:rsid w:val="001D17A2"/>
    <w:rsid w:val="001D188B"/>
    <w:rsid w:val="001D1901"/>
    <w:rsid w:val="001D194B"/>
    <w:rsid w:val="001D1A4C"/>
    <w:rsid w:val="001D1AE9"/>
    <w:rsid w:val="001D1BAC"/>
    <w:rsid w:val="001D21FB"/>
    <w:rsid w:val="001D229F"/>
    <w:rsid w:val="001D2437"/>
    <w:rsid w:val="001D2488"/>
    <w:rsid w:val="001D2581"/>
    <w:rsid w:val="001D259B"/>
    <w:rsid w:val="001D2610"/>
    <w:rsid w:val="001D2A3D"/>
    <w:rsid w:val="001D2BD9"/>
    <w:rsid w:val="001D2CE9"/>
    <w:rsid w:val="001D2D71"/>
    <w:rsid w:val="001D2DD5"/>
    <w:rsid w:val="001D2E94"/>
    <w:rsid w:val="001D2E9E"/>
    <w:rsid w:val="001D2F1A"/>
    <w:rsid w:val="001D31AC"/>
    <w:rsid w:val="001D31D6"/>
    <w:rsid w:val="001D3236"/>
    <w:rsid w:val="001D324D"/>
    <w:rsid w:val="001D32DA"/>
    <w:rsid w:val="001D3399"/>
    <w:rsid w:val="001D3596"/>
    <w:rsid w:val="001D359A"/>
    <w:rsid w:val="001D3604"/>
    <w:rsid w:val="001D398D"/>
    <w:rsid w:val="001D3A1A"/>
    <w:rsid w:val="001D3ACA"/>
    <w:rsid w:val="001D3C48"/>
    <w:rsid w:val="001D3C6C"/>
    <w:rsid w:val="001D3CB6"/>
    <w:rsid w:val="001D3DCC"/>
    <w:rsid w:val="001D3E47"/>
    <w:rsid w:val="001D3E6F"/>
    <w:rsid w:val="001D3FE3"/>
    <w:rsid w:val="001D444D"/>
    <w:rsid w:val="001D444E"/>
    <w:rsid w:val="001D4668"/>
    <w:rsid w:val="001D477E"/>
    <w:rsid w:val="001D49AE"/>
    <w:rsid w:val="001D4A08"/>
    <w:rsid w:val="001D4A14"/>
    <w:rsid w:val="001D4A2F"/>
    <w:rsid w:val="001D4B49"/>
    <w:rsid w:val="001D4B82"/>
    <w:rsid w:val="001D4D30"/>
    <w:rsid w:val="001D5083"/>
    <w:rsid w:val="001D5162"/>
    <w:rsid w:val="001D5208"/>
    <w:rsid w:val="001D52F5"/>
    <w:rsid w:val="001D52FA"/>
    <w:rsid w:val="001D534B"/>
    <w:rsid w:val="001D5481"/>
    <w:rsid w:val="001D55D4"/>
    <w:rsid w:val="001D5600"/>
    <w:rsid w:val="001D5682"/>
    <w:rsid w:val="001D5739"/>
    <w:rsid w:val="001D575D"/>
    <w:rsid w:val="001D576B"/>
    <w:rsid w:val="001D5990"/>
    <w:rsid w:val="001D59B4"/>
    <w:rsid w:val="001D5B38"/>
    <w:rsid w:val="001D5BCA"/>
    <w:rsid w:val="001D5CAF"/>
    <w:rsid w:val="001D5D13"/>
    <w:rsid w:val="001D5D89"/>
    <w:rsid w:val="001D5E62"/>
    <w:rsid w:val="001D5E89"/>
    <w:rsid w:val="001D5EB3"/>
    <w:rsid w:val="001D5F46"/>
    <w:rsid w:val="001D5FB5"/>
    <w:rsid w:val="001D5FF1"/>
    <w:rsid w:val="001D600B"/>
    <w:rsid w:val="001D61E5"/>
    <w:rsid w:val="001D62A5"/>
    <w:rsid w:val="001D6399"/>
    <w:rsid w:val="001D64B7"/>
    <w:rsid w:val="001D65F8"/>
    <w:rsid w:val="001D66A5"/>
    <w:rsid w:val="001D67B6"/>
    <w:rsid w:val="001D689F"/>
    <w:rsid w:val="001D68BD"/>
    <w:rsid w:val="001D68E4"/>
    <w:rsid w:val="001D6947"/>
    <w:rsid w:val="001D69BA"/>
    <w:rsid w:val="001D69F5"/>
    <w:rsid w:val="001D6AAC"/>
    <w:rsid w:val="001D6AF5"/>
    <w:rsid w:val="001D6B52"/>
    <w:rsid w:val="001D6E66"/>
    <w:rsid w:val="001D6EC8"/>
    <w:rsid w:val="001D70F1"/>
    <w:rsid w:val="001D731F"/>
    <w:rsid w:val="001D7362"/>
    <w:rsid w:val="001D7399"/>
    <w:rsid w:val="001D73BC"/>
    <w:rsid w:val="001D744A"/>
    <w:rsid w:val="001D7530"/>
    <w:rsid w:val="001D7608"/>
    <w:rsid w:val="001D78C9"/>
    <w:rsid w:val="001D79FE"/>
    <w:rsid w:val="001D7C92"/>
    <w:rsid w:val="001D7CE0"/>
    <w:rsid w:val="001D7E50"/>
    <w:rsid w:val="001E001F"/>
    <w:rsid w:val="001E0070"/>
    <w:rsid w:val="001E00D9"/>
    <w:rsid w:val="001E00E7"/>
    <w:rsid w:val="001E0110"/>
    <w:rsid w:val="001E0577"/>
    <w:rsid w:val="001E06C5"/>
    <w:rsid w:val="001E0742"/>
    <w:rsid w:val="001E0829"/>
    <w:rsid w:val="001E094A"/>
    <w:rsid w:val="001E0B44"/>
    <w:rsid w:val="001E0BB0"/>
    <w:rsid w:val="001E0C43"/>
    <w:rsid w:val="001E0D53"/>
    <w:rsid w:val="001E0DAD"/>
    <w:rsid w:val="001E0E7A"/>
    <w:rsid w:val="001E0F8E"/>
    <w:rsid w:val="001E1100"/>
    <w:rsid w:val="001E1143"/>
    <w:rsid w:val="001E128A"/>
    <w:rsid w:val="001E12CF"/>
    <w:rsid w:val="001E1317"/>
    <w:rsid w:val="001E1330"/>
    <w:rsid w:val="001E1631"/>
    <w:rsid w:val="001E175B"/>
    <w:rsid w:val="001E17D0"/>
    <w:rsid w:val="001E1BAD"/>
    <w:rsid w:val="001E1C98"/>
    <w:rsid w:val="001E1DCA"/>
    <w:rsid w:val="001E1E22"/>
    <w:rsid w:val="001E1F07"/>
    <w:rsid w:val="001E2302"/>
    <w:rsid w:val="001E242A"/>
    <w:rsid w:val="001E251D"/>
    <w:rsid w:val="001E25B4"/>
    <w:rsid w:val="001E265F"/>
    <w:rsid w:val="001E2690"/>
    <w:rsid w:val="001E27FA"/>
    <w:rsid w:val="001E282F"/>
    <w:rsid w:val="001E2862"/>
    <w:rsid w:val="001E28FE"/>
    <w:rsid w:val="001E29C5"/>
    <w:rsid w:val="001E2A5B"/>
    <w:rsid w:val="001E2AE2"/>
    <w:rsid w:val="001E2AF3"/>
    <w:rsid w:val="001E2B1B"/>
    <w:rsid w:val="001E2BDA"/>
    <w:rsid w:val="001E2C2B"/>
    <w:rsid w:val="001E2D08"/>
    <w:rsid w:val="001E2EA8"/>
    <w:rsid w:val="001E2FBF"/>
    <w:rsid w:val="001E3024"/>
    <w:rsid w:val="001E30C2"/>
    <w:rsid w:val="001E32DD"/>
    <w:rsid w:val="001E32E5"/>
    <w:rsid w:val="001E3492"/>
    <w:rsid w:val="001E3525"/>
    <w:rsid w:val="001E361A"/>
    <w:rsid w:val="001E379D"/>
    <w:rsid w:val="001E37B8"/>
    <w:rsid w:val="001E3829"/>
    <w:rsid w:val="001E3973"/>
    <w:rsid w:val="001E3AD9"/>
    <w:rsid w:val="001E3B42"/>
    <w:rsid w:val="001E3BC7"/>
    <w:rsid w:val="001E3D68"/>
    <w:rsid w:val="001E3DB6"/>
    <w:rsid w:val="001E3F52"/>
    <w:rsid w:val="001E41B8"/>
    <w:rsid w:val="001E42AA"/>
    <w:rsid w:val="001E43AC"/>
    <w:rsid w:val="001E44A4"/>
    <w:rsid w:val="001E4514"/>
    <w:rsid w:val="001E4723"/>
    <w:rsid w:val="001E4756"/>
    <w:rsid w:val="001E4814"/>
    <w:rsid w:val="001E4820"/>
    <w:rsid w:val="001E48B7"/>
    <w:rsid w:val="001E4AF4"/>
    <w:rsid w:val="001E4C97"/>
    <w:rsid w:val="001E4E55"/>
    <w:rsid w:val="001E4EC1"/>
    <w:rsid w:val="001E4F3C"/>
    <w:rsid w:val="001E4F59"/>
    <w:rsid w:val="001E4F73"/>
    <w:rsid w:val="001E4F89"/>
    <w:rsid w:val="001E4FD3"/>
    <w:rsid w:val="001E5198"/>
    <w:rsid w:val="001E5202"/>
    <w:rsid w:val="001E5299"/>
    <w:rsid w:val="001E52C3"/>
    <w:rsid w:val="001E532B"/>
    <w:rsid w:val="001E53B2"/>
    <w:rsid w:val="001E54BB"/>
    <w:rsid w:val="001E54EE"/>
    <w:rsid w:val="001E55B9"/>
    <w:rsid w:val="001E55FE"/>
    <w:rsid w:val="001E56C2"/>
    <w:rsid w:val="001E58AB"/>
    <w:rsid w:val="001E5996"/>
    <w:rsid w:val="001E5BAD"/>
    <w:rsid w:val="001E5BFD"/>
    <w:rsid w:val="001E5CA5"/>
    <w:rsid w:val="001E5D8B"/>
    <w:rsid w:val="001E5EFD"/>
    <w:rsid w:val="001E5F05"/>
    <w:rsid w:val="001E6154"/>
    <w:rsid w:val="001E62E8"/>
    <w:rsid w:val="001E6304"/>
    <w:rsid w:val="001E636E"/>
    <w:rsid w:val="001E6399"/>
    <w:rsid w:val="001E640E"/>
    <w:rsid w:val="001E648D"/>
    <w:rsid w:val="001E68D0"/>
    <w:rsid w:val="001E696D"/>
    <w:rsid w:val="001E6992"/>
    <w:rsid w:val="001E6A75"/>
    <w:rsid w:val="001E6BAF"/>
    <w:rsid w:val="001E6C22"/>
    <w:rsid w:val="001E6C2F"/>
    <w:rsid w:val="001E6DF7"/>
    <w:rsid w:val="001E6EC1"/>
    <w:rsid w:val="001E6F63"/>
    <w:rsid w:val="001E70A0"/>
    <w:rsid w:val="001E70B9"/>
    <w:rsid w:val="001E71AA"/>
    <w:rsid w:val="001E720C"/>
    <w:rsid w:val="001E72CC"/>
    <w:rsid w:val="001E76DF"/>
    <w:rsid w:val="001E7714"/>
    <w:rsid w:val="001E777E"/>
    <w:rsid w:val="001E794B"/>
    <w:rsid w:val="001E79E7"/>
    <w:rsid w:val="001E7A25"/>
    <w:rsid w:val="001E7A4F"/>
    <w:rsid w:val="001E7B5A"/>
    <w:rsid w:val="001E7C8D"/>
    <w:rsid w:val="001E7C90"/>
    <w:rsid w:val="001E7CB5"/>
    <w:rsid w:val="001E7D72"/>
    <w:rsid w:val="001E7D77"/>
    <w:rsid w:val="001E7DC4"/>
    <w:rsid w:val="001E7E1A"/>
    <w:rsid w:val="001E7E72"/>
    <w:rsid w:val="001E7ED0"/>
    <w:rsid w:val="001E7FE9"/>
    <w:rsid w:val="001E7FF1"/>
    <w:rsid w:val="001F0014"/>
    <w:rsid w:val="001F01C5"/>
    <w:rsid w:val="001F01D9"/>
    <w:rsid w:val="001F02B9"/>
    <w:rsid w:val="001F02BD"/>
    <w:rsid w:val="001F03E6"/>
    <w:rsid w:val="001F040A"/>
    <w:rsid w:val="001F0557"/>
    <w:rsid w:val="001F05F2"/>
    <w:rsid w:val="001F0716"/>
    <w:rsid w:val="001F083F"/>
    <w:rsid w:val="001F08A3"/>
    <w:rsid w:val="001F08A7"/>
    <w:rsid w:val="001F093B"/>
    <w:rsid w:val="001F0967"/>
    <w:rsid w:val="001F0999"/>
    <w:rsid w:val="001F0BB1"/>
    <w:rsid w:val="001F0BD7"/>
    <w:rsid w:val="001F0C88"/>
    <w:rsid w:val="001F0CAC"/>
    <w:rsid w:val="001F0D1E"/>
    <w:rsid w:val="001F0E9B"/>
    <w:rsid w:val="001F0F48"/>
    <w:rsid w:val="001F0FA7"/>
    <w:rsid w:val="001F1272"/>
    <w:rsid w:val="001F1398"/>
    <w:rsid w:val="001F14A1"/>
    <w:rsid w:val="001F15AD"/>
    <w:rsid w:val="001F15CA"/>
    <w:rsid w:val="001F17C9"/>
    <w:rsid w:val="001F180F"/>
    <w:rsid w:val="001F183E"/>
    <w:rsid w:val="001F189B"/>
    <w:rsid w:val="001F1915"/>
    <w:rsid w:val="001F1AF5"/>
    <w:rsid w:val="001F1CF7"/>
    <w:rsid w:val="001F1D60"/>
    <w:rsid w:val="001F1EA7"/>
    <w:rsid w:val="001F2124"/>
    <w:rsid w:val="001F22AB"/>
    <w:rsid w:val="001F236D"/>
    <w:rsid w:val="001F2460"/>
    <w:rsid w:val="001F249D"/>
    <w:rsid w:val="001F24C9"/>
    <w:rsid w:val="001F24F7"/>
    <w:rsid w:val="001F260D"/>
    <w:rsid w:val="001F26C8"/>
    <w:rsid w:val="001F288D"/>
    <w:rsid w:val="001F2935"/>
    <w:rsid w:val="001F29F7"/>
    <w:rsid w:val="001F2B68"/>
    <w:rsid w:val="001F2B74"/>
    <w:rsid w:val="001F2C29"/>
    <w:rsid w:val="001F2C74"/>
    <w:rsid w:val="001F2CE3"/>
    <w:rsid w:val="001F3136"/>
    <w:rsid w:val="001F3155"/>
    <w:rsid w:val="001F31FF"/>
    <w:rsid w:val="001F321B"/>
    <w:rsid w:val="001F32E9"/>
    <w:rsid w:val="001F330E"/>
    <w:rsid w:val="001F3400"/>
    <w:rsid w:val="001F354E"/>
    <w:rsid w:val="001F35B8"/>
    <w:rsid w:val="001F3777"/>
    <w:rsid w:val="001F3790"/>
    <w:rsid w:val="001F37BB"/>
    <w:rsid w:val="001F37F7"/>
    <w:rsid w:val="001F386B"/>
    <w:rsid w:val="001F388A"/>
    <w:rsid w:val="001F3902"/>
    <w:rsid w:val="001F39B5"/>
    <w:rsid w:val="001F39BE"/>
    <w:rsid w:val="001F39F1"/>
    <w:rsid w:val="001F3AC5"/>
    <w:rsid w:val="001F3B55"/>
    <w:rsid w:val="001F3CAC"/>
    <w:rsid w:val="001F3D0C"/>
    <w:rsid w:val="001F3E6A"/>
    <w:rsid w:val="001F3E6D"/>
    <w:rsid w:val="001F3E7E"/>
    <w:rsid w:val="001F3EE2"/>
    <w:rsid w:val="001F4051"/>
    <w:rsid w:val="001F41F0"/>
    <w:rsid w:val="001F429B"/>
    <w:rsid w:val="001F4556"/>
    <w:rsid w:val="001F4606"/>
    <w:rsid w:val="001F4658"/>
    <w:rsid w:val="001F47F1"/>
    <w:rsid w:val="001F48FE"/>
    <w:rsid w:val="001F49BA"/>
    <w:rsid w:val="001F4A4A"/>
    <w:rsid w:val="001F4AF5"/>
    <w:rsid w:val="001F4C36"/>
    <w:rsid w:val="001F4C41"/>
    <w:rsid w:val="001F4C4C"/>
    <w:rsid w:val="001F4E76"/>
    <w:rsid w:val="001F51E0"/>
    <w:rsid w:val="001F5413"/>
    <w:rsid w:val="001F548F"/>
    <w:rsid w:val="001F54FF"/>
    <w:rsid w:val="001F557D"/>
    <w:rsid w:val="001F55CA"/>
    <w:rsid w:val="001F567B"/>
    <w:rsid w:val="001F58D0"/>
    <w:rsid w:val="001F59BE"/>
    <w:rsid w:val="001F5B8D"/>
    <w:rsid w:val="001F5BB8"/>
    <w:rsid w:val="001F5BBA"/>
    <w:rsid w:val="001F5BD9"/>
    <w:rsid w:val="001F5CA6"/>
    <w:rsid w:val="001F5CA7"/>
    <w:rsid w:val="001F5CE8"/>
    <w:rsid w:val="001F5DB1"/>
    <w:rsid w:val="001F5DF6"/>
    <w:rsid w:val="001F5EBC"/>
    <w:rsid w:val="001F5FF5"/>
    <w:rsid w:val="001F5FFC"/>
    <w:rsid w:val="001F6044"/>
    <w:rsid w:val="001F60D1"/>
    <w:rsid w:val="001F61B3"/>
    <w:rsid w:val="001F6215"/>
    <w:rsid w:val="001F629F"/>
    <w:rsid w:val="001F642C"/>
    <w:rsid w:val="001F651F"/>
    <w:rsid w:val="001F65B9"/>
    <w:rsid w:val="001F65EF"/>
    <w:rsid w:val="001F6846"/>
    <w:rsid w:val="001F6916"/>
    <w:rsid w:val="001F6927"/>
    <w:rsid w:val="001F698C"/>
    <w:rsid w:val="001F6A28"/>
    <w:rsid w:val="001F6AEF"/>
    <w:rsid w:val="001F6B34"/>
    <w:rsid w:val="001F6B6F"/>
    <w:rsid w:val="001F6E8E"/>
    <w:rsid w:val="001F6EBC"/>
    <w:rsid w:val="001F704C"/>
    <w:rsid w:val="001F72CF"/>
    <w:rsid w:val="001F7300"/>
    <w:rsid w:val="001F7427"/>
    <w:rsid w:val="001F749A"/>
    <w:rsid w:val="001F74D0"/>
    <w:rsid w:val="001F774F"/>
    <w:rsid w:val="001F7798"/>
    <w:rsid w:val="001F77AF"/>
    <w:rsid w:val="001F7C4C"/>
    <w:rsid w:val="001F7CED"/>
    <w:rsid w:val="001F7D37"/>
    <w:rsid w:val="001F7D76"/>
    <w:rsid w:val="001F7DD9"/>
    <w:rsid w:val="001F7EE9"/>
    <w:rsid w:val="001F7EFC"/>
    <w:rsid w:val="001F7F68"/>
    <w:rsid w:val="001F7FBD"/>
    <w:rsid w:val="002000EB"/>
    <w:rsid w:val="002000F8"/>
    <w:rsid w:val="0020029F"/>
    <w:rsid w:val="002002A8"/>
    <w:rsid w:val="00200333"/>
    <w:rsid w:val="00200368"/>
    <w:rsid w:val="0020059E"/>
    <w:rsid w:val="002008E2"/>
    <w:rsid w:val="00200928"/>
    <w:rsid w:val="00200946"/>
    <w:rsid w:val="0020098D"/>
    <w:rsid w:val="00200B3D"/>
    <w:rsid w:val="00200BC5"/>
    <w:rsid w:val="00200BF5"/>
    <w:rsid w:val="00200C9F"/>
    <w:rsid w:val="00200D52"/>
    <w:rsid w:val="00200D92"/>
    <w:rsid w:val="00200E31"/>
    <w:rsid w:val="00200E47"/>
    <w:rsid w:val="00200EB1"/>
    <w:rsid w:val="00200F67"/>
    <w:rsid w:val="00201104"/>
    <w:rsid w:val="002011AB"/>
    <w:rsid w:val="002011D0"/>
    <w:rsid w:val="0020129E"/>
    <w:rsid w:val="002014F0"/>
    <w:rsid w:val="0020157F"/>
    <w:rsid w:val="0020161C"/>
    <w:rsid w:val="00201678"/>
    <w:rsid w:val="00201698"/>
    <w:rsid w:val="002016E7"/>
    <w:rsid w:val="0020172B"/>
    <w:rsid w:val="0020179C"/>
    <w:rsid w:val="002018D8"/>
    <w:rsid w:val="00201AB1"/>
    <w:rsid w:val="00201B3D"/>
    <w:rsid w:val="00201BA2"/>
    <w:rsid w:val="00201E51"/>
    <w:rsid w:val="00201EBB"/>
    <w:rsid w:val="00201EE3"/>
    <w:rsid w:val="00202050"/>
    <w:rsid w:val="00202098"/>
    <w:rsid w:val="002021FA"/>
    <w:rsid w:val="00202319"/>
    <w:rsid w:val="0020235C"/>
    <w:rsid w:val="00202389"/>
    <w:rsid w:val="002023A6"/>
    <w:rsid w:val="002023F9"/>
    <w:rsid w:val="00202509"/>
    <w:rsid w:val="00202540"/>
    <w:rsid w:val="002025CD"/>
    <w:rsid w:val="00202613"/>
    <w:rsid w:val="0020263E"/>
    <w:rsid w:val="002027F4"/>
    <w:rsid w:val="00202806"/>
    <w:rsid w:val="00202A07"/>
    <w:rsid w:val="00202BD7"/>
    <w:rsid w:val="00202D93"/>
    <w:rsid w:val="00202E64"/>
    <w:rsid w:val="00202EE9"/>
    <w:rsid w:val="00202F4E"/>
    <w:rsid w:val="00202F6E"/>
    <w:rsid w:val="00202FA1"/>
    <w:rsid w:val="0020320D"/>
    <w:rsid w:val="0020327C"/>
    <w:rsid w:val="002032EB"/>
    <w:rsid w:val="0020331B"/>
    <w:rsid w:val="002033FB"/>
    <w:rsid w:val="00203449"/>
    <w:rsid w:val="00203500"/>
    <w:rsid w:val="00203572"/>
    <w:rsid w:val="0020364E"/>
    <w:rsid w:val="0020379E"/>
    <w:rsid w:val="00203B73"/>
    <w:rsid w:val="00203C9E"/>
    <w:rsid w:val="00203CF2"/>
    <w:rsid w:val="00203DED"/>
    <w:rsid w:val="00203EFA"/>
    <w:rsid w:val="00203F8D"/>
    <w:rsid w:val="00204020"/>
    <w:rsid w:val="0020403E"/>
    <w:rsid w:val="00204117"/>
    <w:rsid w:val="0020414F"/>
    <w:rsid w:val="002041C6"/>
    <w:rsid w:val="002044F6"/>
    <w:rsid w:val="002048A8"/>
    <w:rsid w:val="002049EE"/>
    <w:rsid w:val="00204A45"/>
    <w:rsid w:val="00204A88"/>
    <w:rsid w:val="00204B1D"/>
    <w:rsid w:val="00204D0F"/>
    <w:rsid w:val="00204D20"/>
    <w:rsid w:val="00204FEC"/>
    <w:rsid w:val="00205007"/>
    <w:rsid w:val="00205059"/>
    <w:rsid w:val="002051A6"/>
    <w:rsid w:val="00205260"/>
    <w:rsid w:val="002052D8"/>
    <w:rsid w:val="002053D5"/>
    <w:rsid w:val="002055A9"/>
    <w:rsid w:val="002055B5"/>
    <w:rsid w:val="00205725"/>
    <w:rsid w:val="0020572E"/>
    <w:rsid w:val="00205909"/>
    <w:rsid w:val="00205A08"/>
    <w:rsid w:val="00205ABA"/>
    <w:rsid w:val="00205B2A"/>
    <w:rsid w:val="00205B3B"/>
    <w:rsid w:val="00205B70"/>
    <w:rsid w:val="00205BE4"/>
    <w:rsid w:val="00205C95"/>
    <w:rsid w:val="00205CD7"/>
    <w:rsid w:val="00205E05"/>
    <w:rsid w:val="00205E41"/>
    <w:rsid w:val="00205F40"/>
    <w:rsid w:val="0020602C"/>
    <w:rsid w:val="002061A7"/>
    <w:rsid w:val="002062C5"/>
    <w:rsid w:val="002063FF"/>
    <w:rsid w:val="0020644E"/>
    <w:rsid w:val="00206583"/>
    <w:rsid w:val="00206615"/>
    <w:rsid w:val="0020696E"/>
    <w:rsid w:val="00206ACA"/>
    <w:rsid w:val="00206BED"/>
    <w:rsid w:val="00206C85"/>
    <w:rsid w:val="00206D28"/>
    <w:rsid w:val="00206FDF"/>
    <w:rsid w:val="002070BE"/>
    <w:rsid w:val="002071D9"/>
    <w:rsid w:val="00207357"/>
    <w:rsid w:val="00207534"/>
    <w:rsid w:val="0020753F"/>
    <w:rsid w:val="002077A3"/>
    <w:rsid w:val="00207A31"/>
    <w:rsid w:val="00207A32"/>
    <w:rsid w:val="00207A33"/>
    <w:rsid w:val="00207A6F"/>
    <w:rsid w:val="00207B8E"/>
    <w:rsid w:val="00207BAD"/>
    <w:rsid w:val="00207E00"/>
    <w:rsid w:val="0021000B"/>
    <w:rsid w:val="0021010D"/>
    <w:rsid w:val="0021017B"/>
    <w:rsid w:val="0021027D"/>
    <w:rsid w:val="00210346"/>
    <w:rsid w:val="00210411"/>
    <w:rsid w:val="002105AB"/>
    <w:rsid w:val="00210771"/>
    <w:rsid w:val="00210828"/>
    <w:rsid w:val="002109AA"/>
    <w:rsid w:val="00210A02"/>
    <w:rsid w:val="00210A07"/>
    <w:rsid w:val="00210A89"/>
    <w:rsid w:val="00210C0F"/>
    <w:rsid w:val="00210D05"/>
    <w:rsid w:val="00210E23"/>
    <w:rsid w:val="00210E87"/>
    <w:rsid w:val="00210F2B"/>
    <w:rsid w:val="00210F48"/>
    <w:rsid w:val="00210FA1"/>
    <w:rsid w:val="00210FAC"/>
    <w:rsid w:val="00211093"/>
    <w:rsid w:val="0021110C"/>
    <w:rsid w:val="0021112A"/>
    <w:rsid w:val="0021117C"/>
    <w:rsid w:val="0021120F"/>
    <w:rsid w:val="002112B1"/>
    <w:rsid w:val="00211377"/>
    <w:rsid w:val="002113FF"/>
    <w:rsid w:val="002115F5"/>
    <w:rsid w:val="00211723"/>
    <w:rsid w:val="002117AA"/>
    <w:rsid w:val="00211B72"/>
    <w:rsid w:val="00211C1F"/>
    <w:rsid w:val="00211CF5"/>
    <w:rsid w:val="00211D89"/>
    <w:rsid w:val="00211FA6"/>
    <w:rsid w:val="00212078"/>
    <w:rsid w:val="002121A5"/>
    <w:rsid w:val="00212242"/>
    <w:rsid w:val="0021274B"/>
    <w:rsid w:val="00212770"/>
    <w:rsid w:val="0021279A"/>
    <w:rsid w:val="002127B1"/>
    <w:rsid w:val="002129D1"/>
    <w:rsid w:val="00212AFC"/>
    <w:rsid w:val="00212B39"/>
    <w:rsid w:val="00212B78"/>
    <w:rsid w:val="00212BCA"/>
    <w:rsid w:val="00212DAF"/>
    <w:rsid w:val="00212DDB"/>
    <w:rsid w:val="00212ED0"/>
    <w:rsid w:val="002130E3"/>
    <w:rsid w:val="002130F1"/>
    <w:rsid w:val="002131DF"/>
    <w:rsid w:val="002132B0"/>
    <w:rsid w:val="002132DD"/>
    <w:rsid w:val="002133A8"/>
    <w:rsid w:val="002133EE"/>
    <w:rsid w:val="0021349E"/>
    <w:rsid w:val="002135C1"/>
    <w:rsid w:val="002136A7"/>
    <w:rsid w:val="00213796"/>
    <w:rsid w:val="002138B6"/>
    <w:rsid w:val="002138DB"/>
    <w:rsid w:val="00213A3B"/>
    <w:rsid w:val="00213B23"/>
    <w:rsid w:val="00213BB1"/>
    <w:rsid w:val="00213BDB"/>
    <w:rsid w:val="00213D73"/>
    <w:rsid w:val="00213F00"/>
    <w:rsid w:val="00213F28"/>
    <w:rsid w:val="00213FBF"/>
    <w:rsid w:val="00214114"/>
    <w:rsid w:val="00214145"/>
    <w:rsid w:val="00214209"/>
    <w:rsid w:val="00214215"/>
    <w:rsid w:val="00214392"/>
    <w:rsid w:val="00214455"/>
    <w:rsid w:val="002147D8"/>
    <w:rsid w:val="002147D9"/>
    <w:rsid w:val="00214804"/>
    <w:rsid w:val="00214975"/>
    <w:rsid w:val="00214976"/>
    <w:rsid w:val="00214B56"/>
    <w:rsid w:val="00214B5A"/>
    <w:rsid w:val="00214CA0"/>
    <w:rsid w:val="00214D2B"/>
    <w:rsid w:val="00214D7C"/>
    <w:rsid w:val="00214DC3"/>
    <w:rsid w:val="00215001"/>
    <w:rsid w:val="00215030"/>
    <w:rsid w:val="00215116"/>
    <w:rsid w:val="0021511C"/>
    <w:rsid w:val="002153E4"/>
    <w:rsid w:val="00215428"/>
    <w:rsid w:val="0021544D"/>
    <w:rsid w:val="0021549D"/>
    <w:rsid w:val="002154F3"/>
    <w:rsid w:val="002155A7"/>
    <w:rsid w:val="002157DC"/>
    <w:rsid w:val="00215820"/>
    <w:rsid w:val="002158D6"/>
    <w:rsid w:val="00215A15"/>
    <w:rsid w:val="00215AE1"/>
    <w:rsid w:val="00215AFC"/>
    <w:rsid w:val="00215BCC"/>
    <w:rsid w:val="00215C83"/>
    <w:rsid w:val="00215D3C"/>
    <w:rsid w:val="00215E56"/>
    <w:rsid w:val="00215ED2"/>
    <w:rsid w:val="00216060"/>
    <w:rsid w:val="0021606E"/>
    <w:rsid w:val="002160FF"/>
    <w:rsid w:val="00216134"/>
    <w:rsid w:val="0021614F"/>
    <w:rsid w:val="00216167"/>
    <w:rsid w:val="00216621"/>
    <w:rsid w:val="00216632"/>
    <w:rsid w:val="00216668"/>
    <w:rsid w:val="00216875"/>
    <w:rsid w:val="002168A6"/>
    <w:rsid w:val="002168FB"/>
    <w:rsid w:val="002169C6"/>
    <w:rsid w:val="00216A62"/>
    <w:rsid w:val="00216F0B"/>
    <w:rsid w:val="002170D9"/>
    <w:rsid w:val="0021717E"/>
    <w:rsid w:val="00217279"/>
    <w:rsid w:val="00217340"/>
    <w:rsid w:val="002173F1"/>
    <w:rsid w:val="0021779A"/>
    <w:rsid w:val="002177AC"/>
    <w:rsid w:val="002177B0"/>
    <w:rsid w:val="002177F0"/>
    <w:rsid w:val="00217843"/>
    <w:rsid w:val="00217861"/>
    <w:rsid w:val="0021791E"/>
    <w:rsid w:val="002179E9"/>
    <w:rsid w:val="00217AEF"/>
    <w:rsid w:val="0022008A"/>
    <w:rsid w:val="0022009C"/>
    <w:rsid w:val="002200CB"/>
    <w:rsid w:val="00220297"/>
    <w:rsid w:val="00220322"/>
    <w:rsid w:val="00220370"/>
    <w:rsid w:val="00220478"/>
    <w:rsid w:val="00220589"/>
    <w:rsid w:val="00220626"/>
    <w:rsid w:val="00220631"/>
    <w:rsid w:val="002207E0"/>
    <w:rsid w:val="00220987"/>
    <w:rsid w:val="00220B7D"/>
    <w:rsid w:val="00220D8B"/>
    <w:rsid w:val="00220E4C"/>
    <w:rsid w:val="00220E6C"/>
    <w:rsid w:val="00220FC1"/>
    <w:rsid w:val="0022118E"/>
    <w:rsid w:val="002214E6"/>
    <w:rsid w:val="002214F1"/>
    <w:rsid w:val="0022166F"/>
    <w:rsid w:val="002216AB"/>
    <w:rsid w:val="00221781"/>
    <w:rsid w:val="002217FA"/>
    <w:rsid w:val="00221951"/>
    <w:rsid w:val="00221AAD"/>
    <w:rsid w:val="00221C9D"/>
    <w:rsid w:val="00221E2E"/>
    <w:rsid w:val="00221E7B"/>
    <w:rsid w:val="00221F1E"/>
    <w:rsid w:val="0022204D"/>
    <w:rsid w:val="0022207F"/>
    <w:rsid w:val="0022217C"/>
    <w:rsid w:val="00222239"/>
    <w:rsid w:val="002223A0"/>
    <w:rsid w:val="002223A9"/>
    <w:rsid w:val="002223E0"/>
    <w:rsid w:val="002225DB"/>
    <w:rsid w:val="002225F7"/>
    <w:rsid w:val="002225FC"/>
    <w:rsid w:val="00222704"/>
    <w:rsid w:val="002227B9"/>
    <w:rsid w:val="00222825"/>
    <w:rsid w:val="002228EB"/>
    <w:rsid w:val="00222AC3"/>
    <w:rsid w:val="00222AD7"/>
    <w:rsid w:val="00222DB8"/>
    <w:rsid w:val="00222E3D"/>
    <w:rsid w:val="00222ED5"/>
    <w:rsid w:val="00222F6D"/>
    <w:rsid w:val="00223010"/>
    <w:rsid w:val="00223177"/>
    <w:rsid w:val="00223197"/>
    <w:rsid w:val="002231A0"/>
    <w:rsid w:val="00223282"/>
    <w:rsid w:val="002232C9"/>
    <w:rsid w:val="002233D6"/>
    <w:rsid w:val="00223486"/>
    <w:rsid w:val="002235BE"/>
    <w:rsid w:val="00223816"/>
    <w:rsid w:val="00223B77"/>
    <w:rsid w:val="00223BD4"/>
    <w:rsid w:val="00223C1D"/>
    <w:rsid w:val="00223C31"/>
    <w:rsid w:val="00223CC1"/>
    <w:rsid w:val="00223E05"/>
    <w:rsid w:val="00224118"/>
    <w:rsid w:val="00224202"/>
    <w:rsid w:val="0022420E"/>
    <w:rsid w:val="00224260"/>
    <w:rsid w:val="002242F3"/>
    <w:rsid w:val="00224316"/>
    <w:rsid w:val="00224462"/>
    <w:rsid w:val="00224503"/>
    <w:rsid w:val="002245E2"/>
    <w:rsid w:val="00224619"/>
    <w:rsid w:val="0022470A"/>
    <w:rsid w:val="0022486B"/>
    <w:rsid w:val="00224876"/>
    <w:rsid w:val="002248D1"/>
    <w:rsid w:val="0022491E"/>
    <w:rsid w:val="00224944"/>
    <w:rsid w:val="00224A3C"/>
    <w:rsid w:val="00224A61"/>
    <w:rsid w:val="00224B07"/>
    <w:rsid w:val="00224CA2"/>
    <w:rsid w:val="00224CB1"/>
    <w:rsid w:val="00224DCB"/>
    <w:rsid w:val="00224ECE"/>
    <w:rsid w:val="00224EE5"/>
    <w:rsid w:val="002250BC"/>
    <w:rsid w:val="00225100"/>
    <w:rsid w:val="00225153"/>
    <w:rsid w:val="00225169"/>
    <w:rsid w:val="002251BA"/>
    <w:rsid w:val="002251CC"/>
    <w:rsid w:val="00225226"/>
    <w:rsid w:val="0022525A"/>
    <w:rsid w:val="002252A5"/>
    <w:rsid w:val="0022531D"/>
    <w:rsid w:val="00225353"/>
    <w:rsid w:val="002254F1"/>
    <w:rsid w:val="0022560F"/>
    <w:rsid w:val="0022584D"/>
    <w:rsid w:val="00225886"/>
    <w:rsid w:val="0022592F"/>
    <w:rsid w:val="0022605B"/>
    <w:rsid w:val="0022608B"/>
    <w:rsid w:val="002260A7"/>
    <w:rsid w:val="002260C2"/>
    <w:rsid w:val="002260C7"/>
    <w:rsid w:val="002260F4"/>
    <w:rsid w:val="00226161"/>
    <w:rsid w:val="0022624C"/>
    <w:rsid w:val="00226427"/>
    <w:rsid w:val="00226509"/>
    <w:rsid w:val="00226599"/>
    <w:rsid w:val="0022660B"/>
    <w:rsid w:val="00226640"/>
    <w:rsid w:val="002266DB"/>
    <w:rsid w:val="0022674B"/>
    <w:rsid w:val="0022687E"/>
    <w:rsid w:val="0022693A"/>
    <w:rsid w:val="00226A04"/>
    <w:rsid w:val="00226AC5"/>
    <w:rsid w:val="00226D1A"/>
    <w:rsid w:val="00226DC1"/>
    <w:rsid w:val="00226E82"/>
    <w:rsid w:val="00226F9F"/>
    <w:rsid w:val="002270D1"/>
    <w:rsid w:val="002272D3"/>
    <w:rsid w:val="002273CB"/>
    <w:rsid w:val="00227405"/>
    <w:rsid w:val="0022744E"/>
    <w:rsid w:val="002275F8"/>
    <w:rsid w:val="00227673"/>
    <w:rsid w:val="00227706"/>
    <w:rsid w:val="0022791D"/>
    <w:rsid w:val="00227A1B"/>
    <w:rsid w:val="00227AC1"/>
    <w:rsid w:val="00227BE3"/>
    <w:rsid w:val="00227C37"/>
    <w:rsid w:val="00227C45"/>
    <w:rsid w:val="00227D23"/>
    <w:rsid w:val="00227DD8"/>
    <w:rsid w:val="00227EF1"/>
    <w:rsid w:val="00227F58"/>
    <w:rsid w:val="0023003D"/>
    <w:rsid w:val="00230050"/>
    <w:rsid w:val="00230094"/>
    <w:rsid w:val="002301A2"/>
    <w:rsid w:val="00230308"/>
    <w:rsid w:val="002303CA"/>
    <w:rsid w:val="002305BA"/>
    <w:rsid w:val="0023062B"/>
    <w:rsid w:val="002306CF"/>
    <w:rsid w:val="002307DB"/>
    <w:rsid w:val="00230904"/>
    <w:rsid w:val="00230AD5"/>
    <w:rsid w:val="00230B98"/>
    <w:rsid w:val="00230BA9"/>
    <w:rsid w:val="00230C0E"/>
    <w:rsid w:val="002310EC"/>
    <w:rsid w:val="002312F3"/>
    <w:rsid w:val="00231341"/>
    <w:rsid w:val="00231358"/>
    <w:rsid w:val="0023151C"/>
    <w:rsid w:val="0023162C"/>
    <w:rsid w:val="002316A9"/>
    <w:rsid w:val="002319E3"/>
    <w:rsid w:val="00231AB5"/>
    <w:rsid w:val="00231C94"/>
    <w:rsid w:val="00231CA5"/>
    <w:rsid w:val="00231D14"/>
    <w:rsid w:val="00231F14"/>
    <w:rsid w:val="00231F59"/>
    <w:rsid w:val="002320AC"/>
    <w:rsid w:val="00232184"/>
    <w:rsid w:val="002321E9"/>
    <w:rsid w:val="002321F5"/>
    <w:rsid w:val="002322ED"/>
    <w:rsid w:val="0023242E"/>
    <w:rsid w:val="0023251A"/>
    <w:rsid w:val="00232555"/>
    <w:rsid w:val="002325F7"/>
    <w:rsid w:val="00232A1B"/>
    <w:rsid w:val="00232B08"/>
    <w:rsid w:val="00232B9A"/>
    <w:rsid w:val="00232C31"/>
    <w:rsid w:val="00232CD6"/>
    <w:rsid w:val="00232E8E"/>
    <w:rsid w:val="00232F3E"/>
    <w:rsid w:val="00232F41"/>
    <w:rsid w:val="00232F65"/>
    <w:rsid w:val="00233116"/>
    <w:rsid w:val="0023311A"/>
    <w:rsid w:val="0023315F"/>
    <w:rsid w:val="0023322F"/>
    <w:rsid w:val="002333CE"/>
    <w:rsid w:val="00233524"/>
    <w:rsid w:val="00233566"/>
    <w:rsid w:val="002335AC"/>
    <w:rsid w:val="002336CA"/>
    <w:rsid w:val="002336EB"/>
    <w:rsid w:val="0023377D"/>
    <w:rsid w:val="0023390D"/>
    <w:rsid w:val="00233A5D"/>
    <w:rsid w:val="00233A73"/>
    <w:rsid w:val="00233AB5"/>
    <w:rsid w:val="00233AC4"/>
    <w:rsid w:val="00233ACC"/>
    <w:rsid w:val="00233B1E"/>
    <w:rsid w:val="00233C03"/>
    <w:rsid w:val="00233C0A"/>
    <w:rsid w:val="00233CEB"/>
    <w:rsid w:val="00233D60"/>
    <w:rsid w:val="0023412F"/>
    <w:rsid w:val="0023413B"/>
    <w:rsid w:val="00234198"/>
    <w:rsid w:val="002344C4"/>
    <w:rsid w:val="00234718"/>
    <w:rsid w:val="00234771"/>
    <w:rsid w:val="00234924"/>
    <w:rsid w:val="0023494D"/>
    <w:rsid w:val="00234A01"/>
    <w:rsid w:val="00234ACA"/>
    <w:rsid w:val="00234D1C"/>
    <w:rsid w:val="00234D6F"/>
    <w:rsid w:val="00234EFA"/>
    <w:rsid w:val="002350B2"/>
    <w:rsid w:val="00235188"/>
    <w:rsid w:val="002352CD"/>
    <w:rsid w:val="002352D2"/>
    <w:rsid w:val="002352F8"/>
    <w:rsid w:val="00235521"/>
    <w:rsid w:val="002355AE"/>
    <w:rsid w:val="002355EE"/>
    <w:rsid w:val="002355EF"/>
    <w:rsid w:val="002356C5"/>
    <w:rsid w:val="00235813"/>
    <w:rsid w:val="00235900"/>
    <w:rsid w:val="002359B3"/>
    <w:rsid w:val="00235AD0"/>
    <w:rsid w:val="00235B5E"/>
    <w:rsid w:val="00235B7B"/>
    <w:rsid w:val="00235CBF"/>
    <w:rsid w:val="00235D14"/>
    <w:rsid w:val="00235DC1"/>
    <w:rsid w:val="00235E02"/>
    <w:rsid w:val="00235E72"/>
    <w:rsid w:val="00235FDC"/>
    <w:rsid w:val="0023611F"/>
    <w:rsid w:val="0023612A"/>
    <w:rsid w:val="0023653E"/>
    <w:rsid w:val="0023656E"/>
    <w:rsid w:val="0023676A"/>
    <w:rsid w:val="00236812"/>
    <w:rsid w:val="002369EF"/>
    <w:rsid w:val="00236A2C"/>
    <w:rsid w:val="00236A78"/>
    <w:rsid w:val="00236BF3"/>
    <w:rsid w:val="00236C4F"/>
    <w:rsid w:val="00236C77"/>
    <w:rsid w:val="00236D27"/>
    <w:rsid w:val="00236E7B"/>
    <w:rsid w:val="00237022"/>
    <w:rsid w:val="0023712B"/>
    <w:rsid w:val="0023723B"/>
    <w:rsid w:val="0023733D"/>
    <w:rsid w:val="00237430"/>
    <w:rsid w:val="002375F8"/>
    <w:rsid w:val="00237669"/>
    <w:rsid w:val="002376E6"/>
    <w:rsid w:val="00237B76"/>
    <w:rsid w:val="00237C61"/>
    <w:rsid w:val="00237C6A"/>
    <w:rsid w:val="00237D0A"/>
    <w:rsid w:val="00237D25"/>
    <w:rsid w:val="00237DEF"/>
    <w:rsid w:val="00237E06"/>
    <w:rsid w:val="00237E7B"/>
    <w:rsid w:val="00240120"/>
    <w:rsid w:val="00240210"/>
    <w:rsid w:val="00240285"/>
    <w:rsid w:val="002402A2"/>
    <w:rsid w:val="002402F1"/>
    <w:rsid w:val="0024046C"/>
    <w:rsid w:val="002404BA"/>
    <w:rsid w:val="002405D3"/>
    <w:rsid w:val="002405E9"/>
    <w:rsid w:val="00240605"/>
    <w:rsid w:val="0024069E"/>
    <w:rsid w:val="00240702"/>
    <w:rsid w:val="0024071A"/>
    <w:rsid w:val="00240B8C"/>
    <w:rsid w:val="00240BB2"/>
    <w:rsid w:val="00240C84"/>
    <w:rsid w:val="00240D98"/>
    <w:rsid w:val="00240E4C"/>
    <w:rsid w:val="00240E6D"/>
    <w:rsid w:val="00240F3E"/>
    <w:rsid w:val="00240F42"/>
    <w:rsid w:val="0024107B"/>
    <w:rsid w:val="0024119D"/>
    <w:rsid w:val="0024142A"/>
    <w:rsid w:val="002414CA"/>
    <w:rsid w:val="00241698"/>
    <w:rsid w:val="00241790"/>
    <w:rsid w:val="0024191E"/>
    <w:rsid w:val="00241982"/>
    <w:rsid w:val="00241A3B"/>
    <w:rsid w:val="00241BE7"/>
    <w:rsid w:val="00241C3E"/>
    <w:rsid w:val="00241D3F"/>
    <w:rsid w:val="00241D8C"/>
    <w:rsid w:val="00241EBC"/>
    <w:rsid w:val="0024201D"/>
    <w:rsid w:val="00242058"/>
    <w:rsid w:val="002420C0"/>
    <w:rsid w:val="0024217F"/>
    <w:rsid w:val="002421E4"/>
    <w:rsid w:val="002421FE"/>
    <w:rsid w:val="00242228"/>
    <w:rsid w:val="00242282"/>
    <w:rsid w:val="00242457"/>
    <w:rsid w:val="002424AE"/>
    <w:rsid w:val="00242520"/>
    <w:rsid w:val="00242802"/>
    <w:rsid w:val="00242819"/>
    <w:rsid w:val="00242ACD"/>
    <w:rsid w:val="00242AFE"/>
    <w:rsid w:val="00242C07"/>
    <w:rsid w:val="00242CAE"/>
    <w:rsid w:val="00242D85"/>
    <w:rsid w:val="00242DA3"/>
    <w:rsid w:val="00242E96"/>
    <w:rsid w:val="00242F55"/>
    <w:rsid w:val="00243087"/>
    <w:rsid w:val="002430D1"/>
    <w:rsid w:val="00243331"/>
    <w:rsid w:val="0024336C"/>
    <w:rsid w:val="002433B9"/>
    <w:rsid w:val="002433F7"/>
    <w:rsid w:val="002434EE"/>
    <w:rsid w:val="0024359C"/>
    <w:rsid w:val="002435C0"/>
    <w:rsid w:val="00243647"/>
    <w:rsid w:val="00243669"/>
    <w:rsid w:val="00243782"/>
    <w:rsid w:val="002439DC"/>
    <w:rsid w:val="002439EA"/>
    <w:rsid w:val="00243B5F"/>
    <w:rsid w:val="00243C4F"/>
    <w:rsid w:val="00243C5E"/>
    <w:rsid w:val="00243D74"/>
    <w:rsid w:val="00243D97"/>
    <w:rsid w:val="00243EA4"/>
    <w:rsid w:val="00243F96"/>
    <w:rsid w:val="0024404B"/>
    <w:rsid w:val="002440B0"/>
    <w:rsid w:val="002440C6"/>
    <w:rsid w:val="002442B3"/>
    <w:rsid w:val="002442E1"/>
    <w:rsid w:val="00244354"/>
    <w:rsid w:val="002444A5"/>
    <w:rsid w:val="002446B7"/>
    <w:rsid w:val="0024479C"/>
    <w:rsid w:val="0024485A"/>
    <w:rsid w:val="002448F4"/>
    <w:rsid w:val="00244AAC"/>
    <w:rsid w:val="00244BB7"/>
    <w:rsid w:val="00244BDB"/>
    <w:rsid w:val="00244CFB"/>
    <w:rsid w:val="00244D71"/>
    <w:rsid w:val="00244DAC"/>
    <w:rsid w:val="00244DCC"/>
    <w:rsid w:val="00244DDC"/>
    <w:rsid w:val="00244E15"/>
    <w:rsid w:val="00244E8A"/>
    <w:rsid w:val="0024501B"/>
    <w:rsid w:val="0024505E"/>
    <w:rsid w:val="00245153"/>
    <w:rsid w:val="002452D2"/>
    <w:rsid w:val="00245539"/>
    <w:rsid w:val="00245598"/>
    <w:rsid w:val="002455C4"/>
    <w:rsid w:val="002455E6"/>
    <w:rsid w:val="0024562F"/>
    <w:rsid w:val="0024584A"/>
    <w:rsid w:val="00245894"/>
    <w:rsid w:val="002458DF"/>
    <w:rsid w:val="00245932"/>
    <w:rsid w:val="0024596F"/>
    <w:rsid w:val="002459EF"/>
    <w:rsid w:val="00245A79"/>
    <w:rsid w:val="00245CF4"/>
    <w:rsid w:val="00245DCA"/>
    <w:rsid w:val="00245E1D"/>
    <w:rsid w:val="002460BA"/>
    <w:rsid w:val="002460FF"/>
    <w:rsid w:val="00246157"/>
    <w:rsid w:val="002461BE"/>
    <w:rsid w:val="00246306"/>
    <w:rsid w:val="00246377"/>
    <w:rsid w:val="002463BA"/>
    <w:rsid w:val="00246468"/>
    <w:rsid w:val="0024648B"/>
    <w:rsid w:val="002464CF"/>
    <w:rsid w:val="002464DB"/>
    <w:rsid w:val="002465EA"/>
    <w:rsid w:val="0024664A"/>
    <w:rsid w:val="0024669F"/>
    <w:rsid w:val="002466BC"/>
    <w:rsid w:val="00246744"/>
    <w:rsid w:val="0024681B"/>
    <w:rsid w:val="00246849"/>
    <w:rsid w:val="002468D6"/>
    <w:rsid w:val="0024691E"/>
    <w:rsid w:val="002469A0"/>
    <w:rsid w:val="002469D4"/>
    <w:rsid w:val="00246A5C"/>
    <w:rsid w:val="00246A87"/>
    <w:rsid w:val="00246CC3"/>
    <w:rsid w:val="00246DE4"/>
    <w:rsid w:val="00246F50"/>
    <w:rsid w:val="00247058"/>
    <w:rsid w:val="002470D0"/>
    <w:rsid w:val="002470F8"/>
    <w:rsid w:val="0024715A"/>
    <w:rsid w:val="00247239"/>
    <w:rsid w:val="00247394"/>
    <w:rsid w:val="00247483"/>
    <w:rsid w:val="0024767F"/>
    <w:rsid w:val="002476E5"/>
    <w:rsid w:val="00247708"/>
    <w:rsid w:val="00247760"/>
    <w:rsid w:val="002477BA"/>
    <w:rsid w:val="002477C0"/>
    <w:rsid w:val="002477FC"/>
    <w:rsid w:val="0024785B"/>
    <w:rsid w:val="0024785E"/>
    <w:rsid w:val="00247873"/>
    <w:rsid w:val="0024787E"/>
    <w:rsid w:val="0024795E"/>
    <w:rsid w:val="00247B3E"/>
    <w:rsid w:val="00247BB1"/>
    <w:rsid w:val="00247C0B"/>
    <w:rsid w:val="00247C76"/>
    <w:rsid w:val="00247E15"/>
    <w:rsid w:val="00247F61"/>
    <w:rsid w:val="00247FC3"/>
    <w:rsid w:val="00247FE8"/>
    <w:rsid w:val="0025009B"/>
    <w:rsid w:val="002500FA"/>
    <w:rsid w:val="0025015A"/>
    <w:rsid w:val="00250201"/>
    <w:rsid w:val="002502EE"/>
    <w:rsid w:val="002503FA"/>
    <w:rsid w:val="00250697"/>
    <w:rsid w:val="002506E6"/>
    <w:rsid w:val="00250758"/>
    <w:rsid w:val="00250769"/>
    <w:rsid w:val="002507CF"/>
    <w:rsid w:val="002507EE"/>
    <w:rsid w:val="0025089E"/>
    <w:rsid w:val="00250932"/>
    <w:rsid w:val="00250A24"/>
    <w:rsid w:val="00250C22"/>
    <w:rsid w:val="00250C82"/>
    <w:rsid w:val="00250DB5"/>
    <w:rsid w:val="00250DCC"/>
    <w:rsid w:val="00250DE8"/>
    <w:rsid w:val="00250E74"/>
    <w:rsid w:val="00250E90"/>
    <w:rsid w:val="00250F22"/>
    <w:rsid w:val="0025104C"/>
    <w:rsid w:val="00251225"/>
    <w:rsid w:val="00251466"/>
    <w:rsid w:val="00251476"/>
    <w:rsid w:val="002514EF"/>
    <w:rsid w:val="002514FB"/>
    <w:rsid w:val="0025150C"/>
    <w:rsid w:val="00251579"/>
    <w:rsid w:val="002515AC"/>
    <w:rsid w:val="002515E3"/>
    <w:rsid w:val="0025169C"/>
    <w:rsid w:val="00251778"/>
    <w:rsid w:val="002517E1"/>
    <w:rsid w:val="0025184E"/>
    <w:rsid w:val="002518E3"/>
    <w:rsid w:val="00251970"/>
    <w:rsid w:val="00251A9B"/>
    <w:rsid w:val="00251BEB"/>
    <w:rsid w:val="00251C53"/>
    <w:rsid w:val="00251D17"/>
    <w:rsid w:val="00251DE0"/>
    <w:rsid w:val="00251F40"/>
    <w:rsid w:val="00251FAB"/>
    <w:rsid w:val="00252104"/>
    <w:rsid w:val="0025211B"/>
    <w:rsid w:val="0025216A"/>
    <w:rsid w:val="0025234D"/>
    <w:rsid w:val="00252536"/>
    <w:rsid w:val="0025253E"/>
    <w:rsid w:val="00252850"/>
    <w:rsid w:val="002528FF"/>
    <w:rsid w:val="002529A7"/>
    <w:rsid w:val="00252AAB"/>
    <w:rsid w:val="00252AEA"/>
    <w:rsid w:val="00252B98"/>
    <w:rsid w:val="00252B9E"/>
    <w:rsid w:val="00252BB4"/>
    <w:rsid w:val="00253112"/>
    <w:rsid w:val="00253145"/>
    <w:rsid w:val="002532E6"/>
    <w:rsid w:val="00253309"/>
    <w:rsid w:val="00253311"/>
    <w:rsid w:val="00253426"/>
    <w:rsid w:val="00253553"/>
    <w:rsid w:val="002536AF"/>
    <w:rsid w:val="00253771"/>
    <w:rsid w:val="002537EC"/>
    <w:rsid w:val="00253857"/>
    <w:rsid w:val="0025389D"/>
    <w:rsid w:val="002538A6"/>
    <w:rsid w:val="00253980"/>
    <w:rsid w:val="00253A61"/>
    <w:rsid w:val="00253A7E"/>
    <w:rsid w:val="00253AAE"/>
    <w:rsid w:val="00253AB3"/>
    <w:rsid w:val="00253BF7"/>
    <w:rsid w:val="00253CFB"/>
    <w:rsid w:val="00253DE3"/>
    <w:rsid w:val="00253E80"/>
    <w:rsid w:val="00253EF9"/>
    <w:rsid w:val="00253F25"/>
    <w:rsid w:val="00253F7A"/>
    <w:rsid w:val="00253FBF"/>
    <w:rsid w:val="00254092"/>
    <w:rsid w:val="00254155"/>
    <w:rsid w:val="0025419D"/>
    <w:rsid w:val="002541F1"/>
    <w:rsid w:val="00254279"/>
    <w:rsid w:val="002542D0"/>
    <w:rsid w:val="0025435E"/>
    <w:rsid w:val="0025450C"/>
    <w:rsid w:val="00254556"/>
    <w:rsid w:val="0025463A"/>
    <w:rsid w:val="00254668"/>
    <w:rsid w:val="0025471E"/>
    <w:rsid w:val="002547CD"/>
    <w:rsid w:val="00254813"/>
    <w:rsid w:val="00254885"/>
    <w:rsid w:val="002548DF"/>
    <w:rsid w:val="002548FD"/>
    <w:rsid w:val="00254B5E"/>
    <w:rsid w:val="00254B9B"/>
    <w:rsid w:val="00254C6B"/>
    <w:rsid w:val="00254D06"/>
    <w:rsid w:val="00254D2D"/>
    <w:rsid w:val="00254E46"/>
    <w:rsid w:val="00254EF3"/>
    <w:rsid w:val="00254F33"/>
    <w:rsid w:val="00254F38"/>
    <w:rsid w:val="00255113"/>
    <w:rsid w:val="00255181"/>
    <w:rsid w:val="002551A9"/>
    <w:rsid w:val="002552D8"/>
    <w:rsid w:val="002552FA"/>
    <w:rsid w:val="0025545C"/>
    <w:rsid w:val="002554DC"/>
    <w:rsid w:val="002557F0"/>
    <w:rsid w:val="002558AC"/>
    <w:rsid w:val="002558CB"/>
    <w:rsid w:val="002558E6"/>
    <w:rsid w:val="0025599D"/>
    <w:rsid w:val="00255C1B"/>
    <w:rsid w:val="00255D75"/>
    <w:rsid w:val="00255ED5"/>
    <w:rsid w:val="002561AE"/>
    <w:rsid w:val="00256212"/>
    <w:rsid w:val="00256260"/>
    <w:rsid w:val="002562C0"/>
    <w:rsid w:val="0025637A"/>
    <w:rsid w:val="00256432"/>
    <w:rsid w:val="002564A8"/>
    <w:rsid w:val="00256537"/>
    <w:rsid w:val="002565A4"/>
    <w:rsid w:val="002565CB"/>
    <w:rsid w:val="002565CE"/>
    <w:rsid w:val="00256660"/>
    <w:rsid w:val="00256733"/>
    <w:rsid w:val="0025679B"/>
    <w:rsid w:val="0025689E"/>
    <w:rsid w:val="00256CB6"/>
    <w:rsid w:val="00256CD6"/>
    <w:rsid w:val="00256CEE"/>
    <w:rsid w:val="00256DEB"/>
    <w:rsid w:val="00256DFE"/>
    <w:rsid w:val="00256EBA"/>
    <w:rsid w:val="00256FB5"/>
    <w:rsid w:val="00257139"/>
    <w:rsid w:val="0025714B"/>
    <w:rsid w:val="00257460"/>
    <w:rsid w:val="0025748D"/>
    <w:rsid w:val="0025753F"/>
    <w:rsid w:val="0025759B"/>
    <w:rsid w:val="00257647"/>
    <w:rsid w:val="00257822"/>
    <w:rsid w:val="002578C5"/>
    <w:rsid w:val="00257A68"/>
    <w:rsid w:val="00257B3C"/>
    <w:rsid w:val="00257C4A"/>
    <w:rsid w:val="00257C67"/>
    <w:rsid w:val="00257D18"/>
    <w:rsid w:val="00257D62"/>
    <w:rsid w:val="00257F47"/>
    <w:rsid w:val="00260128"/>
    <w:rsid w:val="00260158"/>
    <w:rsid w:val="00260174"/>
    <w:rsid w:val="00260186"/>
    <w:rsid w:val="002601BE"/>
    <w:rsid w:val="002601C8"/>
    <w:rsid w:val="00260297"/>
    <w:rsid w:val="002602C4"/>
    <w:rsid w:val="002602D2"/>
    <w:rsid w:val="0026036E"/>
    <w:rsid w:val="0026038D"/>
    <w:rsid w:val="002603AA"/>
    <w:rsid w:val="0026042D"/>
    <w:rsid w:val="002604F4"/>
    <w:rsid w:val="002605B6"/>
    <w:rsid w:val="002605DE"/>
    <w:rsid w:val="002606A6"/>
    <w:rsid w:val="00260751"/>
    <w:rsid w:val="00260AE1"/>
    <w:rsid w:val="00260B4F"/>
    <w:rsid w:val="00260CEB"/>
    <w:rsid w:val="00260EFD"/>
    <w:rsid w:val="00260F4E"/>
    <w:rsid w:val="00261071"/>
    <w:rsid w:val="0026108E"/>
    <w:rsid w:val="0026109F"/>
    <w:rsid w:val="00261363"/>
    <w:rsid w:val="00261422"/>
    <w:rsid w:val="0026150D"/>
    <w:rsid w:val="00261667"/>
    <w:rsid w:val="002616E1"/>
    <w:rsid w:val="002616F1"/>
    <w:rsid w:val="0026170F"/>
    <w:rsid w:val="0026197D"/>
    <w:rsid w:val="0026199B"/>
    <w:rsid w:val="00261A34"/>
    <w:rsid w:val="00261B3D"/>
    <w:rsid w:val="00261B80"/>
    <w:rsid w:val="00261C36"/>
    <w:rsid w:val="00261D6D"/>
    <w:rsid w:val="00261DD8"/>
    <w:rsid w:val="00261DD9"/>
    <w:rsid w:val="00261E34"/>
    <w:rsid w:val="00261F29"/>
    <w:rsid w:val="00261FC2"/>
    <w:rsid w:val="002621B9"/>
    <w:rsid w:val="002622D0"/>
    <w:rsid w:val="002623EE"/>
    <w:rsid w:val="00262414"/>
    <w:rsid w:val="00262426"/>
    <w:rsid w:val="00262427"/>
    <w:rsid w:val="00262432"/>
    <w:rsid w:val="00262549"/>
    <w:rsid w:val="00262579"/>
    <w:rsid w:val="002625DA"/>
    <w:rsid w:val="0026289C"/>
    <w:rsid w:val="00262983"/>
    <w:rsid w:val="00262AED"/>
    <w:rsid w:val="00262B7A"/>
    <w:rsid w:val="00262C36"/>
    <w:rsid w:val="00262D1D"/>
    <w:rsid w:val="00262D86"/>
    <w:rsid w:val="0026307C"/>
    <w:rsid w:val="0026313B"/>
    <w:rsid w:val="00263189"/>
    <w:rsid w:val="002631B4"/>
    <w:rsid w:val="00263334"/>
    <w:rsid w:val="0026343D"/>
    <w:rsid w:val="002634E7"/>
    <w:rsid w:val="00263596"/>
    <w:rsid w:val="002635CD"/>
    <w:rsid w:val="0026371D"/>
    <w:rsid w:val="002638A8"/>
    <w:rsid w:val="002638BE"/>
    <w:rsid w:val="002638C4"/>
    <w:rsid w:val="0026393C"/>
    <w:rsid w:val="00263975"/>
    <w:rsid w:val="00263A3D"/>
    <w:rsid w:val="00263A81"/>
    <w:rsid w:val="00263D50"/>
    <w:rsid w:val="00263DB7"/>
    <w:rsid w:val="00263DFA"/>
    <w:rsid w:val="00263F59"/>
    <w:rsid w:val="00263FAE"/>
    <w:rsid w:val="00264217"/>
    <w:rsid w:val="00264360"/>
    <w:rsid w:val="002644C5"/>
    <w:rsid w:val="002644E9"/>
    <w:rsid w:val="002646EF"/>
    <w:rsid w:val="00264AA3"/>
    <w:rsid w:val="00264B7F"/>
    <w:rsid w:val="00264BDA"/>
    <w:rsid w:val="00264D54"/>
    <w:rsid w:val="00264D83"/>
    <w:rsid w:val="00264DD3"/>
    <w:rsid w:val="00264EF9"/>
    <w:rsid w:val="00264F34"/>
    <w:rsid w:val="00265062"/>
    <w:rsid w:val="0026514C"/>
    <w:rsid w:val="0026517F"/>
    <w:rsid w:val="0026527A"/>
    <w:rsid w:val="002652AD"/>
    <w:rsid w:val="00265397"/>
    <w:rsid w:val="002653C6"/>
    <w:rsid w:val="002653EF"/>
    <w:rsid w:val="0026541B"/>
    <w:rsid w:val="0026548B"/>
    <w:rsid w:val="0026551E"/>
    <w:rsid w:val="0026557D"/>
    <w:rsid w:val="002655DD"/>
    <w:rsid w:val="00265600"/>
    <w:rsid w:val="002656F7"/>
    <w:rsid w:val="002657A5"/>
    <w:rsid w:val="002657AD"/>
    <w:rsid w:val="002657C5"/>
    <w:rsid w:val="00265886"/>
    <w:rsid w:val="002658E1"/>
    <w:rsid w:val="0026593C"/>
    <w:rsid w:val="002659D5"/>
    <w:rsid w:val="00265A77"/>
    <w:rsid w:val="00265B01"/>
    <w:rsid w:val="00265C19"/>
    <w:rsid w:val="00265C9B"/>
    <w:rsid w:val="00265CC3"/>
    <w:rsid w:val="00265D7F"/>
    <w:rsid w:val="00265D8A"/>
    <w:rsid w:val="0026600F"/>
    <w:rsid w:val="00266266"/>
    <w:rsid w:val="002662F3"/>
    <w:rsid w:val="00266329"/>
    <w:rsid w:val="002665E2"/>
    <w:rsid w:val="00266611"/>
    <w:rsid w:val="0026661D"/>
    <w:rsid w:val="00266866"/>
    <w:rsid w:val="00266983"/>
    <w:rsid w:val="00266A12"/>
    <w:rsid w:val="00266A5E"/>
    <w:rsid w:val="00266A63"/>
    <w:rsid w:val="00266AC8"/>
    <w:rsid w:val="00266BF2"/>
    <w:rsid w:val="00266CC8"/>
    <w:rsid w:val="00266D1C"/>
    <w:rsid w:val="00266D57"/>
    <w:rsid w:val="00266EAD"/>
    <w:rsid w:val="00266F5D"/>
    <w:rsid w:val="002670B0"/>
    <w:rsid w:val="00267208"/>
    <w:rsid w:val="0026720E"/>
    <w:rsid w:val="00267216"/>
    <w:rsid w:val="00267231"/>
    <w:rsid w:val="0026723A"/>
    <w:rsid w:val="002672A2"/>
    <w:rsid w:val="00267300"/>
    <w:rsid w:val="002674AE"/>
    <w:rsid w:val="00267602"/>
    <w:rsid w:val="00267746"/>
    <w:rsid w:val="00267779"/>
    <w:rsid w:val="002677ED"/>
    <w:rsid w:val="00267891"/>
    <w:rsid w:val="0026791C"/>
    <w:rsid w:val="00267985"/>
    <w:rsid w:val="00267C17"/>
    <w:rsid w:val="00267CC3"/>
    <w:rsid w:val="00267E66"/>
    <w:rsid w:val="00267E7F"/>
    <w:rsid w:val="00270015"/>
    <w:rsid w:val="00270041"/>
    <w:rsid w:val="00270127"/>
    <w:rsid w:val="0027016B"/>
    <w:rsid w:val="002701F7"/>
    <w:rsid w:val="00270232"/>
    <w:rsid w:val="00270253"/>
    <w:rsid w:val="0027031C"/>
    <w:rsid w:val="002703A4"/>
    <w:rsid w:val="002703E5"/>
    <w:rsid w:val="00270419"/>
    <w:rsid w:val="00270683"/>
    <w:rsid w:val="002707D0"/>
    <w:rsid w:val="002707FC"/>
    <w:rsid w:val="00270822"/>
    <w:rsid w:val="002708F0"/>
    <w:rsid w:val="00270900"/>
    <w:rsid w:val="00270982"/>
    <w:rsid w:val="002709D2"/>
    <w:rsid w:val="00270A48"/>
    <w:rsid w:val="00270A8D"/>
    <w:rsid w:val="00270BC3"/>
    <w:rsid w:val="00270BE8"/>
    <w:rsid w:val="00270D64"/>
    <w:rsid w:val="00270E0D"/>
    <w:rsid w:val="00270E26"/>
    <w:rsid w:val="00270E94"/>
    <w:rsid w:val="00270EF5"/>
    <w:rsid w:val="002711EB"/>
    <w:rsid w:val="00271238"/>
    <w:rsid w:val="002712C6"/>
    <w:rsid w:val="0027131C"/>
    <w:rsid w:val="00271359"/>
    <w:rsid w:val="002714F4"/>
    <w:rsid w:val="00271502"/>
    <w:rsid w:val="00271617"/>
    <w:rsid w:val="00271624"/>
    <w:rsid w:val="0027168E"/>
    <w:rsid w:val="002717FD"/>
    <w:rsid w:val="00271801"/>
    <w:rsid w:val="00271813"/>
    <w:rsid w:val="00271880"/>
    <w:rsid w:val="002718F4"/>
    <w:rsid w:val="0027190F"/>
    <w:rsid w:val="0027195A"/>
    <w:rsid w:val="00271A5E"/>
    <w:rsid w:val="00271AB8"/>
    <w:rsid w:val="00271B96"/>
    <w:rsid w:val="00271BFC"/>
    <w:rsid w:val="00271D21"/>
    <w:rsid w:val="00271F01"/>
    <w:rsid w:val="00271F72"/>
    <w:rsid w:val="00271FD5"/>
    <w:rsid w:val="0027211E"/>
    <w:rsid w:val="002722A2"/>
    <w:rsid w:val="00272432"/>
    <w:rsid w:val="0027249A"/>
    <w:rsid w:val="002725AD"/>
    <w:rsid w:val="00272636"/>
    <w:rsid w:val="00272798"/>
    <w:rsid w:val="002727C4"/>
    <w:rsid w:val="002728DD"/>
    <w:rsid w:val="002729B3"/>
    <w:rsid w:val="00272EDD"/>
    <w:rsid w:val="00273021"/>
    <w:rsid w:val="0027309C"/>
    <w:rsid w:val="00273164"/>
    <w:rsid w:val="00273283"/>
    <w:rsid w:val="002732A3"/>
    <w:rsid w:val="002735B6"/>
    <w:rsid w:val="00273608"/>
    <w:rsid w:val="0027360B"/>
    <w:rsid w:val="002736EF"/>
    <w:rsid w:val="0027370D"/>
    <w:rsid w:val="00273728"/>
    <w:rsid w:val="002737FC"/>
    <w:rsid w:val="002738BD"/>
    <w:rsid w:val="002739DE"/>
    <w:rsid w:val="00273A0D"/>
    <w:rsid w:val="00273ABD"/>
    <w:rsid w:val="00273AF4"/>
    <w:rsid w:val="00273D29"/>
    <w:rsid w:val="00273D6A"/>
    <w:rsid w:val="00273E05"/>
    <w:rsid w:val="00273E83"/>
    <w:rsid w:val="00273F5C"/>
    <w:rsid w:val="00273FCF"/>
    <w:rsid w:val="002741C4"/>
    <w:rsid w:val="0027421A"/>
    <w:rsid w:val="00274314"/>
    <w:rsid w:val="0027431F"/>
    <w:rsid w:val="0027439C"/>
    <w:rsid w:val="0027443B"/>
    <w:rsid w:val="0027444F"/>
    <w:rsid w:val="00274505"/>
    <w:rsid w:val="00274522"/>
    <w:rsid w:val="0027458B"/>
    <w:rsid w:val="002746C6"/>
    <w:rsid w:val="002748DA"/>
    <w:rsid w:val="00274AA3"/>
    <w:rsid w:val="00274B2E"/>
    <w:rsid w:val="00274C6B"/>
    <w:rsid w:val="00274E45"/>
    <w:rsid w:val="002750EA"/>
    <w:rsid w:val="002752A7"/>
    <w:rsid w:val="002753B3"/>
    <w:rsid w:val="002753F2"/>
    <w:rsid w:val="00275507"/>
    <w:rsid w:val="0027564E"/>
    <w:rsid w:val="00275668"/>
    <w:rsid w:val="0027579E"/>
    <w:rsid w:val="00275ABE"/>
    <w:rsid w:val="00275B4C"/>
    <w:rsid w:val="00275BBA"/>
    <w:rsid w:val="00275BC3"/>
    <w:rsid w:val="00275DFC"/>
    <w:rsid w:val="00275E41"/>
    <w:rsid w:val="00275E75"/>
    <w:rsid w:val="00276047"/>
    <w:rsid w:val="002760DC"/>
    <w:rsid w:val="00276104"/>
    <w:rsid w:val="0027610F"/>
    <w:rsid w:val="0027621A"/>
    <w:rsid w:val="0027626E"/>
    <w:rsid w:val="002763A6"/>
    <w:rsid w:val="002765D9"/>
    <w:rsid w:val="00276736"/>
    <w:rsid w:val="002767D9"/>
    <w:rsid w:val="00276885"/>
    <w:rsid w:val="00276916"/>
    <w:rsid w:val="00276930"/>
    <w:rsid w:val="00276986"/>
    <w:rsid w:val="00276A9E"/>
    <w:rsid w:val="00276C55"/>
    <w:rsid w:val="00276CA8"/>
    <w:rsid w:val="00276D0A"/>
    <w:rsid w:val="00276D5A"/>
    <w:rsid w:val="00276D77"/>
    <w:rsid w:val="00276D7D"/>
    <w:rsid w:val="00276D93"/>
    <w:rsid w:val="00276D94"/>
    <w:rsid w:val="00276E1A"/>
    <w:rsid w:val="00276E78"/>
    <w:rsid w:val="00276FDB"/>
    <w:rsid w:val="00277098"/>
    <w:rsid w:val="002770A5"/>
    <w:rsid w:val="0027713A"/>
    <w:rsid w:val="00277408"/>
    <w:rsid w:val="002774B9"/>
    <w:rsid w:val="002775EA"/>
    <w:rsid w:val="00277659"/>
    <w:rsid w:val="002776E7"/>
    <w:rsid w:val="00277747"/>
    <w:rsid w:val="00277852"/>
    <w:rsid w:val="00277968"/>
    <w:rsid w:val="00277AC0"/>
    <w:rsid w:val="00277BA9"/>
    <w:rsid w:val="00277BE1"/>
    <w:rsid w:val="00277C37"/>
    <w:rsid w:val="00277C62"/>
    <w:rsid w:val="00277CA5"/>
    <w:rsid w:val="00277D1E"/>
    <w:rsid w:val="00277D4E"/>
    <w:rsid w:val="00277D7B"/>
    <w:rsid w:val="00277DEB"/>
    <w:rsid w:val="00277E84"/>
    <w:rsid w:val="00277EDE"/>
    <w:rsid w:val="00277F0D"/>
    <w:rsid w:val="002800F4"/>
    <w:rsid w:val="0028020D"/>
    <w:rsid w:val="0028022D"/>
    <w:rsid w:val="002803B7"/>
    <w:rsid w:val="002803C6"/>
    <w:rsid w:val="00280514"/>
    <w:rsid w:val="002805E1"/>
    <w:rsid w:val="00280613"/>
    <w:rsid w:val="002807F2"/>
    <w:rsid w:val="00280B55"/>
    <w:rsid w:val="00280CB1"/>
    <w:rsid w:val="00280E8A"/>
    <w:rsid w:val="00280EBE"/>
    <w:rsid w:val="00280F4A"/>
    <w:rsid w:val="0028124C"/>
    <w:rsid w:val="00281286"/>
    <w:rsid w:val="002812E2"/>
    <w:rsid w:val="00281492"/>
    <w:rsid w:val="0028151C"/>
    <w:rsid w:val="00281561"/>
    <w:rsid w:val="002815B6"/>
    <w:rsid w:val="00281771"/>
    <w:rsid w:val="0028183B"/>
    <w:rsid w:val="002818A9"/>
    <w:rsid w:val="002818E6"/>
    <w:rsid w:val="00281A8A"/>
    <w:rsid w:val="00281AE9"/>
    <w:rsid w:val="00281B35"/>
    <w:rsid w:val="00281C24"/>
    <w:rsid w:val="00281CA7"/>
    <w:rsid w:val="00281E86"/>
    <w:rsid w:val="00281E9B"/>
    <w:rsid w:val="00281EA5"/>
    <w:rsid w:val="00281EED"/>
    <w:rsid w:val="00281F06"/>
    <w:rsid w:val="00282047"/>
    <w:rsid w:val="00282122"/>
    <w:rsid w:val="002821EB"/>
    <w:rsid w:val="0028224E"/>
    <w:rsid w:val="002823E1"/>
    <w:rsid w:val="00282448"/>
    <w:rsid w:val="00282667"/>
    <w:rsid w:val="0028267B"/>
    <w:rsid w:val="002827FA"/>
    <w:rsid w:val="0028289F"/>
    <w:rsid w:val="00282A72"/>
    <w:rsid w:val="00282C75"/>
    <w:rsid w:val="00282CBC"/>
    <w:rsid w:val="00282D07"/>
    <w:rsid w:val="00282D19"/>
    <w:rsid w:val="00282DE8"/>
    <w:rsid w:val="00282F7A"/>
    <w:rsid w:val="002830B8"/>
    <w:rsid w:val="002831C7"/>
    <w:rsid w:val="002833F9"/>
    <w:rsid w:val="0028345C"/>
    <w:rsid w:val="00283498"/>
    <w:rsid w:val="002834D4"/>
    <w:rsid w:val="00283592"/>
    <w:rsid w:val="002836D9"/>
    <w:rsid w:val="00283790"/>
    <w:rsid w:val="002837F7"/>
    <w:rsid w:val="00283983"/>
    <w:rsid w:val="00283A5E"/>
    <w:rsid w:val="00283A6F"/>
    <w:rsid w:val="00283A78"/>
    <w:rsid w:val="00283B89"/>
    <w:rsid w:val="00283C2E"/>
    <w:rsid w:val="00283DB5"/>
    <w:rsid w:val="00283FDA"/>
    <w:rsid w:val="00284216"/>
    <w:rsid w:val="00284367"/>
    <w:rsid w:val="00284411"/>
    <w:rsid w:val="00284454"/>
    <w:rsid w:val="00284629"/>
    <w:rsid w:val="00284896"/>
    <w:rsid w:val="002848D2"/>
    <w:rsid w:val="00284901"/>
    <w:rsid w:val="00284A4B"/>
    <w:rsid w:val="00284B2D"/>
    <w:rsid w:val="00284B56"/>
    <w:rsid w:val="00284F38"/>
    <w:rsid w:val="0028500E"/>
    <w:rsid w:val="00285103"/>
    <w:rsid w:val="0028516E"/>
    <w:rsid w:val="002852A6"/>
    <w:rsid w:val="00285325"/>
    <w:rsid w:val="00285413"/>
    <w:rsid w:val="00285421"/>
    <w:rsid w:val="00285435"/>
    <w:rsid w:val="00285457"/>
    <w:rsid w:val="002856BD"/>
    <w:rsid w:val="002856EC"/>
    <w:rsid w:val="00285803"/>
    <w:rsid w:val="0028585D"/>
    <w:rsid w:val="002858A6"/>
    <w:rsid w:val="002858C3"/>
    <w:rsid w:val="002859E1"/>
    <w:rsid w:val="002859EF"/>
    <w:rsid w:val="00285B4C"/>
    <w:rsid w:val="00285C6A"/>
    <w:rsid w:val="00285D87"/>
    <w:rsid w:val="00285FA5"/>
    <w:rsid w:val="002860F7"/>
    <w:rsid w:val="0028636B"/>
    <w:rsid w:val="002864CB"/>
    <w:rsid w:val="002864D2"/>
    <w:rsid w:val="002864E0"/>
    <w:rsid w:val="00286638"/>
    <w:rsid w:val="002866EE"/>
    <w:rsid w:val="00286700"/>
    <w:rsid w:val="00286791"/>
    <w:rsid w:val="002867CB"/>
    <w:rsid w:val="002868CD"/>
    <w:rsid w:val="00286A16"/>
    <w:rsid w:val="00286B44"/>
    <w:rsid w:val="00286C8F"/>
    <w:rsid w:val="00286CB1"/>
    <w:rsid w:val="00286D3A"/>
    <w:rsid w:val="00286E23"/>
    <w:rsid w:val="00287073"/>
    <w:rsid w:val="00287186"/>
    <w:rsid w:val="002872CE"/>
    <w:rsid w:val="002873AB"/>
    <w:rsid w:val="002873BF"/>
    <w:rsid w:val="00287401"/>
    <w:rsid w:val="00287573"/>
    <w:rsid w:val="002875FA"/>
    <w:rsid w:val="00287A95"/>
    <w:rsid w:val="00287B12"/>
    <w:rsid w:val="00287B21"/>
    <w:rsid w:val="00287C6F"/>
    <w:rsid w:val="00287DF6"/>
    <w:rsid w:val="00287E35"/>
    <w:rsid w:val="00287E68"/>
    <w:rsid w:val="00287EB1"/>
    <w:rsid w:val="00290032"/>
    <w:rsid w:val="00290103"/>
    <w:rsid w:val="00290519"/>
    <w:rsid w:val="002905BE"/>
    <w:rsid w:val="0029067E"/>
    <w:rsid w:val="002906A5"/>
    <w:rsid w:val="002906B1"/>
    <w:rsid w:val="00290745"/>
    <w:rsid w:val="00290826"/>
    <w:rsid w:val="0029091C"/>
    <w:rsid w:val="0029093D"/>
    <w:rsid w:val="002909AA"/>
    <w:rsid w:val="00290A80"/>
    <w:rsid w:val="00290AC9"/>
    <w:rsid w:val="00290BB4"/>
    <w:rsid w:val="00290DD7"/>
    <w:rsid w:val="00290E3E"/>
    <w:rsid w:val="00290EE5"/>
    <w:rsid w:val="0029119E"/>
    <w:rsid w:val="002911A9"/>
    <w:rsid w:val="002911E8"/>
    <w:rsid w:val="002912F6"/>
    <w:rsid w:val="002913F1"/>
    <w:rsid w:val="00291403"/>
    <w:rsid w:val="00291524"/>
    <w:rsid w:val="00291760"/>
    <w:rsid w:val="00291911"/>
    <w:rsid w:val="00291A8E"/>
    <w:rsid w:val="00291D34"/>
    <w:rsid w:val="00291F1A"/>
    <w:rsid w:val="00291FC0"/>
    <w:rsid w:val="002920E3"/>
    <w:rsid w:val="00292152"/>
    <w:rsid w:val="00292173"/>
    <w:rsid w:val="002921A7"/>
    <w:rsid w:val="002922B3"/>
    <w:rsid w:val="002922DB"/>
    <w:rsid w:val="0029246A"/>
    <w:rsid w:val="00292485"/>
    <w:rsid w:val="002927D3"/>
    <w:rsid w:val="002927F4"/>
    <w:rsid w:val="00292846"/>
    <w:rsid w:val="00292968"/>
    <w:rsid w:val="00292985"/>
    <w:rsid w:val="002929F7"/>
    <w:rsid w:val="00292A7E"/>
    <w:rsid w:val="00292B22"/>
    <w:rsid w:val="00292B34"/>
    <w:rsid w:val="00292C01"/>
    <w:rsid w:val="00292D60"/>
    <w:rsid w:val="00292D61"/>
    <w:rsid w:val="00292F1C"/>
    <w:rsid w:val="00293040"/>
    <w:rsid w:val="00293202"/>
    <w:rsid w:val="00293219"/>
    <w:rsid w:val="002933AC"/>
    <w:rsid w:val="002934FE"/>
    <w:rsid w:val="002935D5"/>
    <w:rsid w:val="002936E2"/>
    <w:rsid w:val="00293797"/>
    <w:rsid w:val="00293805"/>
    <w:rsid w:val="00293923"/>
    <w:rsid w:val="002939B7"/>
    <w:rsid w:val="00293C92"/>
    <w:rsid w:val="00293CF3"/>
    <w:rsid w:val="00293E21"/>
    <w:rsid w:val="00294119"/>
    <w:rsid w:val="0029440D"/>
    <w:rsid w:val="0029450F"/>
    <w:rsid w:val="002945AD"/>
    <w:rsid w:val="002945F5"/>
    <w:rsid w:val="002946D9"/>
    <w:rsid w:val="00294704"/>
    <w:rsid w:val="00294781"/>
    <w:rsid w:val="00294853"/>
    <w:rsid w:val="00294894"/>
    <w:rsid w:val="002948E1"/>
    <w:rsid w:val="00294AFB"/>
    <w:rsid w:val="00294C83"/>
    <w:rsid w:val="00294DBD"/>
    <w:rsid w:val="00294ECA"/>
    <w:rsid w:val="00294F22"/>
    <w:rsid w:val="00294F2E"/>
    <w:rsid w:val="00294F33"/>
    <w:rsid w:val="00294F85"/>
    <w:rsid w:val="00294FD5"/>
    <w:rsid w:val="002951E5"/>
    <w:rsid w:val="0029521B"/>
    <w:rsid w:val="00295294"/>
    <w:rsid w:val="002953F9"/>
    <w:rsid w:val="0029563F"/>
    <w:rsid w:val="00295700"/>
    <w:rsid w:val="00295868"/>
    <w:rsid w:val="00295906"/>
    <w:rsid w:val="002959CD"/>
    <w:rsid w:val="00295A3B"/>
    <w:rsid w:val="00295A88"/>
    <w:rsid w:val="00295AD7"/>
    <w:rsid w:val="00295B72"/>
    <w:rsid w:val="00295C71"/>
    <w:rsid w:val="00295CE6"/>
    <w:rsid w:val="00295EA9"/>
    <w:rsid w:val="00295F18"/>
    <w:rsid w:val="00295F55"/>
    <w:rsid w:val="002960BC"/>
    <w:rsid w:val="002960CD"/>
    <w:rsid w:val="00296118"/>
    <w:rsid w:val="00296209"/>
    <w:rsid w:val="0029625E"/>
    <w:rsid w:val="00296357"/>
    <w:rsid w:val="002964C7"/>
    <w:rsid w:val="002965DF"/>
    <w:rsid w:val="00296652"/>
    <w:rsid w:val="00296663"/>
    <w:rsid w:val="00296883"/>
    <w:rsid w:val="00296CF8"/>
    <w:rsid w:val="00296E8F"/>
    <w:rsid w:val="00296FDB"/>
    <w:rsid w:val="0029700F"/>
    <w:rsid w:val="002970C3"/>
    <w:rsid w:val="00297172"/>
    <w:rsid w:val="002973E0"/>
    <w:rsid w:val="0029745F"/>
    <w:rsid w:val="00297481"/>
    <w:rsid w:val="00297617"/>
    <w:rsid w:val="00297665"/>
    <w:rsid w:val="00297667"/>
    <w:rsid w:val="0029773F"/>
    <w:rsid w:val="00297790"/>
    <w:rsid w:val="002977BC"/>
    <w:rsid w:val="00297871"/>
    <w:rsid w:val="00297A56"/>
    <w:rsid w:val="00297A8D"/>
    <w:rsid w:val="00297ABD"/>
    <w:rsid w:val="00297ACA"/>
    <w:rsid w:val="00297B90"/>
    <w:rsid w:val="00297BD0"/>
    <w:rsid w:val="00297C61"/>
    <w:rsid w:val="00297D2D"/>
    <w:rsid w:val="00297DC4"/>
    <w:rsid w:val="00297DE7"/>
    <w:rsid w:val="002A0083"/>
    <w:rsid w:val="002A026E"/>
    <w:rsid w:val="002A03A6"/>
    <w:rsid w:val="002A04BD"/>
    <w:rsid w:val="002A0663"/>
    <w:rsid w:val="002A0711"/>
    <w:rsid w:val="002A0713"/>
    <w:rsid w:val="002A0723"/>
    <w:rsid w:val="002A077B"/>
    <w:rsid w:val="002A08EC"/>
    <w:rsid w:val="002A091C"/>
    <w:rsid w:val="002A09D2"/>
    <w:rsid w:val="002A0A5C"/>
    <w:rsid w:val="002A0DED"/>
    <w:rsid w:val="002A0DF9"/>
    <w:rsid w:val="002A0E65"/>
    <w:rsid w:val="002A0FB9"/>
    <w:rsid w:val="002A1225"/>
    <w:rsid w:val="002A1275"/>
    <w:rsid w:val="002A1440"/>
    <w:rsid w:val="002A14B5"/>
    <w:rsid w:val="002A14BF"/>
    <w:rsid w:val="002A1507"/>
    <w:rsid w:val="002A150A"/>
    <w:rsid w:val="002A1907"/>
    <w:rsid w:val="002A1995"/>
    <w:rsid w:val="002A1AA8"/>
    <w:rsid w:val="002A1B85"/>
    <w:rsid w:val="002A1BC9"/>
    <w:rsid w:val="002A1C0E"/>
    <w:rsid w:val="002A1C77"/>
    <w:rsid w:val="002A1CCB"/>
    <w:rsid w:val="002A1E9F"/>
    <w:rsid w:val="002A2125"/>
    <w:rsid w:val="002A2127"/>
    <w:rsid w:val="002A21AB"/>
    <w:rsid w:val="002A22F8"/>
    <w:rsid w:val="002A23B2"/>
    <w:rsid w:val="002A2449"/>
    <w:rsid w:val="002A25AD"/>
    <w:rsid w:val="002A270C"/>
    <w:rsid w:val="002A2847"/>
    <w:rsid w:val="002A29BA"/>
    <w:rsid w:val="002A2A94"/>
    <w:rsid w:val="002A2B55"/>
    <w:rsid w:val="002A2CA3"/>
    <w:rsid w:val="002A2D9D"/>
    <w:rsid w:val="002A2E0B"/>
    <w:rsid w:val="002A2E58"/>
    <w:rsid w:val="002A2F11"/>
    <w:rsid w:val="002A2F65"/>
    <w:rsid w:val="002A30F2"/>
    <w:rsid w:val="002A33A8"/>
    <w:rsid w:val="002A33D5"/>
    <w:rsid w:val="002A3590"/>
    <w:rsid w:val="002A368B"/>
    <w:rsid w:val="002A379B"/>
    <w:rsid w:val="002A3809"/>
    <w:rsid w:val="002A383F"/>
    <w:rsid w:val="002A3B1C"/>
    <w:rsid w:val="002A3B3F"/>
    <w:rsid w:val="002A3B68"/>
    <w:rsid w:val="002A3BE5"/>
    <w:rsid w:val="002A3BF9"/>
    <w:rsid w:val="002A3C8A"/>
    <w:rsid w:val="002A3CCF"/>
    <w:rsid w:val="002A3CF2"/>
    <w:rsid w:val="002A3D95"/>
    <w:rsid w:val="002A3EA3"/>
    <w:rsid w:val="002A4143"/>
    <w:rsid w:val="002A424C"/>
    <w:rsid w:val="002A4330"/>
    <w:rsid w:val="002A4350"/>
    <w:rsid w:val="002A43B5"/>
    <w:rsid w:val="002A443F"/>
    <w:rsid w:val="002A4442"/>
    <w:rsid w:val="002A4481"/>
    <w:rsid w:val="002A4521"/>
    <w:rsid w:val="002A4556"/>
    <w:rsid w:val="002A45F7"/>
    <w:rsid w:val="002A4D68"/>
    <w:rsid w:val="002A4DB6"/>
    <w:rsid w:val="002A4E57"/>
    <w:rsid w:val="002A4F1D"/>
    <w:rsid w:val="002A4F3F"/>
    <w:rsid w:val="002A4F70"/>
    <w:rsid w:val="002A4F84"/>
    <w:rsid w:val="002A50DB"/>
    <w:rsid w:val="002A5274"/>
    <w:rsid w:val="002A534F"/>
    <w:rsid w:val="002A5353"/>
    <w:rsid w:val="002A539D"/>
    <w:rsid w:val="002A5441"/>
    <w:rsid w:val="002A5445"/>
    <w:rsid w:val="002A546A"/>
    <w:rsid w:val="002A55A2"/>
    <w:rsid w:val="002A570D"/>
    <w:rsid w:val="002A5710"/>
    <w:rsid w:val="002A5C07"/>
    <w:rsid w:val="002A5D17"/>
    <w:rsid w:val="002A5D78"/>
    <w:rsid w:val="002A5EB3"/>
    <w:rsid w:val="002A5EC1"/>
    <w:rsid w:val="002A60BF"/>
    <w:rsid w:val="002A6103"/>
    <w:rsid w:val="002A615A"/>
    <w:rsid w:val="002A6162"/>
    <w:rsid w:val="002A62AF"/>
    <w:rsid w:val="002A6401"/>
    <w:rsid w:val="002A653E"/>
    <w:rsid w:val="002A65D6"/>
    <w:rsid w:val="002A6613"/>
    <w:rsid w:val="002A66D3"/>
    <w:rsid w:val="002A66F6"/>
    <w:rsid w:val="002A6701"/>
    <w:rsid w:val="002A674F"/>
    <w:rsid w:val="002A6AA7"/>
    <w:rsid w:val="002A6ABA"/>
    <w:rsid w:val="002A6B17"/>
    <w:rsid w:val="002A6BC1"/>
    <w:rsid w:val="002A6BD9"/>
    <w:rsid w:val="002A6BFB"/>
    <w:rsid w:val="002A6C5F"/>
    <w:rsid w:val="002A6D18"/>
    <w:rsid w:val="002A6D42"/>
    <w:rsid w:val="002A6D65"/>
    <w:rsid w:val="002A6DC1"/>
    <w:rsid w:val="002A6FB3"/>
    <w:rsid w:val="002A7179"/>
    <w:rsid w:val="002A723E"/>
    <w:rsid w:val="002A72A8"/>
    <w:rsid w:val="002A74AD"/>
    <w:rsid w:val="002A74C2"/>
    <w:rsid w:val="002A7570"/>
    <w:rsid w:val="002A763C"/>
    <w:rsid w:val="002A7699"/>
    <w:rsid w:val="002A7710"/>
    <w:rsid w:val="002A7758"/>
    <w:rsid w:val="002A77A1"/>
    <w:rsid w:val="002A7880"/>
    <w:rsid w:val="002A7894"/>
    <w:rsid w:val="002A7900"/>
    <w:rsid w:val="002A7950"/>
    <w:rsid w:val="002A7A97"/>
    <w:rsid w:val="002A7C4F"/>
    <w:rsid w:val="002A7D4E"/>
    <w:rsid w:val="002A7D99"/>
    <w:rsid w:val="002A7D9D"/>
    <w:rsid w:val="002A7DCB"/>
    <w:rsid w:val="002A7E9A"/>
    <w:rsid w:val="002A7F90"/>
    <w:rsid w:val="002B0023"/>
    <w:rsid w:val="002B00AF"/>
    <w:rsid w:val="002B0162"/>
    <w:rsid w:val="002B01F6"/>
    <w:rsid w:val="002B0319"/>
    <w:rsid w:val="002B034E"/>
    <w:rsid w:val="002B04B9"/>
    <w:rsid w:val="002B0837"/>
    <w:rsid w:val="002B0916"/>
    <w:rsid w:val="002B09A4"/>
    <w:rsid w:val="002B09A5"/>
    <w:rsid w:val="002B09FB"/>
    <w:rsid w:val="002B0B3D"/>
    <w:rsid w:val="002B0C38"/>
    <w:rsid w:val="002B0FE9"/>
    <w:rsid w:val="002B10DD"/>
    <w:rsid w:val="002B1137"/>
    <w:rsid w:val="002B11B8"/>
    <w:rsid w:val="002B133E"/>
    <w:rsid w:val="002B1382"/>
    <w:rsid w:val="002B138A"/>
    <w:rsid w:val="002B1425"/>
    <w:rsid w:val="002B16E6"/>
    <w:rsid w:val="002B17C8"/>
    <w:rsid w:val="002B180B"/>
    <w:rsid w:val="002B18A1"/>
    <w:rsid w:val="002B18B6"/>
    <w:rsid w:val="002B1912"/>
    <w:rsid w:val="002B1AE1"/>
    <w:rsid w:val="002B1BC0"/>
    <w:rsid w:val="002B1C89"/>
    <w:rsid w:val="002B1D2F"/>
    <w:rsid w:val="002B1DA7"/>
    <w:rsid w:val="002B1DB7"/>
    <w:rsid w:val="002B1DCD"/>
    <w:rsid w:val="002B2082"/>
    <w:rsid w:val="002B22C8"/>
    <w:rsid w:val="002B23FD"/>
    <w:rsid w:val="002B2462"/>
    <w:rsid w:val="002B24FE"/>
    <w:rsid w:val="002B2559"/>
    <w:rsid w:val="002B27AD"/>
    <w:rsid w:val="002B2819"/>
    <w:rsid w:val="002B282C"/>
    <w:rsid w:val="002B2860"/>
    <w:rsid w:val="002B28BE"/>
    <w:rsid w:val="002B2997"/>
    <w:rsid w:val="002B2A33"/>
    <w:rsid w:val="002B2B11"/>
    <w:rsid w:val="002B2B1C"/>
    <w:rsid w:val="002B2C08"/>
    <w:rsid w:val="002B2C49"/>
    <w:rsid w:val="002B2D9A"/>
    <w:rsid w:val="002B2E4B"/>
    <w:rsid w:val="002B2FA2"/>
    <w:rsid w:val="002B31B9"/>
    <w:rsid w:val="002B32CC"/>
    <w:rsid w:val="002B33B4"/>
    <w:rsid w:val="002B33B6"/>
    <w:rsid w:val="002B3451"/>
    <w:rsid w:val="002B357E"/>
    <w:rsid w:val="002B3699"/>
    <w:rsid w:val="002B36A7"/>
    <w:rsid w:val="002B3808"/>
    <w:rsid w:val="002B3848"/>
    <w:rsid w:val="002B3870"/>
    <w:rsid w:val="002B39B6"/>
    <w:rsid w:val="002B3A4A"/>
    <w:rsid w:val="002B3AC7"/>
    <w:rsid w:val="002B3AE5"/>
    <w:rsid w:val="002B3B92"/>
    <w:rsid w:val="002B3BCE"/>
    <w:rsid w:val="002B3C0F"/>
    <w:rsid w:val="002B3ED5"/>
    <w:rsid w:val="002B3F36"/>
    <w:rsid w:val="002B4274"/>
    <w:rsid w:val="002B42FA"/>
    <w:rsid w:val="002B43BD"/>
    <w:rsid w:val="002B45A4"/>
    <w:rsid w:val="002B45E4"/>
    <w:rsid w:val="002B475B"/>
    <w:rsid w:val="002B476D"/>
    <w:rsid w:val="002B4798"/>
    <w:rsid w:val="002B479B"/>
    <w:rsid w:val="002B484F"/>
    <w:rsid w:val="002B4871"/>
    <w:rsid w:val="002B4872"/>
    <w:rsid w:val="002B48FF"/>
    <w:rsid w:val="002B4AC8"/>
    <w:rsid w:val="002B4ACD"/>
    <w:rsid w:val="002B4B02"/>
    <w:rsid w:val="002B4B9C"/>
    <w:rsid w:val="002B4BE5"/>
    <w:rsid w:val="002B4C80"/>
    <w:rsid w:val="002B4DBB"/>
    <w:rsid w:val="002B51DD"/>
    <w:rsid w:val="002B523F"/>
    <w:rsid w:val="002B52FA"/>
    <w:rsid w:val="002B53CD"/>
    <w:rsid w:val="002B5551"/>
    <w:rsid w:val="002B5660"/>
    <w:rsid w:val="002B5719"/>
    <w:rsid w:val="002B574F"/>
    <w:rsid w:val="002B5756"/>
    <w:rsid w:val="002B599E"/>
    <w:rsid w:val="002B5A82"/>
    <w:rsid w:val="002B5AA9"/>
    <w:rsid w:val="002B5AC4"/>
    <w:rsid w:val="002B5AEA"/>
    <w:rsid w:val="002B5B5C"/>
    <w:rsid w:val="002B5B95"/>
    <w:rsid w:val="002B5CDC"/>
    <w:rsid w:val="002B5D40"/>
    <w:rsid w:val="002B5E3A"/>
    <w:rsid w:val="002B6050"/>
    <w:rsid w:val="002B6178"/>
    <w:rsid w:val="002B61D8"/>
    <w:rsid w:val="002B6224"/>
    <w:rsid w:val="002B6379"/>
    <w:rsid w:val="002B63F5"/>
    <w:rsid w:val="002B63F8"/>
    <w:rsid w:val="002B6673"/>
    <w:rsid w:val="002B68A5"/>
    <w:rsid w:val="002B68C4"/>
    <w:rsid w:val="002B68D2"/>
    <w:rsid w:val="002B6CC8"/>
    <w:rsid w:val="002B6DA3"/>
    <w:rsid w:val="002B6DD4"/>
    <w:rsid w:val="002B6F2E"/>
    <w:rsid w:val="002B6FC7"/>
    <w:rsid w:val="002B700E"/>
    <w:rsid w:val="002B70EC"/>
    <w:rsid w:val="002B7113"/>
    <w:rsid w:val="002B7170"/>
    <w:rsid w:val="002B720E"/>
    <w:rsid w:val="002B72A0"/>
    <w:rsid w:val="002B7381"/>
    <w:rsid w:val="002B7571"/>
    <w:rsid w:val="002B75C0"/>
    <w:rsid w:val="002B7702"/>
    <w:rsid w:val="002B7867"/>
    <w:rsid w:val="002B7942"/>
    <w:rsid w:val="002B7A19"/>
    <w:rsid w:val="002B7A94"/>
    <w:rsid w:val="002B7ACE"/>
    <w:rsid w:val="002B7AED"/>
    <w:rsid w:val="002B7CC8"/>
    <w:rsid w:val="002B7DB5"/>
    <w:rsid w:val="002B7E35"/>
    <w:rsid w:val="002B7FB7"/>
    <w:rsid w:val="002C00A2"/>
    <w:rsid w:val="002C0248"/>
    <w:rsid w:val="002C03A3"/>
    <w:rsid w:val="002C04AB"/>
    <w:rsid w:val="002C04E5"/>
    <w:rsid w:val="002C057E"/>
    <w:rsid w:val="002C0602"/>
    <w:rsid w:val="002C061C"/>
    <w:rsid w:val="002C062C"/>
    <w:rsid w:val="002C062E"/>
    <w:rsid w:val="002C06E4"/>
    <w:rsid w:val="002C072E"/>
    <w:rsid w:val="002C085B"/>
    <w:rsid w:val="002C08C6"/>
    <w:rsid w:val="002C091A"/>
    <w:rsid w:val="002C0A49"/>
    <w:rsid w:val="002C0AA4"/>
    <w:rsid w:val="002C0E05"/>
    <w:rsid w:val="002C0E74"/>
    <w:rsid w:val="002C0FFC"/>
    <w:rsid w:val="002C10C1"/>
    <w:rsid w:val="002C1131"/>
    <w:rsid w:val="002C1161"/>
    <w:rsid w:val="002C1318"/>
    <w:rsid w:val="002C1382"/>
    <w:rsid w:val="002C1425"/>
    <w:rsid w:val="002C144B"/>
    <w:rsid w:val="002C14D8"/>
    <w:rsid w:val="002C157C"/>
    <w:rsid w:val="002C1596"/>
    <w:rsid w:val="002C1609"/>
    <w:rsid w:val="002C183C"/>
    <w:rsid w:val="002C1869"/>
    <w:rsid w:val="002C18FB"/>
    <w:rsid w:val="002C194C"/>
    <w:rsid w:val="002C195A"/>
    <w:rsid w:val="002C19B7"/>
    <w:rsid w:val="002C1A3B"/>
    <w:rsid w:val="002C1B44"/>
    <w:rsid w:val="002C1B60"/>
    <w:rsid w:val="002C1B6B"/>
    <w:rsid w:val="002C1E0C"/>
    <w:rsid w:val="002C1E16"/>
    <w:rsid w:val="002C1E6D"/>
    <w:rsid w:val="002C1ECF"/>
    <w:rsid w:val="002C219D"/>
    <w:rsid w:val="002C21EE"/>
    <w:rsid w:val="002C243F"/>
    <w:rsid w:val="002C248D"/>
    <w:rsid w:val="002C24B9"/>
    <w:rsid w:val="002C25EB"/>
    <w:rsid w:val="002C26DA"/>
    <w:rsid w:val="002C270F"/>
    <w:rsid w:val="002C28E3"/>
    <w:rsid w:val="002C2A03"/>
    <w:rsid w:val="002C2B62"/>
    <w:rsid w:val="002C2BE3"/>
    <w:rsid w:val="002C300C"/>
    <w:rsid w:val="002C3080"/>
    <w:rsid w:val="002C3088"/>
    <w:rsid w:val="002C3223"/>
    <w:rsid w:val="002C32A8"/>
    <w:rsid w:val="002C3501"/>
    <w:rsid w:val="002C3601"/>
    <w:rsid w:val="002C3712"/>
    <w:rsid w:val="002C37E0"/>
    <w:rsid w:val="002C3894"/>
    <w:rsid w:val="002C38AD"/>
    <w:rsid w:val="002C397C"/>
    <w:rsid w:val="002C39FA"/>
    <w:rsid w:val="002C3ADF"/>
    <w:rsid w:val="002C3C36"/>
    <w:rsid w:val="002C3C58"/>
    <w:rsid w:val="002C3D21"/>
    <w:rsid w:val="002C3D2C"/>
    <w:rsid w:val="002C3D42"/>
    <w:rsid w:val="002C3D6B"/>
    <w:rsid w:val="002C3EE2"/>
    <w:rsid w:val="002C3F3A"/>
    <w:rsid w:val="002C428F"/>
    <w:rsid w:val="002C43D7"/>
    <w:rsid w:val="002C4640"/>
    <w:rsid w:val="002C4646"/>
    <w:rsid w:val="002C46E4"/>
    <w:rsid w:val="002C4801"/>
    <w:rsid w:val="002C48D6"/>
    <w:rsid w:val="002C492A"/>
    <w:rsid w:val="002C49A8"/>
    <w:rsid w:val="002C49E2"/>
    <w:rsid w:val="002C4A84"/>
    <w:rsid w:val="002C4C4C"/>
    <w:rsid w:val="002C4C83"/>
    <w:rsid w:val="002C4CC2"/>
    <w:rsid w:val="002C4D85"/>
    <w:rsid w:val="002C4ECD"/>
    <w:rsid w:val="002C4EF4"/>
    <w:rsid w:val="002C4FDE"/>
    <w:rsid w:val="002C51F8"/>
    <w:rsid w:val="002C5380"/>
    <w:rsid w:val="002C54CD"/>
    <w:rsid w:val="002C5557"/>
    <w:rsid w:val="002C56D1"/>
    <w:rsid w:val="002C5778"/>
    <w:rsid w:val="002C58F7"/>
    <w:rsid w:val="002C5BB0"/>
    <w:rsid w:val="002C5CCD"/>
    <w:rsid w:val="002C5D59"/>
    <w:rsid w:val="002C5DDB"/>
    <w:rsid w:val="002C5E3F"/>
    <w:rsid w:val="002C5EED"/>
    <w:rsid w:val="002C5F4B"/>
    <w:rsid w:val="002C6023"/>
    <w:rsid w:val="002C60EF"/>
    <w:rsid w:val="002C61E6"/>
    <w:rsid w:val="002C621A"/>
    <w:rsid w:val="002C621F"/>
    <w:rsid w:val="002C638F"/>
    <w:rsid w:val="002C6428"/>
    <w:rsid w:val="002C649C"/>
    <w:rsid w:val="002C6548"/>
    <w:rsid w:val="002C65A0"/>
    <w:rsid w:val="002C6804"/>
    <w:rsid w:val="002C69E1"/>
    <w:rsid w:val="002C6B21"/>
    <w:rsid w:val="002C6B35"/>
    <w:rsid w:val="002C6C1A"/>
    <w:rsid w:val="002C6C86"/>
    <w:rsid w:val="002C6D58"/>
    <w:rsid w:val="002C6E9C"/>
    <w:rsid w:val="002C6EA3"/>
    <w:rsid w:val="002C6FEC"/>
    <w:rsid w:val="002C7011"/>
    <w:rsid w:val="002C7034"/>
    <w:rsid w:val="002C706D"/>
    <w:rsid w:val="002C7090"/>
    <w:rsid w:val="002C70DA"/>
    <w:rsid w:val="002C7127"/>
    <w:rsid w:val="002C716D"/>
    <w:rsid w:val="002C7309"/>
    <w:rsid w:val="002C7657"/>
    <w:rsid w:val="002C768C"/>
    <w:rsid w:val="002C76A6"/>
    <w:rsid w:val="002C7BDF"/>
    <w:rsid w:val="002C7C12"/>
    <w:rsid w:val="002C7C3A"/>
    <w:rsid w:val="002C7C91"/>
    <w:rsid w:val="002C7C9F"/>
    <w:rsid w:val="002C7DE1"/>
    <w:rsid w:val="002C7E6B"/>
    <w:rsid w:val="002C7EF4"/>
    <w:rsid w:val="002C7F3F"/>
    <w:rsid w:val="002C7FA1"/>
    <w:rsid w:val="002C7FE4"/>
    <w:rsid w:val="002D00A2"/>
    <w:rsid w:val="002D0124"/>
    <w:rsid w:val="002D03FB"/>
    <w:rsid w:val="002D04A2"/>
    <w:rsid w:val="002D04F7"/>
    <w:rsid w:val="002D0570"/>
    <w:rsid w:val="002D05E2"/>
    <w:rsid w:val="002D0660"/>
    <w:rsid w:val="002D07BF"/>
    <w:rsid w:val="002D0938"/>
    <w:rsid w:val="002D0A2A"/>
    <w:rsid w:val="002D0A40"/>
    <w:rsid w:val="002D0AC4"/>
    <w:rsid w:val="002D0B1D"/>
    <w:rsid w:val="002D0B25"/>
    <w:rsid w:val="002D0CEB"/>
    <w:rsid w:val="002D0D58"/>
    <w:rsid w:val="002D0D63"/>
    <w:rsid w:val="002D0E79"/>
    <w:rsid w:val="002D0EA9"/>
    <w:rsid w:val="002D0EF9"/>
    <w:rsid w:val="002D105E"/>
    <w:rsid w:val="002D10D8"/>
    <w:rsid w:val="002D10FF"/>
    <w:rsid w:val="002D125A"/>
    <w:rsid w:val="002D13AF"/>
    <w:rsid w:val="002D13BC"/>
    <w:rsid w:val="002D1441"/>
    <w:rsid w:val="002D1452"/>
    <w:rsid w:val="002D148F"/>
    <w:rsid w:val="002D15E1"/>
    <w:rsid w:val="002D16AA"/>
    <w:rsid w:val="002D16D5"/>
    <w:rsid w:val="002D1857"/>
    <w:rsid w:val="002D18C9"/>
    <w:rsid w:val="002D18EF"/>
    <w:rsid w:val="002D1905"/>
    <w:rsid w:val="002D1A3B"/>
    <w:rsid w:val="002D1A57"/>
    <w:rsid w:val="002D1AAE"/>
    <w:rsid w:val="002D1AFD"/>
    <w:rsid w:val="002D1C5D"/>
    <w:rsid w:val="002D1E2A"/>
    <w:rsid w:val="002D1F86"/>
    <w:rsid w:val="002D1FAF"/>
    <w:rsid w:val="002D2001"/>
    <w:rsid w:val="002D2070"/>
    <w:rsid w:val="002D20D0"/>
    <w:rsid w:val="002D21F8"/>
    <w:rsid w:val="002D22C7"/>
    <w:rsid w:val="002D22F4"/>
    <w:rsid w:val="002D2362"/>
    <w:rsid w:val="002D24B1"/>
    <w:rsid w:val="002D24D6"/>
    <w:rsid w:val="002D24DF"/>
    <w:rsid w:val="002D26EE"/>
    <w:rsid w:val="002D2ABD"/>
    <w:rsid w:val="002D2BA7"/>
    <w:rsid w:val="002D2BE0"/>
    <w:rsid w:val="002D2C1D"/>
    <w:rsid w:val="002D2C24"/>
    <w:rsid w:val="002D2D68"/>
    <w:rsid w:val="002D2EB2"/>
    <w:rsid w:val="002D2F1C"/>
    <w:rsid w:val="002D31E4"/>
    <w:rsid w:val="002D33BF"/>
    <w:rsid w:val="002D3435"/>
    <w:rsid w:val="002D362C"/>
    <w:rsid w:val="002D3727"/>
    <w:rsid w:val="002D38A8"/>
    <w:rsid w:val="002D38B4"/>
    <w:rsid w:val="002D38EB"/>
    <w:rsid w:val="002D3926"/>
    <w:rsid w:val="002D39C0"/>
    <w:rsid w:val="002D3BA6"/>
    <w:rsid w:val="002D3BDA"/>
    <w:rsid w:val="002D3C1D"/>
    <w:rsid w:val="002D3D44"/>
    <w:rsid w:val="002D3D9A"/>
    <w:rsid w:val="002D3E5E"/>
    <w:rsid w:val="002D3F65"/>
    <w:rsid w:val="002D3F73"/>
    <w:rsid w:val="002D40B6"/>
    <w:rsid w:val="002D414C"/>
    <w:rsid w:val="002D41B2"/>
    <w:rsid w:val="002D4230"/>
    <w:rsid w:val="002D4256"/>
    <w:rsid w:val="002D428B"/>
    <w:rsid w:val="002D428D"/>
    <w:rsid w:val="002D42F3"/>
    <w:rsid w:val="002D4388"/>
    <w:rsid w:val="002D45D1"/>
    <w:rsid w:val="002D465E"/>
    <w:rsid w:val="002D4668"/>
    <w:rsid w:val="002D4669"/>
    <w:rsid w:val="002D46D3"/>
    <w:rsid w:val="002D4873"/>
    <w:rsid w:val="002D48AB"/>
    <w:rsid w:val="002D49D4"/>
    <w:rsid w:val="002D4A32"/>
    <w:rsid w:val="002D4B61"/>
    <w:rsid w:val="002D4C29"/>
    <w:rsid w:val="002D4C97"/>
    <w:rsid w:val="002D4CE0"/>
    <w:rsid w:val="002D4D9B"/>
    <w:rsid w:val="002D4DC2"/>
    <w:rsid w:val="002D4E39"/>
    <w:rsid w:val="002D4F4A"/>
    <w:rsid w:val="002D5032"/>
    <w:rsid w:val="002D510A"/>
    <w:rsid w:val="002D5257"/>
    <w:rsid w:val="002D53F4"/>
    <w:rsid w:val="002D5438"/>
    <w:rsid w:val="002D55AC"/>
    <w:rsid w:val="002D56B0"/>
    <w:rsid w:val="002D57E6"/>
    <w:rsid w:val="002D5849"/>
    <w:rsid w:val="002D590D"/>
    <w:rsid w:val="002D593B"/>
    <w:rsid w:val="002D5A24"/>
    <w:rsid w:val="002D5B0E"/>
    <w:rsid w:val="002D5C18"/>
    <w:rsid w:val="002D5D75"/>
    <w:rsid w:val="002D5FE9"/>
    <w:rsid w:val="002D608F"/>
    <w:rsid w:val="002D60B8"/>
    <w:rsid w:val="002D61B5"/>
    <w:rsid w:val="002D6289"/>
    <w:rsid w:val="002D65E5"/>
    <w:rsid w:val="002D6798"/>
    <w:rsid w:val="002D6879"/>
    <w:rsid w:val="002D68A0"/>
    <w:rsid w:val="002D6904"/>
    <w:rsid w:val="002D6A31"/>
    <w:rsid w:val="002D6A3D"/>
    <w:rsid w:val="002D6A73"/>
    <w:rsid w:val="002D6BA8"/>
    <w:rsid w:val="002D6C00"/>
    <w:rsid w:val="002D6C20"/>
    <w:rsid w:val="002D6C35"/>
    <w:rsid w:val="002D6C56"/>
    <w:rsid w:val="002D6C8F"/>
    <w:rsid w:val="002D6DB9"/>
    <w:rsid w:val="002D6E2B"/>
    <w:rsid w:val="002D6FA6"/>
    <w:rsid w:val="002D7063"/>
    <w:rsid w:val="002D70F6"/>
    <w:rsid w:val="002D716B"/>
    <w:rsid w:val="002D729C"/>
    <w:rsid w:val="002D7486"/>
    <w:rsid w:val="002D7499"/>
    <w:rsid w:val="002D7542"/>
    <w:rsid w:val="002D7550"/>
    <w:rsid w:val="002D76D8"/>
    <w:rsid w:val="002D7717"/>
    <w:rsid w:val="002D78A9"/>
    <w:rsid w:val="002D7ACD"/>
    <w:rsid w:val="002D7AEB"/>
    <w:rsid w:val="002D7CB9"/>
    <w:rsid w:val="002D7CE9"/>
    <w:rsid w:val="002E0161"/>
    <w:rsid w:val="002E0219"/>
    <w:rsid w:val="002E02B6"/>
    <w:rsid w:val="002E04EE"/>
    <w:rsid w:val="002E0504"/>
    <w:rsid w:val="002E05D7"/>
    <w:rsid w:val="002E079F"/>
    <w:rsid w:val="002E0850"/>
    <w:rsid w:val="002E0A75"/>
    <w:rsid w:val="002E0C9D"/>
    <w:rsid w:val="002E0D96"/>
    <w:rsid w:val="002E1008"/>
    <w:rsid w:val="002E1022"/>
    <w:rsid w:val="002E11D0"/>
    <w:rsid w:val="002E128E"/>
    <w:rsid w:val="002E12B1"/>
    <w:rsid w:val="002E1339"/>
    <w:rsid w:val="002E1341"/>
    <w:rsid w:val="002E1344"/>
    <w:rsid w:val="002E13DE"/>
    <w:rsid w:val="002E148F"/>
    <w:rsid w:val="002E1753"/>
    <w:rsid w:val="002E1970"/>
    <w:rsid w:val="002E1A02"/>
    <w:rsid w:val="002E1AED"/>
    <w:rsid w:val="002E1B26"/>
    <w:rsid w:val="002E1B2F"/>
    <w:rsid w:val="002E1DAA"/>
    <w:rsid w:val="002E1DFD"/>
    <w:rsid w:val="002E1E27"/>
    <w:rsid w:val="002E1FB9"/>
    <w:rsid w:val="002E2011"/>
    <w:rsid w:val="002E20C2"/>
    <w:rsid w:val="002E23FE"/>
    <w:rsid w:val="002E254F"/>
    <w:rsid w:val="002E265A"/>
    <w:rsid w:val="002E268C"/>
    <w:rsid w:val="002E26C7"/>
    <w:rsid w:val="002E26DF"/>
    <w:rsid w:val="002E278A"/>
    <w:rsid w:val="002E278C"/>
    <w:rsid w:val="002E29B5"/>
    <w:rsid w:val="002E2AE6"/>
    <w:rsid w:val="002E2B7A"/>
    <w:rsid w:val="002E2E48"/>
    <w:rsid w:val="002E2F18"/>
    <w:rsid w:val="002E2F55"/>
    <w:rsid w:val="002E30B7"/>
    <w:rsid w:val="002E30F2"/>
    <w:rsid w:val="002E319E"/>
    <w:rsid w:val="002E3350"/>
    <w:rsid w:val="002E337B"/>
    <w:rsid w:val="002E33E5"/>
    <w:rsid w:val="002E34DB"/>
    <w:rsid w:val="002E351E"/>
    <w:rsid w:val="002E366F"/>
    <w:rsid w:val="002E3731"/>
    <w:rsid w:val="002E38FE"/>
    <w:rsid w:val="002E3940"/>
    <w:rsid w:val="002E3A23"/>
    <w:rsid w:val="002E3AF1"/>
    <w:rsid w:val="002E3B1E"/>
    <w:rsid w:val="002E3C3B"/>
    <w:rsid w:val="002E3C9A"/>
    <w:rsid w:val="002E3CF7"/>
    <w:rsid w:val="002E3D34"/>
    <w:rsid w:val="002E3E13"/>
    <w:rsid w:val="002E3F8D"/>
    <w:rsid w:val="002E4115"/>
    <w:rsid w:val="002E4154"/>
    <w:rsid w:val="002E415C"/>
    <w:rsid w:val="002E41EA"/>
    <w:rsid w:val="002E42D9"/>
    <w:rsid w:val="002E43BB"/>
    <w:rsid w:val="002E4547"/>
    <w:rsid w:val="002E4560"/>
    <w:rsid w:val="002E474A"/>
    <w:rsid w:val="002E47A4"/>
    <w:rsid w:val="002E47B6"/>
    <w:rsid w:val="002E47CF"/>
    <w:rsid w:val="002E4820"/>
    <w:rsid w:val="002E496F"/>
    <w:rsid w:val="002E49B0"/>
    <w:rsid w:val="002E4A07"/>
    <w:rsid w:val="002E4A92"/>
    <w:rsid w:val="002E4B40"/>
    <w:rsid w:val="002E4B76"/>
    <w:rsid w:val="002E4B95"/>
    <w:rsid w:val="002E4FEA"/>
    <w:rsid w:val="002E50AC"/>
    <w:rsid w:val="002E5291"/>
    <w:rsid w:val="002E52B4"/>
    <w:rsid w:val="002E53E0"/>
    <w:rsid w:val="002E54FB"/>
    <w:rsid w:val="002E557C"/>
    <w:rsid w:val="002E57A6"/>
    <w:rsid w:val="002E5881"/>
    <w:rsid w:val="002E58F7"/>
    <w:rsid w:val="002E5A17"/>
    <w:rsid w:val="002E5BD6"/>
    <w:rsid w:val="002E5C8B"/>
    <w:rsid w:val="002E5E9C"/>
    <w:rsid w:val="002E5FA9"/>
    <w:rsid w:val="002E6136"/>
    <w:rsid w:val="002E6286"/>
    <w:rsid w:val="002E62C9"/>
    <w:rsid w:val="002E63F2"/>
    <w:rsid w:val="002E6876"/>
    <w:rsid w:val="002E6B05"/>
    <w:rsid w:val="002E6BB1"/>
    <w:rsid w:val="002E6BC1"/>
    <w:rsid w:val="002E6D35"/>
    <w:rsid w:val="002E6D4D"/>
    <w:rsid w:val="002E6D74"/>
    <w:rsid w:val="002E6DDF"/>
    <w:rsid w:val="002E6E69"/>
    <w:rsid w:val="002E6E70"/>
    <w:rsid w:val="002E717A"/>
    <w:rsid w:val="002E7195"/>
    <w:rsid w:val="002E71D8"/>
    <w:rsid w:val="002E7288"/>
    <w:rsid w:val="002E72B5"/>
    <w:rsid w:val="002E7366"/>
    <w:rsid w:val="002E7651"/>
    <w:rsid w:val="002E77DD"/>
    <w:rsid w:val="002E78A7"/>
    <w:rsid w:val="002E7918"/>
    <w:rsid w:val="002E7934"/>
    <w:rsid w:val="002E7AED"/>
    <w:rsid w:val="002E7CC8"/>
    <w:rsid w:val="002E7EDA"/>
    <w:rsid w:val="002E7FCB"/>
    <w:rsid w:val="002F0021"/>
    <w:rsid w:val="002F0062"/>
    <w:rsid w:val="002F009F"/>
    <w:rsid w:val="002F0116"/>
    <w:rsid w:val="002F04A0"/>
    <w:rsid w:val="002F05EA"/>
    <w:rsid w:val="002F0812"/>
    <w:rsid w:val="002F0D01"/>
    <w:rsid w:val="002F0E7A"/>
    <w:rsid w:val="002F0EC6"/>
    <w:rsid w:val="002F1054"/>
    <w:rsid w:val="002F13C8"/>
    <w:rsid w:val="002F144A"/>
    <w:rsid w:val="002F155E"/>
    <w:rsid w:val="002F1658"/>
    <w:rsid w:val="002F19DB"/>
    <w:rsid w:val="002F1A7C"/>
    <w:rsid w:val="002F1BB0"/>
    <w:rsid w:val="002F1BBB"/>
    <w:rsid w:val="002F1BEC"/>
    <w:rsid w:val="002F1C9B"/>
    <w:rsid w:val="002F1DF2"/>
    <w:rsid w:val="002F1E0E"/>
    <w:rsid w:val="002F2070"/>
    <w:rsid w:val="002F2099"/>
    <w:rsid w:val="002F21B9"/>
    <w:rsid w:val="002F232B"/>
    <w:rsid w:val="002F236B"/>
    <w:rsid w:val="002F238F"/>
    <w:rsid w:val="002F2463"/>
    <w:rsid w:val="002F2572"/>
    <w:rsid w:val="002F25BF"/>
    <w:rsid w:val="002F2728"/>
    <w:rsid w:val="002F27BE"/>
    <w:rsid w:val="002F29A4"/>
    <w:rsid w:val="002F2BD6"/>
    <w:rsid w:val="002F2DCE"/>
    <w:rsid w:val="002F2F9F"/>
    <w:rsid w:val="002F310B"/>
    <w:rsid w:val="002F325E"/>
    <w:rsid w:val="002F3271"/>
    <w:rsid w:val="002F3301"/>
    <w:rsid w:val="002F3350"/>
    <w:rsid w:val="002F33A1"/>
    <w:rsid w:val="002F3496"/>
    <w:rsid w:val="002F35CC"/>
    <w:rsid w:val="002F372D"/>
    <w:rsid w:val="002F379A"/>
    <w:rsid w:val="002F37CF"/>
    <w:rsid w:val="002F3BF7"/>
    <w:rsid w:val="002F3C3F"/>
    <w:rsid w:val="002F3C58"/>
    <w:rsid w:val="002F3E55"/>
    <w:rsid w:val="002F3E5A"/>
    <w:rsid w:val="002F3F3B"/>
    <w:rsid w:val="002F3F8F"/>
    <w:rsid w:val="002F3F91"/>
    <w:rsid w:val="002F407A"/>
    <w:rsid w:val="002F40C0"/>
    <w:rsid w:val="002F41C0"/>
    <w:rsid w:val="002F43DA"/>
    <w:rsid w:val="002F4720"/>
    <w:rsid w:val="002F47C6"/>
    <w:rsid w:val="002F4995"/>
    <w:rsid w:val="002F4B42"/>
    <w:rsid w:val="002F4B6F"/>
    <w:rsid w:val="002F4B9C"/>
    <w:rsid w:val="002F4CD6"/>
    <w:rsid w:val="002F4DA6"/>
    <w:rsid w:val="002F4DCD"/>
    <w:rsid w:val="002F4E09"/>
    <w:rsid w:val="002F4E4E"/>
    <w:rsid w:val="002F4EE0"/>
    <w:rsid w:val="002F4F96"/>
    <w:rsid w:val="002F4FFF"/>
    <w:rsid w:val="002F5174"/>
    <w:rsid w:val="002F527E"/>
    <w:rsid w:val="002F5480"/>
    <w:rsid w:val="002F55EA"/>
    <w:rsid w:val="002F5655"/>
    <w:rsid w:val="002F5777"/>
    <w:rsid w:val="002F57B9"/>
    <w:rsid w:val="002F5AD2"/>
    <w:rsid w:val="002F5B22"/>
    <w:rsid w:val="002F5B7A"/>
    <w:rsid w:val="002F5CD9"/>
    <w:rsid w:val="002F5E78"/>
    <w:rsid w:val="002F5E92"/>
    <w:rsid w:val="002F5EE9"/>
    <w:rsid w:val="002F60A3"/>
    <w:rsid w:val="002F6110"/>
    <w:rsid w:val="002F6127"/>
    <w:rsid w:val="002F6183"/>
    <w:rsid w:val="002F61DD"/>
    <w:rsid w:val="002F62F7"/>
    <w:rsid w:val="002F6316"/>
    <w:rsid w:val="002F637C"/>
    <w:rsid w:val="002F63AC"/>
    <w:rsid w:val="002F63EA"/>
    <w:rsid w:val="002F6423"/>
    <w:rsid w:val="002F64BE"/>
    <w:rsid w:val="002F64EC"/>
    <w:rsid w:val="002F662F"/>
    <w:rsid w:val="002F6672"/>
    <w:rsid w:val="002F683F"/>
    <w:rsid w:val="002F6864"/>
    <w:rsid w:val="002F686A"/>
    <w:rsid w:val="002F68FB"/>
    <w:rsid w:val="002F6928"/>
    <w:rsid w:val="002F69C5"/>
    <w:rsid w:val="002F6B90"/>
    <w:rsid w:val="002F6B93"/>
    <w:rsid w:val="002F6D51"/>
    <w:rsid w:val="002F6E00"/>
    <w:rsid w:val="002F6E65"/>
    <w:rsid w:val="002F6FC6"/>
    <w:rsid w:val="002F6FD0"/>
    <w:rsid w:val="002F7146"/>
    <w:rsid w:val="002F7239"/>
    <w:rsid w:val="002F72C0"/>
    <w:rsid w:val="002F7320"/>
    <w:rsid w:val="002F765F"/>
    <w:rsid w:val="002F7706"/>
    <w:rsid w:val="002F7729"/>
    <w:rsid w:val="002F78A4"/>
    <w:rsid w:val="002F78C8"/>
    <w:rsid w:val="002F7998"/>
    <w:rsid w:val="002F79D2"/>
    <w:rsid w:val="002F7B3B"/>
    <w:rsid w:val="002F7C0D"/>
    <w:rsid w:val="002F7CBB"/>
    <w:rsid w:val="002F7DA3"/>
    <w:rsid w:val="002F7E3F"/>
    <w:rsid w:val="002F7F58"/>
    <w:rsid w:val="00300206"/>
    <w:rsid w:val="003002FC"/>
    <w:rsid w:val="00300334"/>
    <w:rsid w:val="003003BF"/>
    <w:rsid w:val="0030044C"/>
    <w:rsid w:val="003004E1"/>
    <w:rsid w:val="00300619"/>
    <w:rsid w:val="003006E9"/>
    <w:rsid w:val="00300748"/>
    <w:rsid w:val="0030079F"/>
    <w:rsid w:val="003008A2"/>
    <w:rsid w:val="003008D7"/>
    <w:rsid w:val="00300A46"/>
    <w:rsid w:val="00300B31"/>
    <w:rsid w:val="00300BA9"/>
    <w:rsid w:val="00300C64"/>
    <w:rsid w:val="00300C67"/>
    <w:rsid w:val="00300D0B"/>
    <w:rsid w:val="00300D27"/>
    <w:rsid w:val="00300E8D"/>
    <w:rsid w:val="00300EE1"/>
    <w:rsid w:val="003010C2"/>
    <w:rsid w:val="00301148"/>
    <w:rsid w:val="003011C8"/>
    <w:rsid w:val="00301255"/>
    <w:rsid w:val="00301392"/>
    <w:rsid w:val="00301539"/>
    <w:rsid w:val="00301559"/>
    <w:rsid w:val="003016F6"/>
    <w:rsid w:val="0030177A"/>
    <w:rsid w:val="0030182B"/>
    <w:rsid w:val="00301955"/>
    <w:rsid w:val="003019A7"/>
    <w:rsid w:val="00301B2B"/>
    <w:rsid w:val="00301B7E"/>
    <w:rsid w:val="00301C26"/>
    <w:rsid w:val="00301D32"/>
    <w:rsid w:val="00301DCE"/>
    <w:rsid w:val="00301DFF"/>
    <w:rsid w:val="0030206C"/>
    <w:rsid w:val="003020BF"/>
    <w:rsid w:val="0030212A"/>
    <w:rsid w:val="003021EE"/>
    <w:rsid w:val="0030226E"/>
    <w:rsid w:val="00302275"/>
    <w:rsid w:val="003022EC"/>
    <w:rsid w:val="00302401"/>
    <w:rsid w:val="003026DE"/>
    <w:rsid w:val="0030276D"/>
    <w:rsid w:val="003027A8"/>
    <w:rsid w:val="003029D1"/>
    <w:rsid w:val="00302AAE"/>
    <w:rsid w:val="00302CAF"/>
    <w:rsid w:val="00302CD7"/>
    <w:rsid w:val="00302D06"/>
    <w:rsid w:val="00302DB5"/>
    <w:rsid w:val="00302E50"/>
    <w:rsid w:val="00303059"/>
    <w:rsid w:val="003030D9"/>
    <w:rsid w:val="003031A8"/>
    <w:rsid w:val="003031DA"/>
    <w:rsid w:val="00303279"/>
    <w:rsid w:val="00303359"/>
    <w:rsid w:val="0030348D"/>
    <w:rsid w:val="003034F8"/>
    <w:rsid w:val="0030366B"/>
    <w:rsid w:val="0030376B"/>
    <w:rsid w:val="0030378B"/>
    <w:rsid w:val="00303912"/>
    <w:rsid w:val="0030394D"/>
    <w:rsid w:val="00303DF5"/>
    <w:rsid w:val="00303E19"/>
    <w:rsid w:val="00303EFA"/>
    <w:rsid w:val="00303FA7"/>
    <w:rsid w:val="00303FBC"/>
    <w:rsid w:val="00303FF7"/>
    <w:rsid w:val="00304132"/>
    <w:rsid w:val="00304195"/>
    <w:rsid w:val="003041AF"/>
    <w:rsid w:val="003041CB"/>
    <w:rsid w:val="00304334"/>
    <w:rsid w:val="0030439E"/>
    <w:rsid w:val="00304400"/>
    <w:rsid w:val="00304428"/>
    <w:rsid w:val="0030454C"/>
    <w:rsid w:val="00304561"/>
    <w:rsid w:val="00304588"/>
    <w:rsid w:val="003045C2"/>
    <w:rsid w:val="003046C7"/>
    <w:rsid w:val="0030470E"/>
    <w:rsid w:val="0030484E"/>
    <w:rsid w:val="003048E7"/>
    <w:rsid w:val="00304981"/>
    <w:rsid w:val="00304A6F"/>
    <w:rsid w:val="00304B1F"/>
    <w:rsid w:val="00304B2B"/>
    <w:rsid w:val="00304B50"/>
    <w:rsid w:val="00304C2A"/>
    <w:rsid w:val="00304C8B"/>
    <w:rsid w:val="00304CB0"/>
    <w:rsid w:val="00304D95"/>
    <w:rsid w:val="00304E19"/>
    <w:rsid w:val="00304E99"/>
    <w:rsid w:val="00304F23"/>
    <w:rsid w:val="00304FE1"/>
    <w:rsid w:val="0030503F"/>
    <w:rsid w:val="003050AB"/>
    <w:rsid w:val="00305181"/>
    <w:rsid w:val="003051EB"/>
    <w:rsid w:val="003051EE"/>
    <w:rsid w:val="003052B7"/>
    <w:rsid w:val="003054D1"/>
    <w:rsid w:val="00305545"/>
    <w:rsid w:val="003055F2"/>
    <w:rsid w:val="003057C9"/>
    <w:rsid w:val="0030580D"/>
    <w:rsid w:val="00305BEC"/>
    <w:rsid w:val="00305DAE"/>
    <w:rsid w:val="00305E92"/>
    <w:rsid w:val="00305E98"/>
    <w:rsid w:val="00305EC2"/>
    <w:rsid w:val="00305F3F"/>
    <w:rsid w:val="00305FB4"/>
    <w:rsid w:val="0030611E"/>
    <w:rsid w:val="00306177"/>
    <w:rsid w:val="003062C9"/>
    <w:rsid w:val="003063A4"/>
    <w:rsid w:val="003064B2"/>
    <w:rsid w:val="00306519"/>
    <w:rsid w:val="003065DD"/>
    <w:rsid w:val="00306746"/>
    <w:rsid w:val="00306785"/>
    <w:rsid w:val="003067A9"/>
    <w:rsid w:val="00306881"/>
    <w:rsid w:val="00306892"/>
    <w:rsid w:val="003068C8"/>
    <w:rsid w:val="003068E8"/>
    <w:rsid w:val="003069C9"/>
    <w:rsid w:val="003069EC"/>
    <w:rsid w:val="00306A13"/>
    <w:rsid w:val="00306AEE"/>
    <w:rsid w:val="00306B7F"/>
    <w:rsid w:val="00306C3A"/>
    <w:rsid w:val="00306CE1"/>
    <w:rsid w:val="00306D6E"/>
    <w:rsid w:val="00306DF3"/>
    <w:rsid w:val="00306E7E"/>
    <w:rsid w:val="00306E91"/>
    <w:rsid w:val="00306FA1"/>
    <w:rsid w:val="00306FFC"/>
    <w:rsid w:val="00307032"/>
    <w:rsid w:val="00307058"/>
    <w:rsid w:val="0030706D"/>
    <w:rsid w:val="00307113"/>
    <w:rsid w:val="003071CA"/>
    <w:rsid w:val="00307324"/>
    <w:rsid w:val="003073FD"/>
    <w:rsid w:val="00307584"/>
    <w:rsid w:val="00307A2B"/>
    <w:rsid w:val="00307BBE"/>
    <w:rsid w:val="00307BC6"/>
    <w:rsid w:val="00307D10"/>
    <w:rsid w:val="00307D3B"/>
    <w:rsid w:val="00307ED9"/>
    <w:rsid w:val="00307FD5"/>
    <w:rsid w:val="00310034"/>
    <w:rsid w:val="003100A4"/>
    <w:rsid w:val="0031014E"/>
    <w:rsid w:val="00310169"/>
    <w:rsid w:val="00310269"/>
    <w:rsid w:val="00310299"/>
    <w:rsid w:val="00310346"/>
    <w:rsid w:val="00310352"/>
    <w:rsid w:val="003103B4"/>
    <w:rsid w:val="003103BC"/>
    <w:rsid w:val="003103ED"/>
    <w:rsid w:val="0031040F"/>
    <w:rsid w:val="00310496"/>
    <w:rsid w:val="003104BF"/>
    <w:rsid w:val="00310526"/>
    <w:rsid w:val="00310654"/>
    <w:rsid w:val="00310929"/>
    <w:rsid w:val="0031095B"/>
    <w:rsid w:val="0031095C"/>
    <w:rsid w:val="0031098F"/>
    <w:rsid w:val="003109F1"/>
    <w:rsid w:val="00310A35"/>
    <w:rsid w:val="00310A81"/>
    <w:rsid w:val="00310B9A"/>
    <w:rsid w:val="00310C4C"/>
    <w:rsid w:val="00310E03"/>
    <w:rsid w:val="003112F3"/>
    <w:rsid w:val="0031130A"/>
    <w:rsid w:val="003113B7"/>
    <w:rsid w:val="00311588"/>
    <w:rsid w:val="0031161D"/>
    <w:rsid w:val="003116D1"/>
    <w:rsid w:val="003116E1"/>
    <w:rsid w:val="00311797"/>
    <w:rsid w:val="00311828"/>
    <w:rsid w:val="0031182C"/>
    <w:rsid w:val="003118B4"/>
    <w:rsid w:val="00311950"/>
    <w:rsid w:val="0031196F"/>
    <w:rsid w:val="00311A70"/>
    <w:rsid w:val="00311AFF"/>
    <w:rsid w:val="00311B19"/>
    <w:rsid w:val="00311F57"/>
    <w:rsid w:val="003120B7"/>
    <w:rsid w:val="003120C1"/>
    <w:rsid w:val="0031219E"/>
    <w:rsid w:val="00312232"/>
    <w:rsid w:val="0031225A"/>
    <w:rsid w:val="003122ED"/>
    <w:rsid w:val="00312520"/>
    <w:rsid w:val="00312593"/>
    <w:rsid w:val="00312766"/>
    <w:rsid w:val="003127EF"/>
    <w:rsid w:val="003129CC"/>
    <w:rsid w:val="00312ACD"/>
    <w:rsid w:val="00312B98"/>
    <w:rsid w:val="00312C26"/>
    <w:rsid w:val="00312C33"/>
    <w:rsid w:val="00312D95"/>
    <w:rsid w:val="00312F58"/>
    <w:rsid w:val="00312FC7"/>
    <w:rsid w:val="00312FF7"/>
    <w:rsid w:val="0031302A"/>
    <w:rsid w:val="00313082"/>
    <w:rsid w:val="003130E7"/>
    <w:rsid w:val="00313123"/>
    <w:rsid w:val="003131B5"/>
    <w:rsid w:val="003132C3"/>
    <w:rsid w:val="003132D8"/>
    <w:rsid w:val="003132E5"/>
    <w:rsid w:val="003132EB"/>
    <w:rsid w:val="00313470"/>
    <w:rsid w:val="003134A0"/>
    <w:rsid w:val="00313583"/>
    <w:rsid w:val="00313752"/>
    <w:rsid w:val="00313CAC"/>
    <w:rsid w:val="0031419B"/>
    <w:rsid w:val="003142C7"/>
    <w:rsid w:val="003142F5"/>
    <w:rsid w:val="00314444"/>
    <w:rsid w:val="0031448E"/>
    <w:rsid w:val="003144FF"/>
    <w:rsid w:val="003147A7"/>
    <w:rsid w:val="003149BA"/>
    <w:rsid w:val="00314A43"/>
    <w:rsid w:val="00314A44"/>
    <w:rsid w:val="00314AA9"/>
    <w:rsid w:val="00314AFF"/>
    <w:rsid w:val="00314B1B"/>
    <w:rsid w:val="00314CDD"/>
    <w:rsid w:val="00314CFA"/>
    <w:rsid w:val="00314D8E"/>
    <w:rsid w:val="00314E92"/>
    <w:rsid w:val="00314FEF"/>
    <w:rsid w:val="0031515D"/>
    <w:rsid w:val="003151B5"/>
    <w:rsid w:val="0031528C"/>
    <w:rsid w:val="003152B1"/>
    <w:rsid w:val="003153FD"/>
    <w:rsid w:val="00315585"/>
    <w:rsid w:val="00315BA6"/>
    <w:rsid w:val="00315C2B"/>
    <w:rsid w:val="00315CE8"/>
    <w:rsid w:val="00315DA2"/>
    <w:rsid w:val="00315E87"/>
    <w:rsid w:val="003162AF"/>
    <w:rsid w:val="003163AC"/>
    <w:rsid w:val="003164AD"/>
    <w:rsid w:val="00316739"/>
    <w:rsid w:val="00316755"/>
    <w:rsid w:val="0031684D"/>
    <w:rsid w:val="00316892"/>
    <w:rsid w:val="00316B37"/>
    <w:rsid w:val="00316B3B"/>
    <w:rsid w:val="00316C3A"/>
    <w:rsid w:val="00316D35"/>
    <w:rsid w:val="00316E35"/>
    <w:rsid w:val="00316ED9"/>
    <w:rsid w:val="003170E0"/>
    <w:rsid w:val="0031726B"/>
    <w:rsid w:val="003173F8"/>
    <w:rsid w:val="0031740F"/>
    <w:rsid w:val="00317574"/>
    <w:rsid w:val="003176C5"/>
    <w:rsid w:val="003176FC"/>
    <w:rsid w:val="00317797"/>
    <w:rsid w:val="00317974"/>
    <w:rsid w:val="00317995"/>
    <w:rsid w:val="003179AD"/>
    <w:rsid w:val="00317B78"/>
    <w:rsid w:val="00317BD0"/>
    <w:rsid w:val="00317C25"/>
    <w:rsid w:val="00317CA9"/>
    <w:rsid w:val="00317E18"/>
    <w:rsid w:val="00317F34"/>
    <w:rsid w:val="00320110"/>
    <w:rsid w:val="00320153"/>
    <w:rsid w:val="003201AE"/>
    <w:rsid w:val="003201E0"/>
    <w:rsid w:val="003201EA"/>
    <w:rsid w:val="003202E7"/>
    <w:rsid w:val="003202F8"/>
    <w:rsid w:val="0032044F"/>
    <w:rsid w:val="00320493"/>
    <w:rsid w:val="003204F6"/>
    <w:rsid w:val="003205CB"/>
    <w:rsid w:val="003205FC"/>
    <w:rsid w:val="00320637"/>
    <w:rsid w:val="003207BD"/>
    <w:rsid w:val="00320898"/>
    <w:rsid w:val="003208FE"/>
    <w:rsid w:val="00320A0D"/>
    <w:rsid w:val="00320A6A"/>
    <w:rsid w:val="00320BD7"/>
    <w:rsid w:val="00320C37"/>
    <w:rsid w:val="00320CF6"/>
    <w:rsid w:val="00320D06"/>
    <w:rsid w:val="00320DE6"/>
    <w:rsid w:val="00320E22"/>
    <w:rsid w:val="00320EA1"/>
    <w:rsid w:val="00320ED5"/>
    <w:rsid w:val="00320FA9"/>
    <w:rsid w:val="0032112C"/>
    <w:rsid w:val="003211F9"/>
    <w:rsid w:val="00321367"/>
    <w:rsid w:val="003213B0"/>
    <w:rsid w:val="00321530"/>
    <w:rsid w:val="003216BB"/>
    <w:rsid w:val="003216DF"/>
    <w:rsid w:val="0032170C"/>
    <w:rsid w:val="00321823"/>
    <w:rsid w:val="0032182C"/>
    <w:rsid w:val="003218A6"/>
    <w:rsid w:val="003218E7"/>
    <w:rsid w:val="0032192D"/>
    <w:rsid w:val="00321AB8"/>
    <w:rsid w:val="00321B12"/>
    <w:rsid w:val="00321BA4"/>
    <w:rsid w:val="00321C8D"/>
    <w:rsid w:val="00321CA6"/>
    <w:rsid w:val="00321D40"/>
    <w:rsid w:val="00321F30"/>
    <w:rsid w:val="00321FEB"/>
    <w:rsid w:val="003220A8"/>
    <w:rsid w:val="00322128"/>
    <w:rsid w:val="00322143"/>
    <w:rsid w:val="00322262"/>
    <w:rsid w:val="003222C8"/>
    <w:rsid w:val="0032231B"/>
    <w:rsid w:val="00322454"/>
    <w:rsid w:val="00322489"/>
    <w:rsid w:val="003224CE"/>
    <w:rsid w:val="003227AC"/>
    <w:rsid w:val="00322844"/>
    <w:rsid w:val="00322958"/>
    <w:rsid w:val="0032296F"/>
    <w:rsid w:val="00322A24"/>
    <w:rsid w:val="00322A79"/>
    <w:rsid w:val="00322A92"/>
    <w:rsid w:val="00322AC5"/>
    <w:rsid w:val="00322BBF"/>
    <w:rsid w:val="00322C99"/>
    <w:rsid w:val="00322CBB"/>
    <w:rsid w:val="00322DF6"/>
    <w:rsid w:val="00322F6A"/>
    <w:rsid w:val="00322FBC"/>
    <w:rsid w:val="00322FE0"/>
    <w:rsid w:val="00323141"/>
    <w:rsid w:val="00323237"/>
    <w:rsid w:val="0032334A"/>
    <w:rsid w:val="00323464"/>
    <w:rsid w:val="00323515"/>
    <w:rsid w:val="0032379B"/>
    <w:rsid w:val="0032379F"/>
    <w:rsid w:val="00323E82"/>
    <w:rsid w:val="00323FF6"/>
    <w:rsid w:val="00324022"/>
    <w:rsid w:val="0032403B"/>
    <w:rsid w:val="00324152"/>
    <w:rsid w:val="0032419E"/>
    <w:rsid w:val="00324226"/>
    <w:rsid w:val="0032433A"/>
    <w:rsid w:val="00324393"/>
    <w:rsid w:val="003243CC"/>
    <w:rsid w:val="003243FE"/>
    <w:rsid w:val="00324462"/>
    <w:rsid w:val="003244E9"/>
    <w:rsid w:val="003244EE"/>
    <w:rsid w:val="0032475D"/>
    <w:rsid w:val="0032477E"/>
    <w:rsid w:val="0032499B"/>
    <w:rsid w:val="00324A09"/>
    <w:rsid w:val="00324B1E"/>
    <w:rsid w:val="00324B5A"/>
    <w:rsid w:val="00324C21"/>
    <w:rsid w:val="00324CC2"/>
    <w:rsid w:val="00324D80"/>
    <w:rsid w:val="00324DBF"/>
    <w:rsid w:val="003250F0"/>
    <w:rsid w:val="0032517E"/>
    <w:rsid w:val="0032538A"/>
    <w:rsid w:val="00325390"/>
    <w:rsid w:val="00325473"/>
    <w:rsid w:val="00325496"/>
    <w:rsid w:val="003255F1"/>
    <w:rsid w:val="00325790"/>
    <w:rsid w:val="003257B5"/>
    <w:rsid w:val="0032582B"/>
    <w:rsid w:val="00325894"/>
    <w:rsid w:val="00325A98"/>
    <w:rsid w:val="00325C4E"/>
    <w:rsid w:val="00325C83"/>
    <w:rsid w:val="00325D3F"/>
    <w:rsid w:val="00325DFD"/>
    <w:rsid w:val="00325EE9"/>
    <w:rsid w:val="00325F07"/>
    <w:rsid w:val="00325F21"/>
    <w:rsid w:val="00325F31"/>
    <w:rsid w:val="00326344"/>
    <w:rsid w:val="00326416"/>
    <w:rsid w:val="0032649D"/>
    <w:rsid w:val="0032657C"/>
    <w:rsid w:val="003266DA"/>
    <w:rsid w:val="003267CA"/>
    <w:rsid w:val="003268BB"/>
    <w:rsid w:val="00326A17"/>
    <w:rsid w:val="00326AD3"/>
    <w:rsid w:val="00326C42"/>
    <w:rsid w:val="00326CBA"/>
    <w:rsid w:val="00326D2C"/>
    <w:rsid w:val="00326D53"/>
    <w:rsid w:val="00326E13"/>
    <w:rsid w:val="00326F78"/>
    <w:rsid w:val="003272B4"/>
    <w:rsid w:val="00327336"/>
    <w:rsid w:val="003273D9"/>
    <w:rsid w:val="00327779"/>
    <w:rsid w:val="00327792"/>
    <w:rsid w:val="00327879"/>
    <w:rsid w:val="00327A0F"/>
    <w:rsid w:val="00327AC6"/>
    <w:rsid w:val="00327CDA"/>
    <w:rsid w:val="00327E7B"/>
    <w:rsid w:val="00330066"/>
    <w:rsid w:val="003300CF"/>
    <w:rsid w:val="0033014F"/>
    <w:rsid w:val="00330209"/>
    <w:rsid w:val="0033036B"/>
    <w:rsid w:val="003305DB"/>
    <w:rsid w:val="00330627"/>
    <w:rsid w:val="003306AD"/>
    <w:rsid w:val="003308B5"/>
    <w:rsid w:val="003308E4"/>
    <w:rsid w:val="003309BF"/>
    <w:rsid w:val="00330ACC"/>
    <w:rsid w:val="00330B58"/>
    <w:rsid w:val="00330BF5"/>
    <w:rsid w:val="00330EC9"/>
    <w:rsid w:val="00330F12"/>
    <w:rsid w:val="003311E1"/>
    <w:rsid w:val="003312B6"/>
    <w:rsid w:val="00331359"/>
    <w:rsid w:val="00331799"/>
    <w:rsid w:val="003317EF"/>
    <w:rsid w:val="003317FC"/>
    <w:rsid w:val="003319A1"/>
    <w:rsid w:val="00331A01"/>
    <w:rsid w:val="00331A66"/>
    <w:rsid w:val="00331CCA"/>
    <w:rsid w:val="00331D5C"/>
    <w:rsid w:val="00331D9C"/>
    <w:rsid w:val="00331E69"/>
    <w:rsid w:val="00331EA6"/>
    <w:rsid w:val="00331F03"/>
    <w:rsid w:val="003321AC"/>
    <w:rsid w:val="003321EC"/>
    <w:rsid w:val="00332238"/>
    <w:rsid w:val="00332370"/>
    <w:rsid w:val="00332392"/>
    <w:rsid w:val="003323D8"/>
    <w:rsid w:val="00332499"/>
    <w:rsid w:val="003326A4"/>
    <w:rsid w:val="00332838"/>
    <w:rsid w:val="00332973"/>
    <w:rsid w:val="00332A7A"/>
    <w:rsid w:val="00332B89"/>
    <w:rsid w:val="00332D09"/>
    <w:rsid w:val="00332D2A"/>
    <w:rsid w:val="00332E0C"/>
    <w:rsid w:val="003331D2"/>
    <w:rsid w:val="003334EF"/>
    <w:rsid w:val="003336DC"/>
    <w:rsid w:val="00333845"/>
    <w:rsid w:val="0033393A"/>
    <w:rsid w:val="003339A0"/>
    <w:rsid w:val="003339E7"/>
    <w:rsid w:val="00333BD4"/>
    <w:rsid w:val="00333D00"/>
    <w:rsid w:val="00333DE4"/>
    <w:rsid w:val="00333EB9"/>
    <w:rsid w:val="00333EC7"/>
    <w:rsid w:val="00334096"/>
    <w:rsid w:val="003340AF"/>
    <w:rsid w:val="003340D4"/>
    <w:rsid w:val="0033437D"/>
    <w:rsid w:val="003345AE"/>
    <w:rsid w:val="0033487B"/>
    <w:rsid w:val="003348EA"/>
    <w:rsid w:val="003349CD"/>
    <w:rsid w:val="00334A7E"/>
    <w:rsid w:val="00334A9B"/>
    <w:rsid w:val="00334B75"/>
    <w:rsid w:val="00334D2B"/>
    <w:rsid w:val="00334F6B"/>
    <w:rsid w:val="0033502A"/>
    <w:rsid w:val="00335040"/>
    <w:rsid w:val="003350B5"/>
    <w:rsid w:val="003350F1"/>
    <w:rsid w:val="0033514B"/>
    <w:rsid w:val="003351C1"/>
    <w:rsid w:val="003352FD"/>
    <w:rsid w:val="0033538F"/>
    <w:rsid w:val="003353F9"/>
    <w:rsid w:val="00335780"/>
    <w:rsid w:val="003357EA"/>
    <w:rsid w:val="00335A50"/>
    <w:rsid w:val="00335A8C"/>
    <w:rsid w:val="00335AA7"/>
    <w:rsid w:val="00335AF1"/>
    <w:rsid w:val="00335B76"/>
    <w:rsid w:val="00335B92"/>
    <w:rsid w:val="00335CA8"/>
    <w:rsid w:val="00335D5C"/>
    <w:rsid w:val="00335E04"/>
    <w:rsid w:val="00335E31"/>
    <w:rsid w:val="00335E73"/>
    <w:rsid w:val="00335F40"/>
    <w:rsid w:val="00335F57"/>
    <w:rsid w:val="00336001"/>
    <w:rsid w:val="00336004"/>
    <w:rsid w:val="003361BC"/>
    <w:rsid w:val="00336323"/>
    <w:rsid w:val="003363FD"/>
    <w:rsid w:val="0033645A"/>
    <w:rsid w:val="003364BA"/>
    <w:rsid w:val="003364C8"/>
    <w:rsid w:val="00336505"/>
    <w:rsid w:val="00336549"/>
    <w:rsid w:val="0033665E"/>
    <w:rsid w:val="00336661"/>
    <w:rsid w:val="00336808"/>
    <w:rsid w:val="00336859"/>
    <w:rsid w:val="003368BF"/>
    <w:rsid w:val="00336A64"/>
    <w:rsid w:val="00336A78"/>
    <w:rsid w:val="00336A90"/>
    <w:rsid w:val="00336BAE"/>
    <w:rsid w:val="00336C38"/>
    <w:rsid w:val="00336C74"/>
    <w:rsid w:val="00337005"/>
    <w:rsid w:val="00337042"/>
    <w:rsid w:val="0033713A"/>
    <w:rsid w:val="0033716D"/>
    <w:rsid w:val="00337278"/>
    <w:rsid w:val="003372DE"/>
    <w:rsid w:val="00337439"/>
    <w:rsid w:val="00337445"/>
    <w:rsid w:val="00337472"/>
    <w:rsid w:val="00337608"/>
    <w:rsid w:val="0033784F"/>
    <w:rsid w:val="0033788E"/>
    <w:rsid w:val="003378C2"/>
    <w:rsid w:val="0033799F"/>
    <w:rsid w:val="00337A3C"/>
    <w:rsid w:val="00337C10"/>
    <w:rsid w:val="00337CBD"/>
    <w:rsid w:val="00337D94"/>
    <w:rsid w:val="00337E82"/>
    <w:rsid w:val="00337FA0"/>
    <w:rsid w:val="0034001C"/>
    <w:rsid w:val="003401DE"/>
    <w:rsid w:val="003402A2"/>
    <w:rsid w:val="003402C1"/>
    <w:rsid w:val="00340383"/>
    <w:rsid w:val="003404FA"/>
    <w:rsid w:val="0034059F"/>
    <w:rsid w:val="0034060A"/>
    <w:rsid w:val="00340624"/>
    <w:rsid w:val="00340673"/>
    <w:rsid w:val="003407CE"/>
    <w:rsid w:val="00340872"/>
    <w:rsid w:val="00340A7C"/>
    <w:rsid w:val="00340ABD"/>
    <w:rsid w:val="00340AC5"/>
    <w:rsid w:val="00340B83"/>
    <w:rsid w:val="00340B99"/>
    <w:rsid w:val="00340C19"/>
    <w:rsid w:val="00340E5B"/>
    <w:rsid w:val="00340E7A"/>
    <w:rsid w:val="00340EC3"/>
    <w:rsid w:val="00340F0E"/>
    <w:rsid w:val="00341375"/>
    <w:rsid w:val="003413A7"/>
    <w:rsid w:val="003416A1"/>
    <w:rsid w:val="0034174C"/>
    <w:rsid w:val="003417D1"/>
    <w:rsid w:val="003418AC"/>
    <w:rsid w:val="003419C2"/>
    <w:rsid w:val="003419F8"/>
    <w:rsid w:val="00341A47"/>
    <w:rsid w:val="00341AAF"/>
    <w:rsid w:val="00341AB2"/>
    <w:rsid w:val="00341AB6"/>
    <w:rsid w:val="00341BB5"/>
    <w:rsid w:val="00341FBB"/>
    <w:rsid w:val="0034207B"/>
    <w:rsid w:val="003420A8"/>
    <w:rsid w:val="00342262"/>
    <w:rsid w:val="00342288"/>
    <w:rsid w:val="00342395"/>
    <w:rsid w:val="00342401"/>
    <w:rsid w:val="0034247B"/>
    <w:rsid w:val="0034267D"/>
    <w:rsid w:val="00342885"/>
    <w:rsid w:val="0034299C"/>
    <w:rsid w:val="003429EC"/>
    <w:rsid w:val="003429F0"/>
    <w:rsid w:val="00342A68"/>
    <w:rsid w:val="00342A7D"/>
    <w:rsid w:val="00342B63"/>
    <w:rsid w:val="00342BB4"/>
    <w:rsid w:val="00342C0F"/>
    <w:rsid w:val="00342C72"/>
    <w:rsid w:val="00342DD2"/>
    <w:rsid w:val="00342F0D"/>
    <w:rsid w:val="00342F41"/>
    <w:rsid w:val="00343029"/>
    <w:rsid w:val="003431C5"/>
    <w:rsid w:val="0034325B"/>
    <w:rsid w:val="003432CC"/>
    <w:rsid w:val="00343657"/>
    <w:rsid w:val="0034379C"/>
    <w:rsid w:val="00343825"/>
    <w:rsid w:val="003438B9"/>
    <w:rsid w:val="003438D8"/>
    <w:rsid w:val="003438E0"/>
    <w:rsid w:val="00343909"/>
    <w:rsid w:val="00343994"/>
    <w:rsid w:val="00343B5F"/>
    <w:rsid w:val="00343C23"/>
    <w:rsid w:val="00343D65"/>
    <w:rsid w:val="00343F34"/>
    <w:rsid w:val="00344180"/>
    <w:rsid w:val="00344322"/>
    <w:rsid w:val="003443CD"/>
    <w:rsid w:val="003445BF"/>
    <w:rsid w:val="003445E8"/>
    <w:rsid w:val="00344769"/>
    <w:rsid w:val="003447DB"/>
    <w:rsid w:val="0034489C"/>
    <w:rsid w:val="003448CD"/>
    <w:rsid w:val="003448D1"/>
    <w:rsid w:val="003448F2"/>
    <w:rsid w:val="0034499F"/>
    <w:rsid w:val="00344AA4"/>
    <w:rsid w:val="00344ADD"/>
    <w:rsid w:val="00344C72"/>
    <w:rsid w:val="00344CBF"/>
    <w:rsid w:val="00344D78"/>
    <w:rsid w:val="00344ED9"/>
    <w:rsid w:val="0034531A"/>
    <w:rsid w:val="00345349"/>
    <w:rsid w:val="00345398"/>
    <w:rsid w:val="003454AF"/>
    <w:rsid w:val="0034554D"/>
    <w:rsid w:val="003455C3"/>
    <w:rsid w:val="003458DC"/>
    <w:rsid w:val="003458E4"/>
    <w:rsid w:val="00345A31"/>
    <w:rsid w:val="00345AA3"/>
    <w:rsid w:val="00345B25"/>
    <w:rsid w:val="00345F36"/>
    <w:rsid w:val="00345F7C"/>
    <w:rsid w:val="0034601E"/>
    <w:rsid w:val="0034606D"/>
    <w:rsid w:val="00346094"/>
    <w:rsid w:val="00346101"/>
    <w:rsid w:val="00346179"/>
    <w:rsid w:val="00346292"/>
    <w:rsid w:val="0034652B"/>
    <w:rsid w:val="0034668B"/>
    <w:rsid w:val="003467E3"/>
    <w:rsid w:val="00346941"/>
    <w:rsid w:val="00346C7F"/>
    <w:rsid w:val="00346C8C"/>
    <w:rsid w:val="00346D9D"/>
    <w:rsid w:val="003470E6"/>
    <w:rsid w:val="00347175"/>
    <w:rsid w:val="003471DE"/>
    <w:rsid w:val="0034721B"/>
    <w:rsid w:val="0034721D"/>
    <w:rsid w:val="003472F1"/>
    <w:rsid w:val="003472FE"/>
    <w:rsid w:val="00347495"/>
    <w:rsid w:val="0034762D"/>
    <w:rsid w:val="0034785D"/>
    <w:rsid w:val="0034790B"/>
    <w:rsid w:val="00347931"/>
    <w:rsid w:val="003479F6"/>
    <w:rsid w:val="00347AFD"/>
    <w:rsid w:val="00347B39"/>
    <w:rsid w:val="00347C1D"/>
    <w:rsid w:val="00347C50"/>
    <w:rsid w:val="00347CD6"/>
    <w:rsid w:val="00347E71"/>
    <w:rsid w:val="00347E94"/>
    <w:rsid w:val="00347F0A"/>
    <w:rsid w:val="00350033"/>
    <w:rsid w:val="00350192"/>
    <w:rsid w:val="0035019F"/>
    <w:rsid w:val="003502B0"/>
    <w:rsid w:val="003503FF"/>
    <w:rsid w:val="00350443"/>
    <w:rsid w:val="003504AD"/>
    <w:rsid w:val="00350514"/>
    <w:rsid w:val="0035055A"/>
    <w:rsid w:val="00350601"/>
    <w:rsid w:val="003506B7"/>
    <w:rsid w:val="003507F9"/>
    <w:rsid w:val="00350853"/>
    <w:rsid w:val="00350876"/>
    <w:rsid w:val="003508C6"/>
    <w:rsid w:val="003509A7"/>
    <w:rsid w:val="003509BA"/>
    <w:rsid w:val="00350B9D"/>
    <w:rsid w:val="00350C12"/>
    <w:rsid w:val="00350D97"/>
    <w:rsid w:val="00351036"/>
    <w:rsid w:val="00351045"/>
    <w:rsid w:val="003511CF"/>
    <w:rsid w:val="003511E3"/>
    <w:rsid w:val="00351405"/>
    <w:rsid w:val="0035157E"/>
    <w:rsid w:val="0035168D"/>
    <w:rsid w:val="003517DF"/>
    <w:rsid w:val="003517E7"/>
    <w:rsid w:val="0035184F"/>
    <w:rsid w:val="0035197C"/>
    <w:rsid w:val="00351B75"/>
    <w:rsid w:val="00351BC0"/>
    <w:rsid w:val="00351D69"/>
    <w:rsid w:val="00351DD6"/>
    <w:rsid w:val="00351E26"/>
    <w:rsid w:val="00351F86"/>
    <w:rsid w:val="00351FB1"/>
    <w:rsid w:val="00352178"/>
    <w:rsid w:val="003521B6"/>
    <w:rsid w:val="00352270"/>
    <w:rsid w:val="00352331"/>
    <w:rsid w:val="003523E6"/>
    <w:rsid w:val="00352455"/>
    <w:rsid w:val="003524CF"/>
    <w:rsid w:val="0035251E"/>
    <w:rsid w:val="0035255B"/>
    <w:rsid w:val="00352628"/>
    <w:rsid w:val="00352642"/>
    <w:rsid w:val="0035267C"/>
    <w:rsid w:val="00352770"/>
    <w:rsid w:val="00352CB5"/>
    <w:rsid w:val="00352D33"/>
    <w:rsid w:val="00352DEA"/>
    <w:rsid w:val="00352E6B"/>
    <w:rsid w:val="00352FB2"/>
    <w:rsid w:val="003530E6"/>
    <w:rsid w:val="00353153"/>
    <w:rsid w:val="0035324C"/>
    <w:rsid w:val="0035334D"/>
    <w:rsid w:val="003533C4"/>
    <w:rsid w:val="003533D3"/>
    <w:rsid w:val="00353470"/>
    <w:rsid w:val="003534A1"/>
    <w:rsid w:val="003534F4"/>
    <w:rsid w:val="00353509"/>
    <w:rsid w:val="00353639"/>
    <w:rsid w:val="003536BC"/>
    <w:rsid w:val="0035372F"/>
    <w:rsid w:val="00353773"/>
    <w:rsid w:val="003537D7"/>
    <w:rsid w:val="003538EA"/>
    <w:rsid w:val="00353911"/>
    <w:rsid w:val="00353990"/>
    <w:rsid w:val="00353ACA"/>
    <w:rsid w:val="00353BB2"/>
    <w:rsid w:val="00353CF8"/>
    <w:rsid w:val="00353D55"/>
    <w:rsid w:val="00353FA8"/>
    <w:rsid w:val="00354036"/>
    <w:rsid w:val="003540A2"/>
    <w:rsid w:val="003541E1"/>
    <w:rsid w:val="0035428E"/>
    <w:rsid w:val="003542E8"/>
    <w:rsid w:val="00354427"/>
    <w:rsid w:val="003544AF"/>
    <w:rsid w:val="003545A6"/>
    <w:rsid w:val="003545B0"/>
    <w:rsid w:val="00354655"/>
    <w:rsid w:val="00354696"/>
    <w:rsid w:val="003546F5"/>
    <w:rsid w:val="00354A5E"/>
    <w:rsid w:val="00354A6C"/>
    <w:rsid w:val="00354ACC"/>
    <w:rsid w:val="00354B3B"/>
    <w:rsid w:val="00354BC4"/>
    <w:rsid w:val="00354BF3"/>
    <w:rsid w:val="00354CC6"/>
    <w:rsid w:val="00354CCB"/>
    <w:rsid w:val="00354CEA"/>
    <w:rsid w:val="00355039"/>
    <w:rsid w:val="0035506C"/>
    <w:rsid w:val="00355256"/>
    <w:rsid w:val="0035527D"/>
    <w:rsid w:val="0035527F"/>
    <w:rsid w:val="003552A9"/>
    <w:rsid w:val="003552BF"/>
    <w:rsid w:val="0035537B"/>
    <w:rsid w:val="00355442"/>
    <w:rsid w:val="00355577"/>
    <w:rsid w:val="0035558D"/>
    <w:rsid w:val="0035564C"/>
    <w:rsid w:val="00355691"/>
    <w:rsid w:val="0035579D"/>
    <w:rsid w:val="00355890"/>
    <w:rsid w:val="003558F1"/>
    <w:rsid w:val="0035598B"/>
    <w:rsid w:val="00355ADD"/>
    <w:rsid w:val="00355C01"/>
    <w:rsid w:val="00355DCE"/>
    <w:rsid w:val="00355DD6"/>
    <w:rsid w:val="00355DE8"/>
    <w:rsid w:val="00355E15"/>
    <w:rsid w:val="00355FA5"/>
    <w:rsid w:val="00356009"/>
    <w:rsid w:val="003560AE"/>
    <w:rsid w:val="003562B1"/>
    <w:rsid w:val="003562BF"/>
    <w:rsid w:val="003562DE"/>
    <w:rsid w:val="00356300"/>
    <w:rsid w:val="003564AC"/>
    <w:rsid w:val="00356700"/>
    <w:rsid w:val="00356734"/>
    <w:rsid w:val="00356985"/>
    <w:rsid w:val="00356A78"/>
    <w:rsid w:val="00356CEA"/>
    <w:rsid w:val="00356E24"/>
    <w:rsid w:val="00356E4B"/>
    <w:rsid w:val="00356F2A"/>
    <w:rsid w:val="00356F56"/>
    <w:rsid w:val="00356F65"/>
    <w:rsid w:val="0035702E"/>
    <w:rsid w:val="003570C9"/>
    <w:rsid w:val="00357266"/>
    <w:rsid w:val="003572A3"/>
    <w:rsid w:val="003572EC"/>
    <w:rsid w:val="00357405"/>
    <w:rsid w:val="0035740E"/>
    <w:rsid w:val="00357472"/>
    <w:rsid w:val="003574A0"/>
    <w:rsid w:val="003574CE"/>
    <w:rsid w:val="003574DD"/>
    <w:rsid w:val="0035753F"/>
    <w:rsid w:val="00357587"/>
    <w:rsid w:val="00357595"/>
    <w:rsid w:val="003577A9"/>
    <w:rsid w:val="003578AA"/>
    <w:rsid w:val="003578CD"/>
    <w:rsid w:val="0035797E"/>
    <w:rsid w:val="00357CE2"/>
    <w:rsid w:val="00357EC1"/>
    <w:rsid w:val="0036021A"/>
    <w:rsid w:val="00360282"/>
    <w:rsid w:val="003602BD"/>
    <w:rsid w:val="003603D3"/>
    <w:rsid w:val="00360471"/>
    <w:rsid w:val="003604B2"/>
    <w:rsid w:val="0036065E"/>
    <w:rsid w:val="00360702"/>
    <w:rsid w:val="003607A4"/>
    <w:rsid w:val="00360924"/>
    <w:rsid w:val="00360B14"/>
    <w:rsid w:val="00360B28"/>
    <w:rsid w:val="00360B40"/>
    <w:rsid w:val="00360C3A"/>
    <w:rsid w:val="00360CD2"/>
    <w:rsid w:val="00360CF3"/>
    <w:rsid w:val="00360D12"/>
    <w:rsid w:val="00360D36"/>
    <w:rsid w:val="00360D6E"/>
    <w:rsid w:val="00360DDE"/>
    <w:rsid w:val="00360F75"/>
    <w:rsid w:val="003610A0"/>
    <w:rsid w:val="0036115E"/>
    <w:rsid w:val="003612E1"/>
    <w:rsid w:val="0036138C"/>
    <w:rsid w:val="003613EC"/>
    <w:rsid w:val="003613ED"/>
    <w:rsid w:val="0036141C"/>
    <w:rsid w:val="003614A3"/>
    <w:rsid w:val="0036158E"/>
    <w:rsid w:val="003617F0"/>
    <w:rsid w:val="003618BD"/>
    <w:rsid w:val="003619CF"/>
    <w:rsid w:val="003619F8"/>
    <w:rsid w:val="00361A43"/>
    <w:rsid w:val="00361ACC"/>
    <w:rsid w:val="00361BC4"/>
    <w:rsid w:val="00361C4E"/>
    <w:rsid w:val="00361CF0"/>
    <w:rsid w:val="00361D4A"/>
    <w:rsid w:val="00361EFC"/>
    <w:rsid w:val="00362078"/>
    <w:rsid w:val="00362340"/>
    <w:rsid w:val="00362364"/>
    <w:rsid w:val="00362485"/>
    <w:rsid w:val="003624CF"/>
    <w:rsid w:val="00362646"/>
    <w:rsid w:val="00362651"/>
    <w:rsid w:val="003626A0"/>
    <w:rsid w:val="003628B6"/>
    <w:rsid w:val="003629FC"/>
    <w:rsid w:val="00362A68"/>
    <w:rsid w:val="00362BD4"/>
    <w:rsid w:val="00362CCD"/>
    <w:rsid w:val="00362D3D"/>
    <w:rsid w:val="00362F10"/>
    <w:rsid w:val="00363107"/>
    <w:rsid w:val="00363116"/>
    <w:rsid w:val="003631B8"/>
    <w:rsid w:val="003631E9"/>
    <w:rsid w:val="00363399"/>
    <w:rsid w:val="003633AD"/>
    <w:rsid w:val="003633FD"/>
    <w:rsid w:val="003634BC"/>
    <w:rsid w:val="00363563"/>
    <w:rsid w:val="003636DF"/>
    <w:rsid w:val="003637A2"/>
    <w:rsid w:val="003637BA"/>
    <w:rsid w:val="00363921"/>
    <w:rsid w:val="00363A44"/>
    <w:rsid w:val="00363B12"/>
    <w:rsid w:val="00363D19"/>
    <w:rsid w:val="00363DA4"/>
    <w:rsid w:val="00363E47"/>
    <w:rsid w:val="00363E5D"/>
    <w:rsid w:val="0036401F"/>
    <w:rsid w:val="003640E3"/>
    <w:rsid w:val="003642A1"/>
    <w:rsid w:val="0036440D"/>
    <w:rsid w:val="00364620"/>
    <w:rsid w:val="00364752"/>
    <w:rsid w:val="003648CC"/>
    <w:rsid w:val="003648F2"/>
    <w:rsid w:val="003649D2"/>
    <w:rsid w:val="003649EA"/>
    <w:rsid w:val="00364A1C"/>
    <w:rsid w:val="00364CC7"/>
    <w:rsid w:val="00364E32"/>
    <w:rsid w:val="00364F5E"/>
    <w:rsid w:val="00364FF5"/>
    <w:rsid w:val="00365391"/>
    <w:rsid w:val="00365455"/>
    <w:rsid w:val="0036554B"/>
    <w:rsid w:val="00365719"/>
    <w:rsid w:val="00365810"/>
    <w:rsid w:val="00365847"/>
    <w:rsid w:val="00365A1E"/>
    <w:rsid w:val="00365A66"/>
    <w:rsid w:val="00365BD3"/>
    <w:rsid w:val="00365CBF"/>
    <w:rsid w:val="00365D5B"/>
    <w:rsid w:val="00365DFB"/>
    <w:rsid w:val="00365E08"/>
    <w:rsid w:val="00365E64"/>
    <w:rsid w:val="00365F27"/>
    <w:rsid w:val="00366592"/>
    <w:rsid w:val="00366619"/>
    <w:rsid w:val="003666BE"/>
    <w:rsid w:val="00366701"/>
    <w:rsid w:val="0036674A"/>
    <w:rsid w:val="00366777"/>
    <w:rsid w:val="0036681A"/>
    <w:rsid w:val="00366890"/>
    <w:rsid w:val="003668C9"/>
    <w:rsid w:val="00366964"/>
    <w:rsid w:val="00366996"/>
    <w:rsid w:val="00366ACD"/>
    <w:rsid w:val="00366C9F"/>
    <w:rsid w:val="00366D98"/>
    <w:rsid w:val="00366F00"/>
    <w:rsid w:val="00366F8E"/>
    <w:rsid w:val="00366F93"/>
    <w:rsid w:val="003670E6"/>
    <w:rsid w:val="0036710E"/>
    <w:rsid w:val="00367115"/>
    <w:rsid w:val="003673A9"/>
    <w:rsid w:val="0036750C"/>
    <w:rsid w:val="00367512"/>
    <w:rsid w:val="0036766F"/>
    <w:rsid w:val="003678B9"/>
    <w:rsid w:val="00367919"/>
    <w:rsid w:val="003679CA"/>
    <w:rsid w:val="00367B6F"/>
    <w:rsid w:val="00367C82"/>
    <w:rsid w:val="00367CA5"/>
    <w:rsid w:val="00367CA9"/>
    <w:rsid w:val="00367FBF"/>
    <w:rsid w:val="0037018A"/>
    <w:rsid w:val="00370384"/>
    <w:rsid w:val="003703C5"/>
    <w:rsid w:val="0037043B"/>
    <w:rsid w:val="0037075A"/>
    <w:rsid w:val="00370897"/>
    <w:rsid w:val="003709DD"/>
    <w:rsid w:val="00370CB1"/>
    <w:rsid w:val="00370CFF"/>
    <w:rsid w:val="00370D79"/>
    <w:rsid w:val="00370DF8"/>
    <w:rsid w:val="00370F20"/>
    <w:rsid w:val="003710E7"/>
    <w:rsid w:val="003713E4"/>
    <w:rsid w:val="0037157D"/>
    <w:rsid w:val="003715B7"/>
    <w:rsid w:val="0037166E"/>
    <w:rsid w:val="003716CC"/>
    <w:rsid w:val="003717AA"/>
    <w:rsid w:val="00371D40"/>
    <w:rsid w:val="00371E30"/>
    <w:rsid w:val="00371E63"/>
    <w:rsid w:val="00371EFD"/>
    <w:rsid w:val="00372124"/>
    <w:rsid w:val="00372142"/>
    <w:rsid w:val="00372205"/>
    <w:rsid w:val="0037225B"/>
    <w:rsid w:val="00372304"/>
    <w:rsid w:val="00372398"/>
    <w:rsid w:val="00372494"/>
    <w:rsid w:val="003724E1"/>
    <w:rsid w:val="003725A6"/>
    <w:rsid w:val="0037262F"/>
    <w:rsid w:val="0037272B"/>
    <w:rsid w:val="00372779"/>
    <w:rsid w:val="0037283A"/>
    <w:rsid w:val="0037287E"/>
    <w:rsid w:val="00372A25"/>
    <w:rsid w:val="00372A96"/>
    <w:rsid w:val="00372ACB"/>
    <w:rsid w:val="00372ADF"/>
    <w:rsid w:val="00372B4A"/>
    <w:rsid w:val="00372D3D"/>
    <w:rsid w:val="00372DDB"/>
    <w:rsid w:val="00372E94"/>
    <w:rsid w:val="003731A2"/>
    <w:rsid w:val="0037355E"/>
    <w:rsid w:val="00373563"/>
    <w:rsid w:val="00373663"/>
    <w:rsid w:val="003737B0"/>
    <w:rsid w:val="00373886"/>
    <w:rsid w:val="0037394C"/>
    <w:rsid w:val="00373951"/>
    <w:rsid w:val="0037399F"/>
    <w:rsid w:val="00373A3C"/>
    <w:rsid w:val="00373A6B"/>
    <w:rsid w:val="00373A84"/>
    <w:rsid w:val="00373C92"/>
    <w:rsid w:val="00373CCE"/>
    <w:rsid w:val="00373DB5"/>
    <w:rsid w:val="00373EF1"/>
    <w:rsid w:val="00373FBD"/>
    <w:rsid w:val="00374174"/>
    <w:rsid w:val="00374177"/>
    <w:rsid w:val="0037422D"/>
    <w:rsid w:val="00374275"/>
    <w:rsid w:val="003743A7"/>
    <w:rsid w:val="0037449A"/>
    <w:rsid w:val="00374527"/>
    <w:rsid w:val="003745B3"/>
    <w:rsid w:val="003746F7"/>
    <w:rsid w:val="0037488E"/>
    <w:rsid w:val="00374A30"/>
    <w:rsid w:val="00374A55"/>
    <w:rsid w:val="00374AC9"/>
    <w:rsid w:val="00374AF2"/>
    <w:rsid w:val="00374CD9"/>
    <w:rsid w:val="00374F53"/>
    <w:rsid w:val="003750E8"/>
    <w:rsid w:val="00375115"/>
    <w:rsid w:val="0037515E"/>
    <w:rsid w:val="0037516B"/>
    <w:rsid w:val="0037518B"/>
    <w:rsid w:val="003751AE"/>
    <w:rsid w:val="003751B8"/>
    <w:rsid w:val="00375280"/>
    <w:rsid w:val="0037534D"/>
    <w:rsid w:val="00375373"/>
    <w:rsid w:val="003753DE"/>
    <w:rsid w:val="00375552"/>
    <w:rsid w:val="00375657"/>
    <w:rsid w:val="00375850"/>
    <w:rsid w:val="00375854"/>
    <w:rsid w:val="00375AA0"/>
    <w:rsid w:val="00375C81"/>
    <w:rsid w:val="00375D85"/>
    <w:rsid w:val="00375E7E"/>
    <w:rsid w:val="00375F8B"/>
    <w:rsid w:val="00376005"/>
    <w:rsid w:val="0037600E"/>
    <w:rsid w:val="00376018"/>
    <w:rsid w:val="0037602A"/>
    <w:rsid w:val="003760C7"/>
    <w:rsid w:val="00376193"/>
    <w:rsid w:val="003761BC"/>
    <w:rsid w:val="0037649E"/>
    <w:rsid w:val="003764C7"/>
    <w:rsid w:val="00376510"/>
    <w:rsid w:val="003766DA"/>
    <w:rsid w:val="00376777"/>
    <w:rsid w:val="00376877"/>
    <w:rsid w:val="00376A96"/>
    <w:rsid w:val="00376B9E"/>
    <w:rsid w:val="00376C71"/>
    <w:rsid w:val="00376C73"/>
    <w:rsid w:val="00376DD2"/>
    <w:rsid w:val="00376DE0"/>
    <w:rsid w:val="00376F85"/>
    <w:rsid w:val="00376FFF"/>
    <w:rsid w:val="0037712C"/>
    <w:rsid w:val="003771E3"/>
    <w:rsid w:val="003771FA"/>
    <w:rsid w:val="00377341"/>
    <w:rsid w:val="0037736F"/>
    <w:rsid w:val="003773C2"/>
    <w:rsid w:val="003774EC"/>
    <w:rsid w:val="003775EC"/>
    <w:rsid w:val="0037796D"/>
    <w:rsid w:val="00377AA8"/>
    <w:rsid w:val="00377B4E"/>
    <w:rsid w:val="00377BC6"/>
    <w:rsid w:val="00377C17"/>
    <w:rsid w:val="00377C74"/>
    <w:rsid w:val="00377C82"/>
    <w:rsid w:val="00377D60"/>
    <w:rsid w:val="00377DC8"/>
    <w:rsid w:val="00377DE0"/>
    <w:rsid w:val="00377DFF"/>
    <w:rsid w:val="00377F06"/>
    <w:rsid w:val="00377FB5"/>
    <w:rsid w:val="00380079"/>
    <w:rsid w:val="00380180"/>
    <w:rsid w:val="00380190"/>
    <w:rsid w:val="003801D7"/>
    <w:rsid w:val="00380204"/>
    <w:rsid w:val="003802AC"/>
    <w:rsid w:val="003802F7"/>
    <w:rsid w:val="0038038B"/>
    <w:rsid w:val="00380474"/>
    <w:rsid w:val="003805B0"/>
    <w:rsid w:val="003806F8"/>
    <w:rsid w:val="003808B1"/>
    <w:rsid w:val="00380C81"/>
    <w:rsid w:val="00380D78"/>
    <w:rsid w:val="00380E42"/>
    <w:rsid w:val="00380E5F"/>
    <w:rsid w:val="00380E60"/>
    <w:rsid w:val="00380F3D"/>
    <w:rsid w:val="00380FA2"/>
    <w:rsid w:val="003810FE"/>
    <w:rsid w:val="00381146"/>
    <w:rsid w:val="0038131C"/>
    <w:rsid w:val="00381332"/>
    <w:rsid w:val="00381516"/>
    <w:rsid w:val="003815A7"/>
    <w:rsid w:val="003815FC"/>
    <w:rsid w:val="00381641"/>
    <w:rsid w:val="0038168B"/>
    <w:rsid w:val="0038177A"/>
    <w:rsid w:val="00381859"/>
    <w:rsid w:val="0038186E"/>
    <w:rsid w:val="0038192C"/>
    <w:rsid w:val="00381A3A"/>
    <w:rsid w:val="00381D37"/>
    <w:rsid w:val="00381D56"/>
    <w:rsid w:val="00381EC9"/>
    <w:rsid w:val="00381F55"/>
    <w:rsid w:val="00381FAD"/>
    <w:rsid w:val="00382089"/>
    <w:rsid w:val="003821A2"/>
    <w:rsid w:val="00382296"/>
    <w:rsid w:val="0038231B"/>
    <w:rsid w:val="0038234B"/>
    <w:rsid w:val="003823F6"/>
    <w:rsid w:val="003824AA"/>
    <w:rsid w:val="003826A9"/>
    <w:rsid w:val="00382769"/>
    <w:rsid w:val="00382C25"/>
    <w:rsid w:val="00382C99"/>
    <w:rsid w:val="00382E3B"/>
    <w:rsid w:val="00383027"/>
    <w:rsid w:val="0038323B"/>
    <w:rsid w:val="00383314"/>
    <w:rsid w:val="00383340"/>
    <w:rsid w:val="00383365"/>
    <w:rsid w:val="003833B1"/>
    <w:rsid w:val="003834DA"/>
    <w:rsid w:val="00383505"/>
    <w:rsid w:val="00383529"/>
    <w:rsid w:val="0038385C"/>
    <w:rsid w:val="003838B0"/>
    <w:rsid w:val="0038390B"/>
    <w:rsid w:val="00383976"/>
    <w:rsid w:val="00383A52"/>
    <w:rsid w:val="00383C62"/>
    <w:rsid w:val="00383DB9"/>
    <w:rsid w:val="00383E07"/>
    <w:rsid w:val="00383F7C"/>
    <w:rsid w:val="00383F88"/>
    <w:rsid w:val="00384188"/>
    <w:rsid w:val="0038432E"/>
    <w:rsid w:val="00384355"/>
    <w:rsid w:val="00384363"/>
    <w:rsid w:val="003844E5"/>
    <w:rsid w:val="003846D6"/>
    <w:rsid w:val="0038475F"/>
    <w:rsid w:val="0038491A"/>
    <w:rsid w:val="0038498F"/>
    <w:rsid w:val="00384ABE"/>
    <w:rsid w:val="00384AFA"/>
    <w:rsid w:val="00384D40"/>
    <w:rsid w:val="00384DB4"/>
    <w:rsid w:val="00384E1D"/>
    <w:rsid w:val="00385011"/>
    <w:rsid w:val="0038508B"/>
    <w:rsid w:val="003851DD"/>
    <w:rsid w:val="0038540C"/>
    <w:rsid w:val="0038549C"/>
    <w:rsid w:val="003854E9"/>
    <w:rsid w:val="0038556E"/>
    <w:rsid w:val="003856BE"/>
    <w:rsid w:val="003856F0"/>
    <w:rsid w:val="00385845"/>
    <w:rsid w:val="00385902"/>
    <w:rsid w:val="00385A57"/>
    <w:rsid w:val="00385BA1"/>
    <w:rsid w:val="00385BB2"/>
    <w:rsid w:val="00385C43"/>
    <w:rsid w:val="00385CC6"/>
    <w:rsid w:val="00385E53"/>
    <w:rsid w:val="00385FD6"/>
    <w:rsid w:val="003860AA"/>
    <w:rsid w:val="00386377"/>
    <w:rsid w:val="00386378"/>
    <w:rsid w:val="003863C4"/>
    <w:rsid w:val="003863E1"/>
    <w:rsid w:val="003864D1"/>
    <w:rsid w:val="003865B3"/>
    <w:rsid w:val="00386753"/>
    <w:rsid w:val="003868C9"/>
    <w:rsid w:val="00386912"/>
    <w:rsid w:val="00386A41"/>
    <w:rsid w:val="00386A9D"/>
    <w:rsid w:val="00386AD9"/>
    <w:rsid w:val="00386AE8"/>
    <w:rsid w:val="00386B0D"/>
    <w:rsid w:val="00386D23"/>
    <w:rsid w:val="00386F86"/>
    <w:rsid w:val="00386FD7"/>
    <w:rsid w:val="00387130"/>
    <w:rsid w:val="00387547"/>
    <w:rsid w:val="0038758F"/>
    <w:rsid w:val="003875F8"/>
    <w:rsid w:val="00387766"/>
    <w:rsid w:val="00387794"/>
    <w:rsid w:val="003877E5"/>
    <w:rsid w:val="00387802"/>
    <w:rsid w:val="00387858"/>
    <w:rsid w:val="0038792D"/>
    <w:rsid w:val="00387965"/>
    <w:rsid w:val="00387ACA"/>
    <w:rsid w:val="00387B1B"/>
    <w:rsid w:val="00387B7F"/>
    <w:rsid w:val="00387D1B"/>
    <w:rsid w:val="00387D22"/>
    <w:rsid w:val="00387EBD"/>
    <w:rsid w:val="00387FE6"/>
    <w:rsid w:val="00390166"/>
    <w:rsid w:val="00390342"/>
    <w:rsid w:val="003903BE"/>
    <w:rsid w:val="00390449"/>
    <w:rsid w:val="0039056E"/>
    <w:rsid w:val="003905EA"/>
    <w:rsid w:val="0039069C"/>
    <w:rsid w:val="00390882"/>
    <w:rsid w:val="003909B3"/>
    <w:rsid w:val="003909BE"/>
    <w:rsid w:val="00390B8C"/>
    <w:rsid w:val="00390BE5"/>
    <w:rsid w:val="00390BF3"/>
    <w:rsid w:val="00390C04"/>
    <w:rsid w:val="00390C37"/>
    <w:rsid w:val="00390C65"/>
    <w:rsid w:val="00390D48"/>
    <w:rsid w:val="00390D88"/>
    <w:rsid w:val="00390E16"/>
    <w:rsid w:val="00390EB5"/>
    <w:rsid w:val="00390EFB"/>
    <w:rsid w:val="00390F1A"/>
    <w:rsid w:val="00390FE8"/>
    <w:rsid w:val="0039104E"/>
    <w:rsid w:val="00391102"/>
    <w:rsid w:val="00391199"/>
    <w:rsid w:val="0039125A"/>
    <w:rsid w:val="003912E2"/>
    <w:rsid w:val="003914CC"/>
    <w:rsid w:val="003914D3"/>
    <w:rsid w:val="003915F4"/>
    <w:rsid w:val="003916F2"/>
    <w:rsid w:val="0039171F"/>
    <w:rsid w:val="00391870"/>
    <w:rsid w:val="0039190D"/>
    <w:rsid w:val="003919CD"/>
    <w:rsid w:val="00391B90"/>
    <w:rsid w:val="00391BE5"/>
    <w:rsid w:val="00391C3B"/>
    <w:rsid w:val="00391F0B"/>
    <w:rsid w:val="00391F1F"/>
    <w:rsid w:val="00391F5F"/>
    <w:rsid w:val="0039201E"/>
    <w:rsid w:val="003920F0"/>
    <w:rsid w:val="00392433"/>
    <w:rsid w:val="003924B7"/>
    <w:rsid w:val="00392618"/>
    <w:rsid w:val="0039271C"/>
    <w:rsid w:val="00392915"/>
    <w:rsid w:val="003929EE"/>
    <w:rsid w:val="00392A24"/>
    <w:rsid w:val="00392A94"/>
    <w:rsid w:val="00392C39"/>
    <w:rsid w:val="00392CDB"/>
    <w:rsid w:val="00392CDF"/>
    <w:rsid w:val="00392D01"/>
    <w:rsid w:val="00392D65"/>
    <w:rsid w:val="00392D99"/>
    <w:rsid w:val="00392E36"/>
    <w:rsid w:val="00392E57"/>
    <w:rsid w:val="00392EF1"/>
    <w:rsid w:val="0039317B"/>
    <w:rsid w:val="003931D1"/>
    <w:rsid w:val="003931DB"/>
    <w:rsid w:val="00393222"/>
    <w:rsid w:val="0039333F"/>
    <w:rsid w:val="0039342B"/>
    <w:rsid w:val="00393691"/>
    <w:rsid w:val="00393706"/>
    <w:rsid w:val="00393754"/>
    <w:rsid w:val="003938B2"/>
    <w:rsid w:val="00393A8B"/>
    <w:rsid w:val="00393D6B"/>
    <w:rsid w:val="00393E05"/>
    <w:rsid w:val="00393E35"/>
    <w:rsid w:val="00393F9A"/>
    <w:rsid w:val="00394056"/>
    <w:rsid w:val="00394103"/>
    <w:rsid w:val="0039410E"/>
    <w:rsid w:val="0039411C"/>
    <w:rsid w:val="00394151"/>
    <w:rsid w:val="00394393"/>
    <w:rsid w:val="003943D8"/>
    <w:rsid w:val="0039451B"/>
    <w:rsid w:val="003945B5"/>
    <w:rsid w:val="00394720"/>
    <w:rsid w:val="003947B9"/>
    <w:rsid w:val="00394841"/>
    <w:rsid w:val="003949F5"/>
    <w:rsid w:val="00394B1D"/>
    <w:rsid w:val="00394D5C"/>
    <w:rsid w:val="00394DC4"/>
    <w:rsid w:val="00394ECA"/>
    <w:rsid w:val="00394F7C"/>
    <w:rsid w:val="00394F90"/>
    <w:rsid w:val="00394FC1"/>
    <w:rsid w:val="00395020"/>
    <w:rsid w:val="00395025"/>
    <w:rsid w:val="003952BC"/>
    <w:rsid w:val="0039539D"/>
    <w:rsid w:val="003953F4"/>
    <w:rsid w:val="00395478"/>
    <w:rsid w:val="0039554D"/>
    <w:rsid w:val="003955A5"/>
    <w:rsid w:val="003955F1"/>
    <w:rsid w:val="00395712"/>
    <w:rsid w:val="00395857"/>
    <w:rsid w:val="00395865"/>
    <w:rsid w:val="00395984"/>
    <w:rsid w:val="003959B9"/>
    <w:rsid w:val="00395A8D"/>
    <w:rsid w:val="00395AB1"/>
    <w:rsid w:val="00395BFF"/>
    <w:rsid w:val="00395CFA"/>
    <w:rsid w:val="00395D43"/>
    <w:rsid w:val="00395DBC"/>
    <w:rsid w:val="00395DE3"/>
    <w:rsid w:val="00395DF9"/>
    <w:rsid w:val="00396079"/>
    <w:rsid w:val="0039607F"/>
    <w:rsid w:val="003960D8"/>
    <w:rsid w:val="0039613D"/>
    <w:rsid w:val="0039627E"/>
    <w:rsid w:val="003962EA"/>
    <w:rsid w:val="00396365"/>
    <w:rsid w:val="00396487"/>
    <w:rsid w:val="00396494"/>
    <w:rsid w:val="00396507"/>
    <w:rsid w:val="003966AF"/>
    <w:rsid w:val="003966BD"/>
    <w:rsid w:val="00396708"/>
    <w:rsid w:val="0039674B"/>
    <w:rsid w:val="0039676F"/>
    <w:rsid w:val="003967C4"/>
    <w:rsid w:val="00396830"/>
    <w:rsid w:val="003969E2"/>
    <w:rsid w:val="003969F1"/>
    <w:rsid w:val="00396A6A"/>
    <w:rsid w:val="00396AAE"/>
    <w:rsid w:val="00396ADF"/>
    <w:rsid w:val="00396AED"/>
    <w:rsid w:val="00396B8C"/>
    <w:rsid w:val="00396BB0"/>
    <w:rsid w:val="00396CC7"/>
    <w:rsid w:val="00396FC8"/>
    <w:rsid w:val="00396FE2"/>
    <w:rsid w:val="00397023"/>
    <w:rsid w:val="0039708C"/>
    <w:rsid w:val="0039714C"/>
    <w:rsid w:val="0039737F"/>
    <w:rsid w:val="00397520"/>
    <w:rsid w:val="003977A7"/>
    <w:rsid w:val="003977F2"/>
    <w:rsid w:val="0039784C"/>
    <w:rsid w:val="00397C1A"/>
    <w:rsid w:val="00397C93"/>
    <w:rsid w:val="00397CF6"/>
    <w:rsid w:val="00397EBA"/>
    <w:rsid w:val="00397F0D"/>
    <w:rsid w:val="00397F98"/>
    <w:rsid w:val="003A0113"/>
    <w:rsid w:val="003A019D"/>
    <w:rsid w:val="003A02AB"/>
    <w:rsid w:val="003A02FF"/>
    <w:rsid w:val="003A0358"/>
    <w:rsid w:val="003A0364"/>
    <w:rsid w:val="003A03BC"/>
    <w:rsid w:val="003A0606"/>
    <w:rsid w:val="003A06C5"/>
    <w:rsid w:val="003A06EA"/>
    <w:rsid w:val="003A06FF"/>
    <w:rsid w:val="003A078D"/>
    <w:rsid w:val="003A0908"/>
    <w:rsid w:val="003A0943"/>
    <w:rsid w:val="003A09E4"/>
    <w:rsid w:val="003A09EF"/>
    <w:rsid w:val="003A0A99"/>
    <w:rsid w:val="003A0C69"/>
    <w:rsid w:val="003A0C6F"/>
    <w:rsid w:val="003A0DCB"/>
    <w:rsid w:val="003A0E45"/>
    <w:rsid w:val="003A0E4E"/>
    <w:rsid w:val="003A1019"/>
    <w:rsid w:val="003A10C3"/>
    <w:rsid w:val="003A11B7"/>
    <w:rsid w:val="003A11CB"/>
    <w:rsid w:val="003A121A"/>
    <w:rsid w:val="003A1374"/>
    <w:rsid w:val="003A137F"/>
    <w:rsid w:val="003A13CA"/>
    <w:rsid w:val="003A14FB"/>
    <w:rsid w:val="003A156A"/>
    <w:rsid w:val="003A15F3"/>
    <w:rsid w:val="003A171E"/>
    <w:rsid w:val="003A1862"/>
    <w:rsid w:val="003A1983"/>
    <w:rsid w:val="003A19BC"/>
    <w:rsid w:val="003A1B5A"/>
    <w:rsid w:val="003A1D24"/>
    <w:rsid w:val="003A1DFA"/>
    <w:rsid w:val="003A201E"/>
    <w:rsid w:val="003A2288"/>
    <w:rsid w:val="003A22BA"/>
    <w:rsid w:val="003A23B2"/>
    <w:rsid w:val="003A2426"/>
    <w:rsid w:val="003A25A3"/>
    <w:rsid w:val="003A268F"/>
    <w:rsid w:val="003A2726"/>
    <w:rsid w:val="003A2831"/>
    <w:rsid w:val="003A291C"/>
    <w:rsid w:val="003A2B59"/>
    <w:rsid w:val="003A2B5E"/>
    <w:rsid w:val="003A2E3A"/>
    <w:rsid w:val="003A2FB1"/>
    <w:rsid w:val="003A2FD3"/>
    <w:rsid w:val="003A308C"/>
    <w:rsid w:val="003A3269"/>
    <w:rsid w:val="003A32E2"/>
    <w:rsid w:val="003A37D9"/>
    <w:rsid w:val="003A3893"/>
    <w:rsid w:val="003A3B07"/>
    <w:rsid w:val="003A3C58"/>
    <w:rsid w:val="003A3DDE"/>
    <w:rsid w:val="003A3E2B"/>
    <w:rsid w:val="003A3EB1"/>
    <w:rsid w:val="003A3EDF"/>
    <w:rsid w:val="003A4012"/>
    <w:rsid w:val="003A4135"/>
    <w:rsid w:val="003A4166"/>
    <w:rsid w:val="003A4186"/>
    <w:rsid w:val="003A41AE"/>
    <w:rsid w:val="003A4238"/>
    <w:rsid w:val="003A4327"/>
    <w:rsid w:val="003A4413"/>
    <w:rsid w:val="003A4448"/>
    <w:rsid w:val="003A44B0"/>
    <w:rsid w:val="003A4541"/>
    <w:rsid w:val="003A46E5"/>
    <w:rsid w:val="003A4718"/>
    <w:rsid w:val="003A4755"/>
    <w:rsid w:val="003A499D"/>
    <w:rsid w:val="003A4A50"/>
    <w:rsid w:val="003A4B7D"/>
    <w:rsid w:val="003A4BD0"/>
    <w:rsid w:val="003A4C01"/>
    <w:rsid w:val="003A4CD8"/>
    <w:rsid w:val="003A4ED3"/>
    <w:rsid w:val="003A508A"/>
    <w:rsid w:val="003A5118"/>
    <w:rsid w:val="003A5150"/>
    <w:rsid w:val="003A5274"/>
    <w:rsid w:val="003A5280"/>
    <w:rsid w:val="003A5390"/>
    <w:rsid w:val="003A53DC"/>
    <w:rsid w:val="003A5750"/>
    <w:rsid w:val="003A579E"/>
    <w:rsid w:val="003A57AD"/>
    <w:rsid w:val="003A5837"/>
    <w:rsid w:val="003A5883"/>
    <w:rsid w:val="003A59E3"/>
    <w:rsid w:val="003A5BD2"/>
    <w:rsid w:val="003A5CCD"/>
    <w:rsid w:val="003A5DD1"/>
    <w:rsid w:val="003A5E29"/>
    <w:rsid w:val="003A5ED8"/>
    <w:rsid w:val="003A5EF0"/>
    <w:rsid w:val="003A6018"/>
    <w:rsid w:val="003A657B"/>
    <w:rsid w:val="003A6B50"/>
    <w:rsid w:val="003A6C37"/>
    <w:rsid w:val="003A6D05"/>
    <w:rsid w:val="003A6D4E"/>
    <w:rsid w:val="003A6D70"/>
    <w:rsid w:val="003A6DE4"/>
    <w:rsid w:val="003A6DFF"/>
    <w:rsid w:val="003A7003"/>
    <w:rsid w:val="003A703A"/>
    <w:rsid w:val="003A7171"/>
    <w:rsid w:val="003A7474"/>
    <w:rsid w:val="003A763E"/>
    <w:rsid w:val="003A7694"/>
    <w:rsid w:val="003A773F"/>
    <w:rsid w:val="003A77BF"/>
    <w:rsid w:val="003A78E5"/>
    <w:rsid w:val="003A79FD"/>
    <w:rsid w:val="003A7B12"/>
    <w:rsid w:val="003A7C2B"/>
    <w:rsid w:val="003A7E22"/>
    <w:rsid w:val="003A7F3F"/>
    <w:rsid w:val="003A7F41"/>
    <w:rsid w:val="003A7F8A"/>
    <w:rsid w:val="003A7FA2"/>
    <w:rsid w:val="003A7FF1"/>
    <w:rsid w:val="003B00B8"/>
    <w:rsid w:val="003B0135"/>
    <w:rsid w:val="003B05FE"/>
    <w:rsid w:val="003B0769"/>
    <w:rsid w:val="003B087C"/>
    <w:rsid w:val="003B09B0"/>
    <w:rsid w:val="003B0C16"/>
    <w:rsid w:val="003B0CD4"/>
    <w:rsid w:val="003B0D2C"/>
    <w:rsid w:val="003B0DFD"/>
    <w:rsid w:val="003B0E03"/>
    <w:rsid w:val="003B0E88"/>
    <w:rsid w:val="003B0F98"/>
    <w:rsid w:val="003B1065"/>
    <w:rsid w:val="003B1131"/>
    <w:rsid w:val="003B120C"/>
    <w:rsid w:val="003B16FD"/>
    <w:rsid w:val="003B174F"/>
    <w:rsid w:val="003B1867"/>
    <w:rsid w:val="003B1A49"/>
    <w:rsid w:val="003B1AD4"/>
    <w:rsid w:val="003B1ADE"/>
    <w:rsid w:val="003B1B45"/>
    <w:rsid w:val="003B1E7D"/>
    <w:rsid w:val="003B2090"/>
    <w:rsid w:val="003B20B0"/>
    <w:rsid w:val="003B2188"/>
    <w:rsid w:val="003B2256"/>
    <w:rsid w:val="003B2393"/>
    <w:rsid w:val="003B24BC"/>
    <w:rsid w:val="003B25EA"/>
    <w:rsid w:val="003B26BE"/>
    <w:rsid w:val="003B27E6"/>
    <w:rsid w:val="003B27EC"/>
    <w:rsid w:val="003B28B5"/>
    <w:rsid w:val="003B2998"/>
    <w:rsid w:val="003B2AE8"/>
    <w:rsid w:val="003B2B6D"/>
    <w:rsid w:val="003B2B7B"/>
    <w:rsid w:val="003B2C3D"/>
    <w:rsid w:val="003B2C69"/>
    <w:rsid w:val="003B2CEC"/>
    <w:rsid w:val="003B2D12"/>
    <w:rsid w:val="003B30AC"/>
    <w:rsid w:val="003B30EA"/>
    <w:rsid w:val="003B31FC"/>
    <w:rsid w:val="003B3312"/>
    <w:rsid w:val="003B33B6"/>
    <w:rsid w:val="003B340C"/>
    <w:rsid w:val="003B359C"/>
    <w:rsid w:val="003B37D5"/>
    <w:rsid w:val="003B3963"/>
    <w:rsid w:val="003B3A13"/>
    <w:rsid w:val="003B3B44"/>
    <w:rsid w:val="003B3C87"/>
    <w:rsid w:val="003B3E68"/>
    <w:rsid w:val="003B3E79"/>
    <w:rsid w:val="003B3F38"/>
    <w:rsid w:val="003B3F7C"/>
    <w:rsid w:val="003B4128"/>
    <w:rsid w:val="003B41C2"/>
    <w:rsid w:val="003B436B"/>
    <w:rsid w:val="003B4431"/>
    <w:rsid w:val="003B449A"/>
    <w:rsid w:val="003B463A"/>
    <w:rsid w:val="003B46E1"/>
    <w:rsid w:val="003B4719"/>
    <w:rsid w:val="003B4742"/>
    <w:rsid w:val="003B47D1"/>
    <w:rsid w:val="003B498E"/>
    <w:rsid w:val="003B4A8C"/>
    <w:rsid w:val="003B4B47"/>
    <w:rsid w:val="003B4C43"/>
    <w:rsid w:val="003B4CD8"/>
    <w:rsid w:val="003B4D55"/>
    <w:rsid w:val="003B4EB3"/>
    <w:rsid w:val="003B4EFB"/>
    <w:rsid w:val="003B51BF"/>
    <w:rsid w:val="003B53C3"/>
    <w:rsid w:val="003B54EB"/>
    <w:rsid w:val="003B54FA"/>
    <w:rsid w:val="003B559B"/>
    <w:rsid w:val="003B57B9"/>
    <w:rsid w:val="003B57DE"/>
    <w:rsid w:val="003B5849"/>
    <w:rsid w:val="003B58F9"/>
    <w:rsid w:val="003B59EF"/>
    <w:rsid w:val="003B59F7"/>
    <w:rsid w:val="003B5BEB"/>
    <w:rsid w:val="003B5D93"/>
    <w:rsid w:val="003B5E46"/>
    <w:rsid w:val="003B5E96"/>
    <w:rsid w:val="003B5EE7"/>
    <w:rsid w:val="003B5FDD"/>
    <w:rsid w:val="003B5FF5"/>
    <w:rsid w:val="003B60F2"/>
    <w:rsid w:val="003B6157"/>
    <w:rsid w:val="003B62F3"/>
    <w:rsid w:val="003B6365"/>
    <w:rsid w:val="003B652D"/>
    <w:rsid w:val="003B65B4"/>
    <w:rsid w:val="003B65EB"/>
    <w:rsid w:val="003B6755"/>
    <w:rsid w:val="003B67A5"/>
    <w:rsid w:val="003B681E"/>
    <w:rsid w:val="003B6915"/>
    <w:rsid w:val="003B69E5"/>
    <w:rsid w:val="003B6BE1"/>
    <w:rsid w:val="003B6C18"/>
    <w:rsid w:val="003B6DFD"/>
    <w:rsid w:val="003B6E03"/>
    <w:rsid w:val="003B6E0C"/>
    <w:rsid w:val="003B6E1E"/>
    <w:rsid w:val="003B6E90"/>
    <w:rsid w:val="003B6F61"/>
    <w:rsid w:val="003B6FF3"/>
    <w:rsid w:val="003B70C1"/>
    <w:rsid w:val="003B7136"/>
    <w:rsid w:val="003B7192"/>
    <w:rsid w:val="003B71FF"/>
    <w:rsid w:val="003B7221"/>
    <w:rsid w:val="003B72B0"/>
    <w:rsid w:val="003B72E1"/>
    <w:rsid w:val="003B7410"/>
    <w:rsid w:val="003B7479"/>
    <w:rsid w:val="003B7583"/>
    <w:rsid w:val="003B767E"/>
    <w:rsid w:val="003B76B8"/>
    <w:rsid w:val="003B77A9"/>
    <w:rsid w:val="003B7863"/>
    <w:rsid w:val="003B7912"/>
    <w:rsid w:val="003B798B"/>
    <w:rsid w:val="003B7A58"/>
    <w:rsid w:val="003B7A74"/>
    <w:rsid w:val="003B7CB2"/>
    <w:rsid w:val="003B7D7A"/>
    <w:rsid w:val="003B7E9F"/>
    <w:rsid w:val="003B7FE9"/>
    <w:rsid w:val="003C0004"/>
    <w:rsid w:val="003C0071"/>
    <w:rsid w:val="003C00A2"/>
    <w:rsid w:val="003C063A"/>
    <w:rsid w:val="003C06EC"/>
    <w:rsid w:val="003C0720"/>
    <w:rsid w:val="003C079F"/>
    <w:rsid w:val="003C0876"/>
    <w:rsid w:val="003C094E"/>
    <w:rsid w:val="003C09A2"/>
    <w:rsid w:val="003C0BF2"/>
    <w:rsid w:val="003C0C2A"/>
    <w:rsid w:val="003C0D62"/>
    <w:rsid w:val="003C0E21"/>
    <w:rsid w:val="003C0E6D"/>
    <w:rsid w:val="003C0F22"/>
    <w:rsid w:val="003C0FC2"/>
    <w:rsid w:val="003C103E"/>
    <w:rsid w:val="003C107A"/>
    <w:rsid w:val="003C10ED"/>
    <w:rsid w:val="003C11F3"/>
    <w:rsid w:val="003C141A"/>
    <w:rsid w:val="003C1642"/>
    <w:rsid w:val="003C164B"/>
    <w:rsid w:val="003C16A0"/>
    <w:rsid w:val="003C1884"/>
    <w:rsid w:val="003C18D2"/>
    <w:rsid w:val="003C1927"/>
    <w:rsid w:val="003C1928"/>
    <w:rsid w:val="003C1992"/>
    <w:rsid w:val="003C1B08"/>
    <w:rsid w:val="003C1C10"/>
    <w:rsid w:val="003C1C1F"/>
    <w:rsid w:val="003C1F69"/>
    <w:rsid w:val="003C1FAA"/>
    <w:rsid w:val="003C20A5"/>
    <w:rsid w:val="003C20B3"/>
    <w:rsid w:val="003C217F"/>
    <w:rsid w:val="003C22DD"/>
    <w:rsid w:val="003C23BE"/>
    <w:rsid w:val="003C2424"/>
    <w:rsid w:val="003C25E8"/>
    <w:rsid w:val="003C2615"/>
    <w:rsid w:val="003C28F3"/>
    <w:rsid w:val="003C2902"/>
    <w:rsid w:val="003C2CA1"/>
    <w:rsid w:val="003C2F23"/>
    <w:rsid w:val="003C3217"/>
    <w:rsid w:val="003C33A6"/>
    <w:rsid w:val="003C3423"/>
    <w:rsid w:val="003C34BF"/>
    <w:rsid w:val="003C34D5"/>
    <w:rsid w:val="003C34F5"/>
    <w:rsid w:val="003C364A"/>
    <w:rsid w:val="003C36A8"/>
    <w:rsid w:val="003C36F7"/>
    <w:rsid w:val="003C3919"/>
    <w:rsid w:val="003C39C8"/>
    <w:rsid w:val="003C3A19"/>
    <w:rsid w:val="003C3D86"/>
    <w:rsid w:val="003C3E41"/>
    <w:rsid w:val="003C3E9D"/>
    <w:rsid w:val="003C3EA4"/>
    <w:rsid w:val="003C3EB3"/>
    <w:rsid w:val="003C3EBF"/>
    <w:rsid w:val="003C3F02"/>
    <w:rsid w:val="003C40DF"/>
    <w:rsid w:val="003C41FB"/>
    <w:rsid w:val="003C43FB"/>
    <w:rsid w:val="003C4495"/>
    <w:rsid w:val="003C44F0"/>
    <w:rsid w:val="003C4639"/>
    <w:rsid w:val="003C46BB"/>
    <w:rsid w:val="003C4783"/>
    <w:rsid w:val="003C4A5A"/>
    <w:rsid w:val="003C4D0E"/>
    <w:rsid w:val="003C4E09"/>
    <w:rsid w:val="003C4EB2"/>
    <w:rsid w:val="003C4F5B"/>
    <w:rsid w:val="003C4FE9"/>
    <w:rsid w:val="003C51B2"/>
    <w:rsid w:val="003C5231"/>
    <w:rsid w:val="003C534F"/>
    <w:rsid w:val="003C53D7"/>
    <w:rsid w:val="003C5405"/>
    <w:rsid w:val="003C5477"/>
    <w:rsid w:val="003C55DA"/>
    <w:rsid w:val="003C5624"/>
    <w:rsid w:val="003C5646"/>
    <w:rsid w:val="003C57EC"/>
    <w:rsid w:val="003C57EE"/>
    <w:rsid w:val="003C597A"/>
    <w:rsid w:val="003C599A"/>
    <w:rsid w:val="003C5A23"/>
    <w:rsid w:val="003C5B28"/>
    <w:rsid w:val="003C5B6C"/>
    <w:rsid w:val="003C5C49"/>
    <w:rsid w:val="003C5D28"/>
    <w:rsid w:val="003C5D98"/>
    <w:rsid w:val="003C5DDD"/>
    <w:rsid w:val="003C5EC5"/>
    <w:rsid w:val="003C6025"/>
    <w:rsid w:val="003C6245"/>
    <w:rsid w:val="003C62E9"/>
    <w:rsid w:val="003C63A9"/>
    <w:rsid w:val="003C63FE"/>
    <w:rsid w:val="003C645B"/>
    <w:rsid w:val="003C64DD"/>
    <w:rsid w:val="003C664C"/>
    <w:rsid w:val="003C66AA"/>
    <w:rsid w:val="003C6962"/>
    <w:rsid w:val="003C69D5"/>
    <w:rsid w:val="003C69F2"/>
    <w:rsid w:val="003C6B7C"/>
    <w:rsid w:val="003C6CB9"/>
    <w:rsid w:val="003C6CC1"/>
    <w:rsid w:val="003C6D51"/>
    <w:rsid w:val="003C6D5F"/>
    <w:rsid w:val="003C6E3C"/>
    <w:rsid w:val="003C6F68"/>
    <w:rsid w:val="003C7017"/>
    <w:rsid w:val="003C70CB"/>
    <w:rsid w:val="003C70E0"/>
    <w:rsid w:val="003C70EE"/>
    <w:rsid w:val="003C717D"/>
    <w:rsid w:val="003C71F8"/>
    <w:rsid w:val="003C72EB"/>
    <w:rsid w:val="003C735B"/>
    <w:rsid w:val="003C73BF"/>
    <w:rsid w:val="003C75D8"/>
    <w:rsid w:val="003C7628"/>
    <w:rsid w:val="003C766E"/>
    <w:rsid w:val="003C77A1"/>
    <w:rsid w:val="003C7B0D"/>
    <w:rsid w:val="003C7B3E"/>
    <w:rsid w:val="003C7B54"/>
    <w:rsid w:val="003C7D4A"/>
    <w:rsid w:val="003C7D7C"/>
    <w:rsid w:val="003C7EC1"/>
    <w:rsid w:val="003C7F70"/>
    <w:rsid w:val="003D0010"/>
    <w:rsid w:val="003D017F"/>
    <w:rsid w:val="003D033A"/>
    <w:rsid w:val="003D04CC"/>
    <w:rsid w:val="003D04D9"/>
    <w:rsid w:val="003D069C"/>
    <w:rsid w:val="003D077D"/>
    <w:rsid w:val="003D0866"/>
    <w:rsid w:val="003D0A6C"/>
    <w:rsid w:val="003D0BFA"/>
    <w:rsid w:val="003D0C23"/>
    <w:rsid w:val="003D0C57"/>
    <w:rsid w:val="003D0C69"/>
    <w:rsid w:val="003D0CD5"/>
    <w:rsid w:val="003D0E03"/>
    <w:rsid w:val="003D0E6B"/>
    <w:rsid w:val="003D0E8A"/>
    <w:rsid w:val="003D0F8A"/>
    <w:rsid w:val="003D10EC"/>
    <w:rsid w:val="003D11BC"/>
    <w:rsid w:val="003D11EE"/>
    <w:rsid w:val="003D12E7"/>
    <w:rsid w:val="003D12ED"/>
    <w:rsid w:val="003D1338"/>
    <w:rsid w:val="003D14D9"/>
    <w:rsid w:val="003D1504"/>
    <w:rsid w:val="003D1523"/>
    <w:rsid w:val="003D16E9"/>
    <w:rsid w:val="003D17AB"/>
    <w:rsid w:val="003D17DB"/>
    <w:rsid w:val="003D180D"/>
    <w:rsid w:val="003D182B"/>
    <w:rsid w:val="003D184A"/>
    <w:rsid w:val="003D18A8"/>
    <w:rsid w:val="003D1B3E"/>
    <w:rsid w:val="003D1B4E"/>
    <w:rsid w:val="003D1C35"/>
    <w:rsid w:val="003D1C99"/>
    <w:rsid w:val="003D1CEB"/>
    <w:rsid w:val="003D1D77"/>
    <w:rsid w:val="003D1E08"/>
    <w:rsid w:val="003D1E85"/>
    <w:rsid w:val="003D1ED2"/>
    <w:rsid w:val="003D1F5C"/>
    <w:rsid w:val="003D1FA0"/>
    <w:rsid w:val="003D1FF8"/>
    <w:rsid w:val="003D206A"/>
    <w:rsid w:val="003D20FA"/>
    <w:rsid w:val="003D212E"/>
    <w:rsid w:val="003D21D0"/>
    <w:rsid w:val="003D2212"/>
    <w:rsid w:val="003D2336"/>
    <w:rsid w:val="003D2361"/>
    <w:rsid w:val="003D2570"/>
    <w:rsid w:val="003D257C"/>
    <w:rsid w:val="003D25AB"/>
    <w:rsid w:val="003D25E3"/>
    <w:rsid w:val="003D2616"/>
    <w:rsid w:val="003D26EA"/>
    <w:rsid w:val="003D27E5"/>
    <w:rsid w:val="003D282A"/>
    <w:rsid w:val="003D2892"/>
    <w:rsid w:val="003D29FC"/>
    <w:rsid w:val="003D2CAB"/>
    <w:rsid w:val="003D2D74"/>
    <w:rsid w:val="003D2DEC"/>
    <w:rsid w:val="003D2DF6"/>
    <w:rsid w:val="003D31AD"/>
    <w:rsid w:val="003D31EB"/>
    <w:rsid w:val="003D324B"/>
    <w:rsid w:val="003D34D5"/>
    <w:rsid w:val="003D350E"/>
    <w:rsid w:val="003D35EA"/>
    <w:rsid w:val="003D360E"/>
    <w:rsid w:val="003D3668"/>
    <w:rsid w:val="003D3723"/>
    <w:rsid w:val="003D37F1"/>
    <w:rsid w:val="003D3800"/>
    <w:rsid w:val="003D3843"/>
    <w:rsid w:val="003D38DE"/>
    <w:rsid w:val="003D3925"/>
    <w:rsid w:val="003D3A9B"/>
    <w:rsid w:val="003D3AA4"/>
    <w:rsid w:val="003D3B00"/>
    <w:rsid w:val="003D3B3A"/>
    <w:rsid w:val="003D3CB7"/>
    <w:rsid w:val="003D3D2D"/>
    <w:rsid w:val="003D3D40"/>
    <w:rsid w:val="003D3F5F"/>
    <w:rsid w:val="003D3FE3"/>
    <w:rsid w:val="003D3FE9"/>
    <w:rsid w:val="003D41DB"/>
    <w:rsid w:val="003D43C3"/>
    <w:rsid w:val="003D460A"/>
    <w:rsid w:val="003D4707"/>
    <w:rsid w:val="003D4723"/>
    <w:rsid w:val="003D47D6"/>
    <w:rsid w:val="003D47E9"/>
    <w:rsid w:val="003D4801"/>
    <w:rsid w:val="003D4847"/>
    <w:rsid w:val="003D4982"/>
    <w:rsid w:val="003D499C"/>
    <w:rsid w:val="003D49B9"/>
    <w:rsid w:val="003D4B0B"/>
    <w:rsid w:val="003D4C19"/>
    <w:rsid w:val="003D4C1F"/>
    <w:rsid w:val="003D4DC0"/>
    <w:rsid w:val="003D4E67"/>
    <w:rsid w:val="003D4EA6"/>
    <w:rsid w:val="003D4F29"/>
    <w:rsid w:val="003D5488"/>
    <w:rsid w:val="003D5539"/>
    <w:rsid w:val="003D5654"/>
    <w:rsid w:val="003D5A04"/>
    <w:rsid w:val="003D5AB4"/>
    <w:rsid w:val="003D5C0C"/>
    <w:rsid w:val="003D5C92"/>
    <w:rsid w:val="003D5E0C"/>
    <w:rsid w:val="003D5F6A"/>
    <w:rsid w:val="003D5F97"/>
    <w:rsid w:val="003D600F"/>
    <w:rsid w:val="003D606C"/>
    <w:rsid w:val="003D6097"/>
    <w:rsid w:val="003D6198"/>
    <w:rsid w:val="003D62E3"/>
    <w:rsid w:val="003D6343"/>
    <w:rsid w:val="003D6354"/>
    <w:rsid w:val="003D63A1"/>
    <w:rsid w:val="003D63BD"/>
    <w:rsid w:val="003D64DB"/>
    <w:rsid w:val="003D6628"/>
    <w:rsid w:val="003D67E1"/>
    <w:rsid w:val="003D6881"/>
    <w:rsid w:val="003D68BB"/>
    <w:rsid w:val="003D698E"/>
    <w:rsid w:val="003D6A0A"/>
    <w:rsid w:val="003D6A35"/>
    <w:rsid w:val="003D6C41"/>
    <w:rsid w:val="003D6D02"/>
    <w:rsid w:val="003D6D2A"/>
    <w:rsid w:val="003D6DAD"/>
    <w:rsid w:val="003D6E4F"/>
    <w:rsid w:val="003D7054"/>
    <w:rsid w:val="003D7171"/>
    <w:rsid w:val="003D722D"/>
    <w:rsid w:val="003D729A"/>
    <w:rsid w:val="003D743F"/>
    <w:rsid w:val="003D7463"/>
    <w:rsid w:val="003D7538"/>
    <w:rsid w:val="003D7858"/>
    <w:rsid w:val="003D786B"/>
    <w:rsid w:val="003D7919"/>
    <w:rsid w:val="003D7931"/>
    <w:rsid w:val="003D7AF1"/>
    <w:rsid w:val="003D7CE0"/>
    <w:rsid w:val="003D7E79"/>
    <w:rsid w:val="003E004F"/>
    <w:rsid w:val="003E00FA"/>
    <w:rsid w:val="003E0111"/>
    <w:rsid w:val="003E0173"/>
    <w:rsid w:val="003E02F5"/>
    <w:rsid w:val="003E0383"/>
    <w:rsid w:val="003E03AD"/>
    <w:rsid w:val="003E0675"/>
    <w:rsid w:val="003E069E"/>
    <w:rsid w:val="003E07AC"/>
    <w:rsid w:val="003E07C2"/>
    <w:rsid w:val="003E080D"/>
    <w:rsid w:val="003E08C0"/>
    <w:rsid w:val="003E0A6A"/>
    <w:rsid w:val="003E0A97"/>
    <w:rsid w:val="003E0C3C"/>
    <w:rsid w:val="003E0DA8"/>
    <w:rsid w:val="003E0E5D"/>
    <w:rsid w:val="003E0F7E"/>
    <w:rsid w:val="003E0F80"/>
    <w:rsid w:val="003E0FB4"/>
    <w:rsid w:val="003E10B4"/>
    <w:rsid w:val="003E1163"/>
    <w:rsid w:val="003E1267"/>
    <w:rsid w:val="003E12B0"/>
    <w:rsid w:val="003E12B5"/>
    <w:rsid w:val="003E133B"/>
    <w:rsid w:val="003E15FF"/>
    <w:rsid w:val="003E165D"/>
    <w:rsid w:val="003E1966"/>
    <w:rsid w:val="003E198F"/>
    <w:rsid w:val="003E1A08"/>
    <w:rsid w:val="003E1AB2"/>
    <w:rsid w:val="003E1B22"/>
    <w:rsid w:val="003E1B4B"/>
    <w:rsid w:val="003E1C63"/>
    <w:rsid w:val="003E1DB4"/>
    <w:rsid w:val="003E1E95"/>
    <w:rsid w:val="003E1F25"/>
    <w:rsid w:val="003E20D3"/>
    <w:rsid w:val="003E2202"/>
    <w:rsid w:val="003E22BE"/>
    <w:rsid w:val="003E2379"/>
    <w:rsid w:val="003E2465"/>
    <w:rsid w:val="003E24CA"/>
    <w:rsid w:val="003E2543"/>
    <w:rsid w:val="003E267A"/>
    <w:rsid w:val="003E2722"/>
    <w:rsid w:val="003E27B7"/>
    <w:rsid w:val="003E27DC"/>
    <w:rsid w:val="003E287A"/>
    <w:rsid w:val="003E28D6"/>
    <w:rsid w:val="003E292D"/>
    <w:rsid w:val="003E2A0F"/>
    <w:rsid w:val="003E2A12"/>
    <w:rsid w:val="003E2BF5"/>
    <w:rsid w:val="003E2CE6"/>
    <w:rsid w:val="003E2DBB"/>
    <w:rsid w:val="003E3187"/>
    <w:rsid w:val="003E34CA"/>
    <w:rsid w:val="003E356E"/>
    <w:rsid w:val="003E373A"/>
    <w:rsid w:val="003E3750"/>
    <w:rsid w:val="003E38B3"/>
    <w:rsid w:val="003E3947"/>
    <w:rsid w:val="003E3AC9"/>
    <w:rsid w:val="003E3B1E"/>
    <w:rsid w:val="003E3DB0"/>
    <w:rsid w:val="003E3E1D"/>
    <w:rsid w:val="003E3F98"/>
    <w:rsid w:val="003E41E2"/>
    <w:rsid w:val="003E4270"/>
    <w:rsid w:val="003E4366"/>
    <w:rsid w:val="003E44FD"/>
    <w:rsid w:val="003E4629"/>
    <w:rsid w:val="003E467D"/>
    <w:rsid w:val="003E46D4"/>
    <w:rsid w:val="003E4792"/>
    <w:rsid w:val="003E484B"/>
    <w:rsid w:val="003E49AB"/>
    <w:rsid w:val="003E4B75"/>
    <w:rsid w:val="003E4C24"/>
    <w:rsid w:val="003E4DEB"/>
    <w:rsid w:val="003E4E4A"/>
    <w:rsid w:val="003E4E94"/>
    <w:rsid w:val="003E4F97"/>
    <w:rsid w:val="003E5154"/>
    <w:rsid w:val="003E5357"/>
    <w:rsid w:val="003E5379"/>
    <w:rsid w:val="003E549F"/>
    <w:rsid w:val="003E55D6"/>
    <w:rsid w:val="003E56B2"/>
    <w:rsid w:val="003E56B9"/>
    <w:rsid w:val="003E5725"/>
    <w:rsid w:val="003E5991"/>
    <w:rsid w:val="003E5A4F"/>
    <w:rsid w:val="003E5B69"/>
    <w:rsid w:val="003E5C57"/>
    <w:rsid w:val="003E5D2D"/>
    <w:rsid w:val="003E5DCA"/>
    <w:rsid w:val="003E5DFA"/>
    <w:rsid w:val="003E5E12"/>
    <w:rsid w:val="003E5E59"/>
    <w:rsid w:val="003E5FA6"/>
    <w:rsid w:val="003E5FE9"/>
    <w:rsid w:val="003E6219"/>
    <w:rsid w:val="003E6316"/>
    <w:rsid w:val="003E638E"/>
    <w:rsid w:val="003E649E"/>
    <w:rsid w:val="003E6531"/>
    <w:rsid w:val="003E66C4"/>
    <w:rsid w:val="003E6B70"/>
    <w:rsid w:val="003E6C00"/>
    <w:rsid w:val="003E6D3A"/>
    <w:rsid w:val="003E6DD0"/>
    <w:rsid w:val="003E6E15"/>
    <w:rsid w:val="003E7290"/>
    <w:rsid w:val="003E734A"/>
    <w:rsid w:val="003E7364"/>
    <w:rsid w:val="003E73E1"/>
    <w:rsid w:val="003E747F"/>
    <w:rsid w:val="003E77A1"/>
    <w:rsid w:val="003E7890"/>
    <w:rsid w:val="003E793F"/>
    <w:rsid w:val="003E79C8"/>
    <w:rsid w:val="003E7B43"/>
    <w:rsid w:val="003E7D14"/>
    <w:rsid w:val="003E7D26"/>
    <w:rsid w:val="003E7D54"/>
    <w:rsid w:val="003E7D58"/>
    <w:rsid w:val="003E7F17"/>
    <w:rsid w:val="003E7F8D"/>
    <w:rsid w:val="003E7FB9"/>
    <w:rsid w:val="003E7FEC"/>
    <w:rsid w:val="003F01A5"/>
    <w:rsid w:val="003F02C1"/>
    <w:rsid w:val="003F02D6"/>
    <w:rsid w:val="003F04BA"/>
    <w:rsid w:val="003F0644"/>
    <w:rsid w:val="003F0732"/>
    <w:rsid w:val="003F0754"/>
    <w:rsid w:val="003F0865"/>
    <w:rsid w:val="003F0987"/>
    <w:rsid w:val="003F09A5"/>
    <w:rsid w:val="003F09F6"/>
    <w:rsid w:val="003F0AE3"/>
    <w:rsid w:val="003F0DB1"/>
    <w:rsid w:val="003F0F61"/>
    <w:rsid w:val="003F1138"/>
    <w:rsid w:val="003F1294"/>
    <w:rsid w:val="003F13A1"/>
    <w:rsid w:val="003F1549"/>
    <w:rsid w:val="003F15C3"/>
    <w:rsid w:val="003F17F5"/>
    <w:rsid w:val="003F1835"/>
    <w:rsid w:val="003F185E"/>
    <w:rsid w:val="003F18D8"/>
    <w:rsid w:val="003F1A95"/>
    <w:rsid w:val="003F1C54"/>
    <w:rsid w:val="003F1CA6"/>
    <w:rsid w:val="003F1D29"/>
    <w:rsid w:val="003F1D5E"/>
    <w:rsid w:val="003F1FAC"/>
    <w:rsid w:val="003F2002"/>
    <w:rsid w:val="003F23D4"/>
    <w:rsid w:val="003F2483"/>
    <w:rsid w:val="003F2791"/>
    <w:rsid w:val="003F2794"/>
    <w:rsid w:val="003F2871"/>
    <w:rsid w:val="003F2929"/>
    <w:rsid w:val="003F29D8"/>
    <w:rsid w:val="003F2AE1"/>
    <w:rsid w:val="003F2BDA"/>
    <w:rsid w:val="003F2BDD"/>
    <w:rsid w:val="003F2D6E"/>
    <w:rsid w:val="003F2E6B"/>
    <w:rsid w:val="003F2F57"/>
    <w:rsid w:val="003F30AC"/>
    <w:rsid w:val="003F32C2"/>
    <w:rsid w:val="003F3334"/>
    <w:rsid w:val="003F3366"/>
    <w:rsid w:val="003F340D"/>
    <w:rsid w:val="003F34C9"/>
    <w:rsid w:val="003F35E1"/>
    <w:rsid w:val="003F3653"/>
    <w:rsid w:val="003F36CB"/>
    <w:rsid w:val="003F3854"/>
    <w:rsid w:val="003F3A6B"/>
    <w:rsid w:val="003F3A9C"/>
    <w:rsid w:val="003F3B78"/>
    <w:rsid w:val="003F3E22"/>
    <w:rsid w:val="003F3E30"/>
    <w:rsid w:val="003F3F65"/>
    <w:rsid w:val="003F3FAA"/>
    <w:rsid w:val="003F3FBC"/>
    <w:rsid w:val="003F4225"/>
    <w:rsid w:val="003F4326"/>
    <w:rsid w:val="003F4348"/>
    <w:rsid w:val="003F43EA"/>
    <w:rsid w:val="003F43F4"/>
    <w:rsid w:val="003F445F"/>
    <w:rsid w:val="003F454F"/>
    <w:rsid w:val="003F47EB"/>
    <w:rsid w:val="003F48ED"/>
    <w:rsid w:val="003F4929"/>
    <w:rsid w:val="003F498F"/>
    <w:rsid w:val="003F49C9"/>
    <w:rsid w:val="003F49F4"/>
    <w:rsid w:val="003F4B92"/>
    <w:rsid w:val="003F4E93"/>
    <w:rsid w:val="003F4EC8"/>
    <w:rsid w:val="003F4ECF"/>
    <w:rsid w:val="003F4F5A"/>
    <w:rsid w:val="003F4FC7"/>
    <w:rsid w:val="003F538D"/>
    <w:rsid w:val="003F53BA"/>
    <w:rsid w:val="003F5415"/>
    <w:rsid w:val="003F5441"/>
    <w:rsid w:val="003F554F"/>
    <w:rsid w:val="003F5872"/>
    <w:rsid w:val="003F5976"/>
    <w:rsid w:val="003F5A34"/>
    <w:rsid w:val="003F5ACA"/>
    <w:rsid w:val="003F5B2B"/>
    <w:rsid w:val="003F5B58"/>
    <w:rsid w:val="003F5D29"/>
    <w:rsid w:val="003F5DEF"/>
    <w:rsid w:val="003F5EA3"/>
    <w:rsid w:val="003F5EDA"/>
    <w:rsid w:val="003F5F75"/>
    <w:rsid w:val="003F615A"/>
    <w:rsid w:val="003F617A"/>
    <w:rsid w:val="003F6233"/>
    <w:rsid w:val="003F638B"/>
    <w:rsid w:val="003F648E"/>
    <w:rsid w:val="003F6865"/>
    <w:rsid w:val="003F6A47"/>
    <w:rsid w:val="003F6AC4"/>
    <w:rsid w:val="003F6AC9"/>
    <w:rsid w:val="003F6B02"/>
    <w:rsid w:val="003F6B03"/>
    <w:rsid w:val="003F6B9E"/>
    <w:rsid w:val="003F6C58"/>
    <w:rsid w:val="003F6DFE"/>
    <w:rsid w:val="003F6F7B"/>
    <w:rsid w:val="003F6FCA"/>
    <w:rsid w:val="003F71E1"/>
    <w:rsid w:val="003F72B5"/>
    <w:rsid w:val="003F72B8"/>
    <w:rsid w:val="003F7355"/>
    <w:rsid w:val="003F7519"/>
    <w:rsid w:val="003F7522"/>
    <w:rsid w:val="003F7645"/>
    <w:rsid w:val="003F765D"/>
    <w:rsid w:val="003F7660"/>
    <w:rsid w:val="003F76ED"/>
    <w:rsid w:val="003F76F6"/>
    <w:rsid w:val="003F780F"/>
    <w:rsid w:val="003F785D"/>
    <w:rsid w:val="003F7913"/>
    <w:rsid w:val="003F797C"/>
    <w:rsid w:val="003F7C72"/>
    <w:rsid w:val="003F7C95"/>
    <w:rsid w:val="003F7DBE"/>
    <w:rsid w:val="003F7FFC"/>
    <w:rsid w:val="004000FC"/>
    <w:rsid w:val="004001EF"/>
    <w:rsid w:val="004003A6"/>
    <w:rsid w:val="00400483"/>
    <w:rsid w:val="004005B7"/>
    <w:rsid w:val="00400701"/>
    <w:rsid w:val="00400731"/>
    <w:rsid w:val="00400972"/>
    <w:rsid w:val="00400A70"/>
    <w:rsid w:val="00400BB7"/>
    <w:rsid w:val="00400D25"/>
    <w:rsid w:val="00400D7D"/>
    <w:rsid w:val="00400E07"/>
    <w:rsid w:val="00400FBD"/>
    <w:rsid w:val="00401077"/>
    <w:rsid w:val="00401177"/>
    <w:rsid w:val="004011AD"/>
    <w:rsid w:val="004013D3"/>
    <w:rsid w:val="0040149A"/>
    <w:rsid w:val="004014A7"/>
    <w:rsid w:val="004014F0"/>
    <w:rsid w:val="0040150F"/>
    <w:rsid w:val="004016B3"/>
    <w:rsid w:val="004016E0"/>
    <w:rsid w:val="00401777"/>
    <w:rsid w:val="004018AD"/>
    <w:rsid w:val="004018AE"/>
    <w:rsid w:val="00401999"/>
    <w:rsid w:val="004019E2"/>
    <w:rsid w:val="00401A2E"/>
    <w:rsid w:val="00401AF5"/>
    <w:rsid w:val="00401B43"/>
    <w:rsid w:val="00401B85"/>
    <w:rsid w:val="00401F4C"/>
    <w:rsid w:val="0040223D"/>
    <w:rsid w:val="004022B4"/>
    <w:rsid w:val="004023CD"/>
    <w:rsid w:val="00402527"/>
    <w:rsid w:val="00402571"/>
    <w:rsid w:val="0040279A"/>
    <w:rsid w:val="004027C6"/>
    <w:rsid w:val="004027CF"/>
    <w:rsid w:val="0040280D"/>
    <w:rsid w:val="00402827"/>
    <w:rsid w:val="00402926"/>
    <w:rsid w:val="0040297C"/>
    <w:rsid w:val="00402A0B"/>
    <w:rsid w:val="00402A49"/>
    <w:rsid w:val="00402A57"/>
    <w:rsid w:val="00402BFA"/>
    <w:rsid w:val="00402CA0"/>
    <w:rsid w:val="00402D29"/>
    <w:rsid w:val="00402D6F"/>
    <w:rsid w:val="00402F08"/>
    <w:rsid w:val="00402F8C"/>
    <w:rsid w:val="00402FB9"/>
    <w:rsid w:val="00402FF1"/>
    <w:rsid w:val="00403134"/>
    <w:rsid w:val="004031C2"/>
    <w:rsid w:val="004031C4"/>
    <w:rsid w:val="00403255"/>
    <w:rsid w:val="00403367"/>
    <w:rsid w:val="004033F7"/>
    <w:rsid w:val="0040349A"/>
    <w:rsid w:val="00403592"/>
    <w:rsid w:val="004035F1"/>
    <w:rsid w:val="00403607"/>
    <w:rsid w:val="0040364B"/>
    <w:rsid w:val="004037C4"/>
    <w:rsid w:val="0040384F"/>
    <w:rsid w:val="00403899"/>
    <w:rsid w:val="00403A04"/>
    <w:rsid w:val="00403BF6"/>
    <w:rsid w:val="00403D65"/>
    <w:rsid w:val="00403DC5"/>
    <w:rsid w:val="00403F09"/>
    <w:rsid w:val="004040C4"/>
    <w:rsid w:val="0040418E"/>
    <w:rsid w:val="004041E0"/>
    <w:rsid w:val="004042BF"/>
    <w:rsid w:val="00404340"/>
    <w:rsid w:val="00404383"/>
    <w:rsid w:val="00404477"/>
    <w:rsid w:val="00404569"/>
    <w:rsid w:val="00404585"/>
    <w:rsid w:val="004046F1"/>
    <w:rsid w:val="00404760"/>
    <w:rsid w:val="0040481E"/>
    <w:rsid w:val="004048E7"/>
    <w:rsid w:val="00404A68"/>
    <w:rsid w:val="00404AB7"/>
    <w:rsid w:val="00404B0E"/>
    <w:rsid w:val="00404B50"/>
    <w:rsid w:val="00404BB4"/>
    <w:rsid w:val="00404D53"/>
    <w:rsid w:val="00405027"/>
    <w:rsid w:val="004050CF"/>
    <w:rsid w:val="00405106"/>
    <w:rsid w:val="00405228"/>
    <w:rsid w:val="0040522E"/>
    <w:rsid w:val="004053FE"/>
    <w:rsid w:val="004055AE"/>
    <w:rsid w:val="00405793"/>
    <w:rsid w:val="00405B53"/>
    <w:rsid w:val="00405B58"/>
    <w:rsid w:val="00405C00"/>
    <w:rsid w:val="00405C27"/>
    <w:rsid w:val="00405D97"/>
    <w:rsid w:val="00405E1A"/>
    <w:rsid w:val="00405F0E"/>
    <w:rsid w:val="00405F10"/>
    <w:rsid w:val="00406063"/>
    <w:rsid w:val="00406086"/>
    <w:rsid w:val="00406288"/>
    <w:rsid w:val="004062D1"/>
    <w:rsid w:val="004063C4"/>
    <w:rsid w:val="00406411"/>
    <w:rsid w:val="0040659B"/>
    <w:rsid w:val="00406882"/>
    <w:rsid w:val="004069E0"/>
    <w:rsid w:val="00406A26"/>
    <w:rsid w:val="00406B7D"/>
    <w:rsid w:val="00406D06"/>
    <w:rsid w:val="00406DC9"/>
    <w:rsid w:val="00406DCF"/>
    <w:rsid w:val="00406EDF"/>
    <w:rsid w:val="00406EE5"/>
    <w:rsid w:val="00406F64"/>
    <w:rsid w:val="0040701F"/>
    <w:rsid w:val="004071C5"/>
    <w:rsid w:val="004071F0"/>
    <w:rsid w:val="0040728C"/>
    <w:rsid w:val="004073D3"/>
    <w:rsid w:val="004073D6"/>
    <w:rsid w:val="004074A9"/>
    <w:rsid w:val="004076C7"/>
    <w:rsid w:val="004078C6"/>
    <w:rsid w:val="00407968"/>
    <w:rsid w:val="0040796D"/>
    <w:rsid w:val="004079BC"/>
    <w:rsid w:val="00407A39"/>
    <w:rsid w:val="00407AA7"/>
    <w:rsid w:val="00407B0C"/>
    <w:rsid w:val="00407B3F"/>
    <w:rsid w:val="00407BD5"/>
    <w:rsid w:val="00407BF2"/>
    <w:rsid w:val="00407C3F"/>
    <w:rsid w:val="00407C6B"/>
    <w:rsid w:val="00407C7C"/>
    <w:rsid w:val="00407DA3"/>
    <w:rsid w:val="00407DBD"/>
    <w:rsid w:val="00407EAD"/>
    <w:rsid w:val="00407F72"/>
    <w:rsid w:val="00407F7C"/>
    <w:rsid w:val="00407FA4"/>
    <w:rsid w:val="0040F978"/>
    <w:rsid w:val="004101A5"/>
    <w:rsid w:val="00410226"/>
    <w:rsid w:val="0041024F"/>
    <w:rsid w:val="004106B4"/>
    <w:rsid w:val="0041076D"/>
    <w:rsid w:val="004107C9"/>
    <w:rsid w:val="0041098E"/>
    <w:rsid w:val="004109FC"/>
    <w:rsid w:val="00410A46"/>
    <w:rsid w:val="00410A81"/>
    <w:rsid w:val="00410BB1"/>
    <w:rsid w:val="00410BD5"/>
    <w:rsid w:val="00410D07"/>
    <w:rsid w:val="00410DC2"/>
    <w:rsid w:val="00410E0D"/>
    <w:rsid w:val="00410E3A"/>
    <w:rsid w:val="00410E55"/>
    <w:rsid w:val="00410F6C"/>
    <w:rsid w:val="00410FBC"/>
    <w:rsid w:val="00411084"/>
    <w:rsid w:val="00411085"/>
    <w:rsid w:val="0041132B"/>
    <w:rsid w:val="00411421"/>
    <w:rsid w:val="004114AC"/>
    <w:rsid w:val="004114C5"/>
    <w:rsid w:val="00411564"/>
    <w:rsid w:val="004116A6"/>
    <w:rsid w:val="004116EB"/>
    <w:rsid w:val="0041182C"/>
    <w:rsid w:val="00411869"/>
    <w:rsid w:val="004118CC"/>
    <w:rsid w:val="0041192D"/>
    <w:rsid w:val="00411942"/>
    <w:rsid w:val="0041195A"/>
    <w:rsid w:val="00411B0B"/>
    <w:rsid w:val="00411B2C"/>
    <w:rsid w:val="00411B75"/>
    <w:rsid w:val="00411C10"/>
    <w:rsid w:val="00411C4C"/>
    <w:rsid w:val="00411C93"/>
    <w:rsid w:val="00411D22"/>
    <w:rsid w:val="00411D58"/>
    <w:rsid w:val="00411D65"/>
    <w:rsid w:val="00411D6C"/>
    <w:rsid w:val="00411D87"/>
    <w:rsid w:val="00412000"/>
    <w:rsid w:val="00412204"/>
    <w:rsid w:val="004125CD"/>
    <w:rsid w:val="004126B2"/>
    <w:rsid w:val="004126C3"/>
    <w:rsid w:val="004127BC"/>
    <w:rsid w:val="004129F9"/>
    <w:rsid w:val="00412BAE"/>
    <w:rsid w:val="00412EBE"/>
    <w:rsid w:val="00412F00"/>
    <w:rsid w:val="00412F5E"/>
    <w:rsid w:val="00412FA8"/>
    <w:rsid w:val="00412FC9"/>
    <w:rsid w:val="00412FE9"/>
    <w:rsid w:val="00413013"/>
    <w:rsid w:val="004131C1"/>
    <w:rsid w:val="00413382"/>
    <w:rsid w:val="004133D5"/>
    <w:rsid w:val="0041348B"/>
    <w:rsid w:val="00413500"/>
    <w:rsid w:val="0041351F"/>
    <w:rsid w:val="00413630"/>
    <w:rsid w:val="00413668"/>
    <w:rsid w:val="004136EB"/>
    <w:rsid w:val="00413770"/>
    <w:rsid w:val="004137D5"/>
    <w:rsid w:val="0041387A"/>
    <w:rsid w:val="004138A9"/>
    <w:rsid w:val="00413915"/>
    <w:rsid w:val="00413C5A"/>
    <w:rsid w:val="00413EAF"/>
    <w:rsid w:val="00413F17"/>
    <w:rsid w:val="00413F82"/>
    <w:rsid w:val="004141EC"/>
    <w:rsid w:val="0041446F"/>
    <w:rsid w:val="004144E8"/>
    <w:rsid w:val="00414596"/>
    <w:rsid w:val="004145C4"/>
    <w:rsid w:val="00414793"/>
    <w:rsid w:val="00414C83"/>
    <w:rsid w:val="00414D12"/>
    <w:rsid w:val="00414D3D"/>
    <w:rsid w:val="00414D7A"/>
    <w:rsid w:val="00414D8C"/>
    <w:rsid w:val="00414DBB"/>
    <w:rsid w:val="00414E28"/>
    <w:rsid w:val="00414ED5"/>
    <w:rsid w:val="00415009"/>
    <w:rsid w:val="004150D4"/>
    <w:rsid w:val="004154F7"/>
    <w:rsid w:val="0041567B"/>
    <w:rsid w:val="00415AFC"/>
    <w:rsid w:val="00415BC1"/>
    <w:rsid w:val="00415D03"/>
    <w:rsid w:val="00415DC2"/>
    <w:rsid w:val="0041603D"/>
    <w:rsid w:val="0041622C"/>
    <w:rsid w:val="0041651C"/>
    <w:rsid w:val="0041661D"/>
    <w:rsid w:val="0041664A"/>
    <w:rsid w:val="00416696"/>
    <w:rsid w:val="004166C2"/>
    <w:rsid w:val="0041671E"/>
    <w:rsid w:val="004168F6"/>
    <w:rsid w:val="00416977"/>
    <w:rsid w:val="00416A35"/>
    <w:rsid w:val="00416BDB"/>
    <w:rsid w:val="00416E11"/>
    <w:rsid w:val="00416E60"/>
    <w:rsid w:val="00416EAB"/>
    <w:rsid w:val="00417092"/>
    <w:rsid w:val="004170F4"/>
    <w:rsid w:val="00417166"/>
    <w:rsid w:val="0041725C"/>
    <w:rsid w:val="004172C9"/>
    <w:rsid w:val="004173A3"/>
    <w:rsid w:val="004173F9"/>
    <w:rsid w:val="004175B2"/>
    <w:rsid w:val="004175DB"/>
    <w:rsid w:val="004175FC"/>
    <w:rsid w:val="004176C9"/>
    <w:rsid w:val="004176EC"/>
    <w:rsid w:val="00417789"/>
    <w:rsid w:val="004178DB"/>
    <w:rsid w:val="004178F2"/>
    <w:rsid w:val="00417A47"/>
    <w:rsid w:val="00417A69"/>
    <w:rsid w:val="00417B79"/>
    <w:rsid w:val="00417D8B"/>
    <w:rsid w:val="00417FEC"/>
    <w:rsid w:val="004201FE"/>
    <w:rsid w:val="004202CF"/>
    <w:rsid w:val="00420335"/>
    <w:rsid w:val="0042047E"/>
    <w:rsid w:val="00420573"/>
    <w:rsid w:val="004206F8"/>
    <w:rsid w:val="00420728"/>
    <w:rsid w:val="004208D4"/>
    <w:rsid w:val="00420A74"/>
    <w:rsid w:val="00420ECD"/>
    <w:rsid w:val="00420F1A"/>
    <w:rsid w:val="00420F83"/>
    <w:rsid w:val="00421067"/>
    <w:rsid w:val="00421075"/>
    <w:rsid w:val="004210F8"/>
    <w:rsid w:val="00421115"/>
    <w:rsid w:val="00421143"/>
    <w:rsid w:val="0042116D"/>
    <w:rsid w:val="00421229"/>
    <w:rsid w:val="0042144F"/>
    <w:rsid w:val="004214B3"/>
    <w:rsid w:val="00421579"/>
    <w:rsid w:val="004217BB"/>
    <w:rsid w:val="004217C9"/>
    <w:rsid w:val="004217EB"/>
    <w:rsid w:val="00421878"/>
    <w:rsid w:val="004218BD"/>
    <w:rsid w:val="00421966"/>
    <w:rsid w:val="00421C06"/>
    <w:rsid w:val="00421C95"/>
    <w:rsid w:val="00421D14"/>
    <w:rsid w:val="00421D6D"/>
    <w:rsid w:val="00422113"/>
    <w:rsid w:val="004224E6"/>
    <w:rsid w:val="004226D7"/>
    <w:rsid w:val="004229FA"/>
    <w:rsid w:val="00422AF5"/>
    <w:rsid w:val="00422B9C"/>
    <w:rsid w:val="00422BFB"/>
    <w:rsid w:val="00422CFF"/>
    <w:rsid w:val="00422D9B"/>
    <w:rsid w:val="00422DCE"/>
    <w:rsid w:val="004230A5"/>
    <w:rsid w:val="0042317E"/>
    <w:rsid w:val="004232AE"/>
    <w:rsid w:val="0042337F"/>
    <w:rsid w:val="004233A8"/>
    <w:rsid w:val="004234B8"/>
    <w:rsid w:val="00423679"/>
    <w:rsid w:val="004236B8"/>
    <w:rsid w:val="00423806"/>
    <w:rsid w:val="00423872"/>
    <w:rsid w:val="00423A88"/>
    <w:rsid w:val="00423B1C"/>
    <w:rsid w:val="00423D12"/>
    <w:rsid w:val="00423D6C"/>
    <w:rsid w:val="00423F8E"/>
    <w:rsid w:val="00423FD8"/>
    <w:rsid w:val="0042400C"/>
    <w:rsid w:val="00424011"/>
    <w:rsid w:val="0042420D"/>
    <w:rsid w:val="0042425A"/>
    <w:rsid w:val="004245E0"/>
    <w:rsid w:val="00424608"/>
    <w:rsid w:val="004247A6"/>
    <w:rsid w:val="004248A9"/>
    <w:rsid w:val="00424A1B"/>
    <w:rsid w:val="00424A5A"/>
    <w:rsid w:val="00424AB7"/>
    <w:rsid w:val="00424CAD"/>
    <w:rsid w:val="00424F46"/>
    <w:rsid w:val="00424F48"/>
    <w:rsid w:val="0042510C"/>
    <w:rsid w:val="00425112"/>
    <w:rsid w:val="0042518A"/>
    <w:rsid w:val="00425418"/>
    <w:rsid w:val="004254C0"/>
    <w:rsid w:val="004255A3"/>
    <w:rsid w:val="004256C3"/>
    <w:rsid w:val="00425737"/>
    <w:rsid w:val="004257E3"/>
    <w:rsid w:val="00425870"/>
    <w:rsid w:val="004258A6"/>
    <w:rsid w:val="00425AE3"/>
    <w:rsid w:val="00425AE9"/>
    <w:rsid w:val="00425BB7"/>
    <w:rsid w:val="00425DBC"/>
    <w:rsid w:val="00425F7A"/>
    <w:rsid w:val="00425FA4"/>
    <w:rsid w:val="00426022"/>
    <w:rsid w:val="004260E4"/>
    <w:rsid w:val="00426227"/>
    <w:rsid w:val="00426233"/>
    <w:rsid w:val="00426297"/>
    <w:rsid w:val="0042641B"/>
    <w:rsid w:val="004264AB"/>
    <w:rsid w:val="0042653B"/>
    <w:rsid w:val="004266DE"/>
    <w:rsid w:val="004266EC"/>
    <w:rsid w:val="0042675A"/>
    <w:rsid w:val="004267CD"/>
    <w:rsid w:val="00426908"/>
    <w:rsid w:val="00426B67"/>
    <w:rsid w:val="00426CCE"/>
    <w:rsid w:val="00426D02"/>
    <w:rsid w:val="00426D3C"/>
    <w:rsid w:val="00426DCE"/>
    <w:rsid w:val="00426DF2"/>
    <w:rsid w:val="00426EB0"/>
    <w:rsid w:val="00426EEA"/>
    <w:rsid w:val="00426EEB"/>
    <w:rsid w:val="00426EF0"/>
    <w:rsid w:val="00426F86"/>
    <w:rsid w:val="00427008"/>
    <w:rsid w:val="0042700F"/>
    <w:rsid w:val="00427040"/>
    <w:rsid w:val="0042709D"/>
    <w:rsid w:val="004272F2"/>
    <w:rsid w:val="004272FF"/>
    <w:rsid w:val="00427804"/>
    <w:rsid w:val="00427855"/>
    <w:rsid w:val="00427928"/>
    <w:rsid w:val="004279E6"/>
    <w:rsid w:val="00427BB6"/>
    <w:rsid w:val="00427C2A"/>
    <w:rsid w:val="00427C31"/>
    <w:rsid w:val="00427D67"/>
    <w:rsid w:val="00427D81"/>
    <w:rsid w:val="00427EC3"/>
    <w:rsid w:val="004300EF"/>
    <w:rsid w:val="0043017F"/>
    <w:rsid w:val="004301BD"/>
    <w:rsid w:val="00430204"/>
    <w:rsid w:val="0043022D"/>
    <w:rsid w:val="0043036B"/>
    <w:rsid w:val="004303BF"/>
    <w:rsid w:val="00430464"/>
    <w:rsid w:val="00430541"/>
    <w:rsid w:val="0043057D"/>
    <w:rsid w:val="004305B0"/>
    <w:rsid w:val="00430832"/>
    <w:rsid w:val="004308EB"/>
    <w:rsid w:val="00430902"/>
    <w:rsid w:val="0043090A"/>
    <w:rsid w:val="00430912"/>
    <w:rsid w:val="004309CA"/>
    <w:rsid w:val="00430B42"/>
    <w:rsid w:val="00430C13"/>
    <w:rsid w:val="00430DA9"/>
    <w:rsid w:val="00430DB3"/>
    <w:rsid w:val="00430DC3"/>
    <w:rsid w:val="00430EDE"/>
    <w:rsid w:val="00430EF4"/>
    <w:rsid w:val="00430EFA"/>
    <w:rsid w:val="00430F89"/>
    <w:rsid w:val="00430FB8"/>
    <w:rsid w:val="0043102A"/>
    <w:rsid w:val="00431070"/>
    <w:rsid w:val="0043138F"/>
    <w:rsid w:val="00431400"/>
    <w:rsid w:val="00431493"/>
    <w:rsid w:val="004314F3"/>
    <w:rsid w:val="00431519"/>
    <w:rsid w:val="00431622"/>
    <w:rsid w:val="00431638"/>
    <w:rsid w:val="00431666"/>
    <w:rsid w:val="004316B7"/>
    <w:rsid w:val="00431730"/>
    <w:rsid w:val="00431755"/>
    <w:rsid w:val="004317CE"/>
    <w:rsid w:val="004318F6"/>
    <w:rsid w:val="00431992"/>
    <w:rsid w:val="00431A3C"/>
    <w:rsid w:val="00431B8F"/>
    <w:rsid w:val="00431C26"/>
    <w:rsid w:val="00431CA3"/>
    <w:rsid w:val="00431CB7"/>
    <w:rsid w:val="00431CEA"/>
    <w:rsid w:val="00431D1A"/>
    <w:rsid w:val="00431D56"/>
    <w:rsid w:val="00431D6B"/>
    <w:rsid w:val="00431E7F"/>
    <w:rsid w:val="00431EA0"/>
    <w:rsid w:val="00431EFC"/>
    <w:rsid w:val="00431FF1"/>
    <w:rsid w:val="00432002"/>
    <w:rsid w:val="00432045"/>
    <w:rsid w:val="00432088"/>
    <w:rsid w:val="00432149"/>
    <w:rsid w:val="00432395"/>
    <w:rsid w:val="004325A3"/>
    <w:rsid w:val="00432667"/>
    <w:rsid w:val="0043269B"/>
    <w:rsid w:val="00432789"/>
    <w:rsid w:val="00432856"/>
    <w:rsid w:val="0043289B"/>
    <w:rsid w:val="004328EA"/>
    <w:rsid w:val="00432974"/>
    <w:rsid w:val="00432A17"/>
    <w:rsid w:val="00432A5C"/>
    <w:rsid w:val="00432B3F"/>
    <w:rsid w:val="00432BEA"/>
    <w:rsid w:val="00432C03"/>
    <w:rsid w:val="00432C9C"/>
    <w:rsid w:val="00432CAF"/>
    <w:rsid w:val="00432D1E"/>
    <w:rsid w:val="00432E90"/>
    <w:rsid w:val="00432E9D"/>
    <w:rsid w:val="00432FA2"/>
    <w:rsid w:val="004330E2"/>
    <w:rsid w:val="004330E9"/>
    <w:rsid w:val="00433262"/>
    <w:rsid w:val="004332E2"/>
    <w:rsid w:val="00433326"/>
    <w:rsid w:val="00433369"/>
    <w:rsid w:val="00433457"/>
    <w:rsid w:val="0043353D"/>
    <w:rsid w:val="004335D6"/>
    <w:rsid w:val="00433716"/>
    <w:rsid w:val="00433795"/>
    <w:rsid w:val="004337BA"/>
    <w:rsid w:val="00433869"/>
    <w:rsid w:val="00433B4F"/>
    <w:rsid w:val="00433C08"/>
    <w:rsid w:val="00433D90"/>
    <w:rsid w:val="00433DAA"/>
    <w:rsid w:val="00433E24"/>
    <w:rsid w:val="00433F1D"/>
    <w:rsid w:val="00433F2C"/>
    <w:rsid w:val="00433FC5"/>
    <w:rsid w:val="00434035"/>
    <w:rsid w:val="004340CF"/>
    <w:rsid w:val="00434161"/>
    <w:rsid w:val="00434298"/>
    <w:rsid w:val="004342DC"/>
    <w:rsid w:val="0043433A"/>
    <w:rsid w:val="0043446B"/>
    <w:rsid w:val="0043448D"/>
    <w:rsid w:val="0043466B"/>
    <w:rsid w:val="004346FA"/>
    <w:rsid w:val="00434852"/>
    <w:rsid w:val="004349D5"/>
    <w:rsid w:val="00434A2C"/>
    <w:rsid w:val="00434B91"/>
    <w:rsid w:val="00434BDF"/>
    <w:rsid w:val="00434CCA"/>
    <w:rsid w:val="00434E2B"/>
    <w:rsid w:val="00434F01"/>
    <w:rsid w:val="00435193"/>
    <w:rsid w:val="0043520D"/>
    <w:rsid w:val="0043544F"/>
    <w:rsid w:val="00435594"/>
    <w:rsid w:val="0043563F"/>
    <w:rsid w:val="004358F6"/>
    <w:rsid w:val="004359E1"/>
    <w:rsid w:val="00435A97"/>
    <w:rsid w:val="00435B51"/>
    <w:rsid w:val="00435C4E"/>
    <w:rsid w:val="00435D4B"/>
    <w:rsid w:val="00435D7A"/>
    <w:rsid w:val="00435E2C"/>
    <w:rsid w:val="00435EA0"/>
    <w:rsid w:val="00435ECB"/>
    <w:rsid w:val="00436116"/>
    <w:rsid w:val="00436118"/>
    <w:rsid w:val="00436197"/>
    <w:rsid w:val="004361ED"/>
    <w:rsid w:val="00436309"/>
    <w:rsid w:val="004363B8"/>
    <w:rsid w:val="004363C8"/>
    <w:rsid w:val="00436484"/>
    <w:rsid w:val="00436602"/>
    <w:rsid w:val="00436623"/>
    <w:rsid w:val="004366AD"/>
    <w:rsid w:val="004367B2"/>
    <w:rsid w:val="004368F1"/>
    <w:rsid w:val="00436A16"/>
    <w:rsid w:val="00436BCA"/>
    <w:rsid w:val="00436EA7"/>
    <w:rsid w:val="00436EEF"/>
    <w:rsid w:val="00436FF6"/>
    <w:rsid w:val="00437060"/>
    <w:rsid w:val="00437092"/>
    <w:rsid w:val="00437107"/>
    <w:rsid w:val="004372CE"/>
    <w:rsid w:val="004374DF"/>
    <w:rsid w:val="004374F2"/>
    <w:rsid w:val="004375A9"/>
    <w:rsid w:val="00437BBB"/>
    <w:rsid w:val="00437BC1"/>
    <w:rsid w:val="00437D50"/>
    <w:rsid w:val="004400CD"/>
    <w:rsid w:val="0044030D"/>
    <w:rsid w:val="004403DA"/>
    <w:rsid w:val="004403FD"/>
    <w:rsid w:val="00440502"/>
    <w:rsid w:val="0044057C"/>
    <w:rsid w:val="004405BB"/>
    <w:rsid w:val="004406FD"/>
    <w:rsid w:val="0044071E"/>
    <w:rsid w:val="00440770"/>
    <w:rsid w:val="004407C3"/>
    <w:rsid w:val="0044084A"/>
    <w:rsid w:val="004408EA"/>
    <w:rsid w:val="004409A5"/>
    <w:rsid w:val="00440B9A"/>
    <w:rsid w:val="00440C1D"/>
    <w:rsid w:val="00440CCA"/>
    <w:rsid w:val="00440D2E"/>
    <w:rsid w:val="00440D3F"/>
    <w:rsid w:val="00440E32"/>
    <w:rsid w:val="00440E79"/>
    <w:rsid w:val="00440EDB"/>
    <w:rsid w:val="00441029"/>
    <w:rsid w:val="004410DF"/>
    <w:rsid w:val="004410E0"/>
    <w:rsid w:val="0044112E"/>
    <w:rsid w:val="00441189"/>
    <w:rsid w:val="004412A4"/>
    <w:rsid w:val="004414D2"/>
    <w:rsid w:val="004414D8"/>
    <w:rsid w:val="004416D2"/>
    <w:rsid w:val="0044179F"/>
    <w:rsid w:val="004417E9"/>
    <w:rsid w:val="00441857"/>
    <w:rsid w:val="004418A8"/>
    <w:rsid w:val="00441988"/>
    <w:rsid w:val="004419C5"/>
    <w:rsid w:val="00441AB1"/>
    <w:rsid w:val="00441BEC"/>
    <w:rsid w:val="00441F86"/>
    <w:rsid w:val="00442084"/>
    <w:rsid w:val="00442094"/>
    <w:rsid w:val="00442291"/>
    <w:rsid w:val="004422D8"/>
    <w:rsid w:val="00442483"/>
    <w:rsid w:val="004424C9"/>
    <w:rsid w:val="004424E5"/>
    <w:rsid w:val="0044269F"/>
    <w:rsid w:val="004426E1"/>
    <w:rsid w:val="0044274E"/>
    <w:rsid w:val="00442A17"/>
    <w:rsid w:val="00442A8E"/>
    <w:rsid w:val="00442B08"/>
    <w:rsid w:val="00442CDC"/>
    <w:rsid w:val="00442D75"/>
    <w:rsid w:val="00442DBF"/>
    <w:rsid w:val="00442F33"/>
    <w:rsid w:val="004430A8"/>
    <w:rsid w:val="004430C6"/>
    <w:rsid w:val="0044335D"/>
    <w:rsid w:val="004435CD"/>
    <w:rsid w:val="004436A1"/>
    <w:rsid w:val="004437B2"/>
    <w:rsid w:val="0044384E"/>
    <w:rsid w:val="00443874"/>
    <w:rsid w:val="0044399F"/>
    <w:rsid w:val="00443C1D"/>
    <w:rsid w:val="00443CC3"/>
    <w:rsid w:val="00443F72"/>
    <w:rsid w:val="0044412B"/>
    <w:rsid w:val="004441EC"/>
    <w:rsid w:val="00444248"/>
    <w:rsid w:val="0044453C"/>
    <w:rsid w:val="00444541"/>
    <w:rsid w:val="00444743"/>
    <w:rsid w:val="00444782"/>
    <w:rsid w:val="00444795"/>
    <w:rsid w:val="00444798"/>
    <w:rsid w:val="004448D7"/>
    <w:rsid w:val="00444932"/>
    <w:rsid w:val="00444983"/>
    <w:rsid w:val="004449E5"/>
    <w:rsid w:val="00444A1E"/>
    <w:rsid w:val="00444A21"/>
    <w:rsid w:val="00444A8C"/>
    <w:rsid w:val="00444ADE"/>
    <w:rsid w:val="00444B72"/>
    <w:rsid w:val="00444B8E"/>
    <w:rsid w:val="00444BCF"/>
    <w:rsid w:val="00444C58"/>
    <w:rsid w:val="00444D0E"/>
    <w:rsid w:val="00444D41"/>
    <w:rsid w:val="00444E57"/>
    <w:rsid w:val="00444EBE"/>
    <w:rsid w:val="00444ECA"/>
    <w:rsid w:val="00444EFC"/>
    <w:rsid w:val="00444FFB"/>
    <w:rsid w:val="004450D6"/>
    <w:rsid w:val="0044515E"/>
    <w:rsid w:val="004455D2"/>
    <w:rsid w:val="00445682"/>
    <w:rsid w:val="004456C4"/>
    <w:rsid w:val="00445A47"/>
    <w:rsid w:val="00445C1F"/>
    <w:rsid w:val="00445C64"/>
    <w:rsid w:val="00445F39"/>
    <w:rsid w:val="00445F7F"/>
    <w:rsid w:val="00446206"/>
    <w:rsid w:val="004462F5"/>
    <w:rsid w:val="0044634E"/>
    <w:rsid w:val="0044636D"/>
    <w:rsid w:val="00446372"/>
    <w:rsid w:val="00446416"/>
    <w:rsid w:val="004464AE"/>
    <w:rsid w:val="0044683F"/>
    <w:rsid w:val="00446851"/>
    <w:rsid w:val="00446864"/>
    <w:rsid w:val="004468B1"/>
    <w:rsid w:val="00446935"/>
    <w:rsid w:val="004469AE"/>
    <w:rsid w:val="00446B5F"/>
    <w:rsid w:val="00446B7C"/>
    <w:rsid w:val="00446BC2"/>
    <w:rsid w:val="00446CB2"/>
    <w:rsid w:val="00446CFA"/>
    <w:rsid w:val="00446E43"/>
    <w:rsid w:val="00446FCD"/>
    <w:rsid w:val="0044703E"/>
    <w:rsid w:val="00447053"/>
    <w:rsid w:val="0044705A"/>
    <w:rsid w:val="00447268"/>
    <w:rsid w:val="0044731D"/>
    <w:rsid w:val="00447376"/>
    <w:rsid w:val="004474C7"/>
    <w:rsid w:val="0044758B"/>
    <w:rsid w:val="0044760F"/>
    <w:rsid w:val="004477CD"/>
    <w:rsid w:val="0044785A"/>
    <w:rsid w:val="004478BD"/>
    <w:rsid w:val="00447960"/>
    <w:rsid w:val="004479AA"/>
    <w:rsid w:val="00447A7C"/>
    <w:rsid w:val="00447BB8"/>
    <w:rsid w:val="00447D33"/>
    <w:rsid w:val="00447E76"/>
    <w:rsid w:val="00447FBA"/>
    <w:rsid w:val="00450110"/>
    <w:rsid w:val="00450143"/>
    <w:rsid w:val="00450171"/>
    <w:rsid w:val="00450267"/>
    <w:rsid w:val="004502ED"/>
    <w:rsid w:val="0045031E"/>
    <w:rsid w:val="00450630"/>
    <w:rsid w:val="00450727"/>
    <w:rsid w:val="00450947"/>
    <w:rsid w:val="00450B66"/>
    <w:rsid w:val="00450B8F"/>
    <w:rsid w:val="00450D31"/>
    <w:rsid w:val="00450E1B"/>
    <w:rsid w:val="00451065"/>
    <w:rsid w:val="00451073"/>
    <w:rsid w:val="004510B6"/>
    <w:rsid w:val="004510DA"/>
    <w:rsid w:val="004510DB"/>
    <w:rsid w:val="004511B9"/>
    <w:rsid w:val="004511D1"/>
    <w:rsid w:val="004515CD"/>
    <w:rsid w:val="004515E6"/>
    <w:rsid w:val="00451674"/>
    <w:rsid w:val="004516C4"/>
    <w:rsid w:val="004516C7"/>
    <w:rsid w:val="00451930"/>
    <w:rsid w:val="00451AEA"/>
    <w:rsid w:val="00451B37"/>
    <w:rsid w:val="00451C12"/>
    <w:rsid w:val="00451CD1"/>
    <w:rsid w:val="00451D8D"/>
    <w:rsid w:val="00451EB8"/>
    <w:rsid w:val="004522B5"/>
    <w:rsid w:val="004522E8"/>
    <w:rsid w:val="004522FC"/>
    <w:rsid w:val="00452724"/>
    <w:rsid w:val="0045290C"/>
    <w:rsid w:val="004529CB"/>
    <w:rsid w:val="00452A20"/>
    <w:rsid w:val="00452A8F"/>
    <w:rsid w:val="00452AFB"/>
    <w:rsid w:val="00452C32"/>
    <w:rsid w:val="00452D61"/>
    <w:rsid w:val="00452D7B"/>
    <w:rsid w:val="00452DC7"/>
    <w:rsid w:val="00452F03"/>
    <w:rsid w:val="0045315C"/>
    <w:rsid w:val="0045325B"/>
    <w:rsid w:val="004532FD"/>
    <w:rsid w:val="004535FE"/>
    <w:rsid w:val="004537ED"/>
    <w:rsid w:val="004539DE"/>
    <w:rsid w:val="00453B2F"/>
    <w:rsid w:val="00453DF3"/>
    <w:rsid w:val="00453DFB"/>
    <w:rsid w:val="00453E30"/>
    <w:rsid w:val="00453E7B"/>
    <w:rsid w:val="00454090"/>
    <w:rsid w:val="004540BA"/>
    <w:rsid w:val="00454244"/>
    <w:rsid w:val="0045424A"/>
    <w:rsid w:val="00454306"/>
    <w:rsid w:val="004543C5"/>
    <w:rsid w:val="004544E5"/>
    <w:rsid w:val="00454563"/>
    <w:rsid w:val="00454661"/>
    <w:rsid w:val="004546BF"/>
    <w:rsid w:val="00454849"/>
    <w:rsid w:val="0045485F"/>
    <w:rsid w:val="00454938"/>
    <w:rsid w:val="00454997"/>
    <w:rsid w:val="00454B33"/>
    <w:rsid w:val="00454DCE"/>
    <w:rsid w:val="00454E33"/>
    <w:rsid w:val="00454F98"/>
    <w:rsid w:val="00454FBF"/>
    <w:rsid w:val="00454FF3"/>
    <w:rsid w:val="00455111"/>
    <w:rsid w:val="00455122"/>
    <w:rsid w:val="00455300"/>
    <w:rsid w:val="00455315"/>
    <w:rsid w:val="004553B2"/>
    <w:rsid w:val="004553C4"/>
    <w:rsid w:val="004553DD"/>
    <w:rsid w:val="00455408"/>
    <w:rsid w:val="004555B1"/>
    <w:rsid w:val="004556FB"/>
    <w:rsid w:val="00455720"/>
    <w:rsid w:val="004558DA"/>
    <w:rsid w:val="00455B50"/>
    <w:rsid w:val="00455D80"/>
    <w:rsid w:val="00455E73"/>
    <w:rsid w:val="00455E8F"/>
    <w:rsid w:val="00455FB3"/>
    <w:rsid w:val="00456080"/>
    <w:rsid w:val="004560C0"/>
    <w:rsid w:val="00456388"/>
    <w:rsid w:val="004564AD"/>
    <w:rsid w:val="004564C7"/>
    <w:rsid w:val="004564D4"/>
    <w:rsid w:val="0045654F"/>
    <w:rsid w:val="00456731"/>
    <w:rsid w:val="00456820"/>
    <w:rsid w:val="0045696B"/>
    <w:rsid w:val="004569C3"/>
    <w:rsid w:val="004569FB"/>
    <w:rsid w:val="00456A18"/>
    <w:rsid w:val="00456A3A"/>
    <w:rsid w:val="00456B26"/>
    <w:rsid w:val="00456B7A"/>
    <w:rsid w:val="00456B97"/>
    <w:rsid w:val="00456BAA"/>
    <w:rsid w:val="00456CC2"/>
    <w:rsid w:val="00456CDF"/>
    <w:rsid w:val="00456D52"/>
    <w:rsid w:val="00456D77"/>
    <w:rsid w:val="00456DE6"/>
    <w:rsid w:val="00456E9E"/>
    <w:rsid w:val="00456F1C"/>
    <w:rsid w:val="00457000"/>
    <w:rsid w:val="004570F3"/>
    <w:rsid w:val="0045727B"/>
    <w:rsid w:val="004572C2"/>
    <w:rsid w:val="004573C5"/>
    <w:rsid w:val="004575E2"/>
    <w:rsid w:val="004575EE"/>
    <w:rsid w:val="0045781B"/>
    <w:rsid w:val="00457836"/>
    <w:rsid w:val="004578F1"/>
    <w:rsid w:val="0045796E"/>
    <w:rsid w:val="00457A72"/>
    <w:rsid w:val="00457BC7"/>
    <w:rsid w:val="00457D6C"/>
    <w:rsid w:val="00457D88"/>
    <w:rsid w:val="00457DBF"/>
    <w:rsid w:val="00457E74"/>
    <w:rsid w:val="00457EA8"/>
    <w:rsid w:val="00457EE9"/>
    <w:rsid w:val="00457F14"/>
    <w:rsid w:val="00457F54"/>
    <w:rsid w:val="004601DB"/>
    <w:rsid w:val="0046021B"/>
    <w:rsid w:val="00460307"/>
    <w:rsid w:val="0046050E"/>
    <w:rsid w:val="004606BB"/>
    <w:rsid w:val="00460754"/>
    <w:rsid w:val="00460973"/>
    <w:rsid w:val="00460986"/>
    <w:rsid w:val="0046098C"/>
    <w:rsid w:val="00460999"/>
    <w:rsid w:val="004609CC"/>
    <w:rsid w:val="00460A00"/>
    <w:rsid w:val="00460C3F"/>
    <w:rsid w:val="00460D4E"/>
    <w:rsid w:val="00460F4A"/>
    <w:rsid w:val="0046101C"/>
    <w:rsid w:val="004611E6"/>
    <w:rsid w:val="004613E6"/>
    <w:rsid w:val="004614E3"/>
    <w:rsid w:val="00461823"/>
    <w:rsid w:val="00461884"/>
    <w:rsid w:val="004618AD"/>
    <w:rsid w:val="004618E4"/>
    <w:rsid w:val="004619CE"/>
    <w:rsid w:val="00461A30"/>
    <w:rsid w:val="00461AA5"/>
    <w:rsid w:val="00461AEB"/>
    <w:rsid w:val="00461B4D"/>
    <w:rsid w:val="00461BC7"/>
    <w:rsid w:val="00461C23"/>
    <w:rsid w:val="00461E61"/>
    <w:rsid w:val="00461F5A"/>
    <w:rsid w:val="0046207D"/>
    <w:rsid w:val="004621A2"/>
    <w:rsid w:val="00462214"/>
    <w:rsid w:val="00462367"/>
    <w:rsid w:val="004623C4"/>
    <w:rsid w:val="004624AA"/>
    <w:rsid w:val="004624EC"/>
    <w:rsid w:val="00462596"/>
    <w:rsid w:val="004625B2"/>
    <w:rsid w:val="004625EC"/>
    <w:rsid w:val="00462697"/>
    <w:rsid w:val="004626D5"/>
    <w:rsid w:val="0046272A"/>
    <w:rsid w:val="004627AE"/>
    <w:rsid w:val="004627E2"/>
    <w:rsid w:val="004627FB"/>
    <w:rsid w:val="004628DB"/>
    <w:rsid w:val="004629B8"/>
    <w:rsid w:val="00462C9D"/>
    <w:rsid w:val="00462FE9"/>
    <w:rsid w:val="00463093"/>
    <w:rsid w:val="00463149"/>
    <w:rsid w:val="004631F6"/>
    <w:rsid w:val="00463220"/>
    <w:rsid w:val="0046341E"/>
    <w:rsid w:val="004635FB"/>
    <w:rsid w:val="00463608"/>
    <w:rsid w:val="0046384E"/>
    <w:rsid w:val="00463943"/>
    <w:rsid w:val="00463AB6"/>
    <w:rsid w:val="00463B8E"/>
    <w:rsid w:val="00463C60"/>
    <w:rsid w:val="00463C99"/>
    <w:rsid w:val="00463CEA"/>
    <w:rsid w:val="00463DDD"/>
    <w:rsid w:val="00463E9D"/>
    <w:rsid w:val="00463F3A"/>
    <w:rsid w:val="00464181"/>
    <w:rsid w:val="004641F8"/>
    <w:rsid w:val="00464257"/>
    <w:rsid w:val="00464382"/>
    <w:rsid w:val="00464392"/>
    <w:rsid w:val="004643AC"/>
    <w:rsid w:val="00464627"/>
    <w:rsid w:val="004646CB"/>
    <w:rsid w:val="004647B3"/>
    <w:rsid w:val="00464832"/>
    <w:rsid w:val="00464929"/>
    <w:rsid w:val="00464991"/>
    <w:rsid w:val="004649C4"/>
    <w:rsid w:val="00464A08"/>
    <w:rsid w:val="00464B28"/>
    <w:rsid w:val="00464C49"/>
    <w:rsid w:val="00464E21"/>
    <w:rsid w:val="00464E49"/>
    <w:rsid w:val="00464F70"/>
    <w:rsid w:val="00465069"/>
    <w:rsid w:val="00465078"/>
    <w:rsid w:val="00465216"/>
    <w:rsid w:val="00465307"/>
    <w:rsid w:val="004654BA"/>
    <w:rsid w:val="004655BB"/>
    <w:rsid w:val="004655CE"/>
    <w:rsid w:val="00465701"/>
    <w:rsid w:val="00465730"/>
    <w:rsid w:val="004657E4"/>
    <w:rsid w:val="00465B3A"/>
    <w:rsid w:val="00465C5B"/>
    <w:rsid w:val="00466045"/>
    <w:rsid w:val="004660C7"/>
    <w:rsid w:val="00466192"/>
    <w:rsid w:val="00466241"/>
    <w:rsid w:val="00466405"/>
    <w:rsid w:val="00466435"/>
    <w:rsid w:val="00466448"/>
    <w:rsid w:val="00466449"/>
    <w:rsid w:val="004664FE"/>
    <w:rsid w:val="004666BF"/>
    <w:rsid w:val="0046675F"/>
    <w:rsid w:val="004669AC"/>
    <w:rsid w:val="00466A26"/>
    <w:rsid w:val="00466A82"/>
    <w:rsid w:val="00466AAD"/>
    <w:rsid w:val="00466AB8"/>
    <w:rsid w:val="00466B46"/>
    <w:rsid w:val="00466BA7"/>
    <w:rsid w:val="00466C6A"/>
    <w:rsid w:val="00466CDB"/>
    <w:rsid w:val="00466E50"/>
    <w:rsid w:val="004671E9"/>
    <w:rsid w:val="00467436"/>
    <w:rsid w:val="0046744D"/>
    <w:rsid w:val="00467495"/>
    <w:rsid w:val="00467692"/>
    <w:rsid w:val="004676CA"/>
    <w:rsid w:val="00467739"/>
    <w:rsid w:val="00467751"/>
    <w:rsid w:val="0046798B"/>
    <w:rsid w:val="00467A68"/>
    <w:rsid w:val="00467A84"/>
    <w:rsid w:val="00467A9E"/>
    <w:rsid w:val="00467BE8"/>
    <w:rsid w:val="00467C19"/>
    <w:rsid w:val="00467D57"/>
    <w:rsid w:val="00467DC6"/>
    <w:rsid w:val="00467F71"/>
    <w:rsid w:val="00467FE2"/>
    <w:rsid w:val="00470013"/>
    <w:rsid w:val="00470038"/>
    <w:rsid w:val="00470044"/>
    <w:rsid w:val="004701AA"/>
    <w:rsid w:val="004703A8"/>
    <w:rsid w:val="00470648"/>
    <w:rsid w:val="004709B7"/>
    <w:rsid w:val="00470A81"/>
    <w:rsid w:val="00470B76"/>
    <w:rsid w:val="00470E04"/>
    <w:rsid w:val="00470EF6"/>
    <w:rsid w:val="00470FC6"/>
    <w:rsid w:val="00471027"/>
    <w:rsid w:val="004710F9"/>
    <w:rsid w:val="0047141E"/>
    <w:rsid w:val="00471464"/>
    <w:rsid w:val="004715AF"/>
    <w:rsid w:val="004715D6"/>
    <w:rsid w:val="004718A4"/>
    <w:rsid w:val="00471A40"/>
    <w:rsid w:val="00471A6A"/>
    <w:rsid w:val="00471B69"/>
    <w:rsid w:val="00471E53"/>
    <w:rsid w:val="00471EEF"/>
    <w:rsid w:val="00471F62"/>
    <w:rsid w:val="00472151"/>
    <w:rsid w:val="00472209"/>
    <w:rsid w:val="0047228D"/>
    <w:rsid w:val="0047236F"/>
    <w:rsid w:val="00472386"/>
    <w:rsid w:val="004723B5"/>
    <w:rsid w:val="00472440"/>
    <w:rsid w:val="00472461"/>
    <w:rsid w:val="00472482"/>
    <w:rsid w:val="0047250D"/>
    <w:rsid w:val="004725BF"/>
    <w:rsid w:val="0047261D"/>
    <w:rsid w:val="004726AB"/>
    <w:rsid w:val="004726BD"/>
    <w:rsid w:val="004726CC"/>
    <w:rsid w:val="00472759"/>
    <w:rsid w:val="00472816"/>
    <w:rsid w:val="004728E0"/>
    <w:rsid w:val="004729E8"/>
    <w:rsid w:val="00472A15"/>
    <w:rsid w:val="00472A49"/>
    <w:rsid w:val="00472AFF"/>
    <w:rsid w:val="00472B25"/>
    <w:rsid w:val="00472EF0"/>
    <w:rsid w:val="00472F44"/>
    <w:rsid w:val="004730DD"/>
    <w:rsid w:val="00473144"/>
    <w:rsid w:val="004731DF"/>
    <w:rsid w:val="0047325F"/>
    <w:rsid w:val="004735D3"/>
    <w:rsid w:val="00473651"/>
    <w:rsid w:val="00473652"/>
    <w:rsid w:val="004737B2"/>
    <w:rsid w:val="0047384E"/>
    <w:rsid w:val="004739E6"/>
    <w:rsid w:val="004739E7"/>
    <w:rsid w:val="00473B2F"/>
    <w:rsid w:val="00473BD7"/>
    <w:rsid w:val="00473BDB"/>
    <w:rsid w:val="00473C18"/>
    <w:rsid w:val="00473C7A"/>
    <w:rsid w:val="00473C86"/>
    <w:rsid w:val="00473EEF"/>
    <w:rsid w:val="00473F0F"/>
    <w:rsid w:val="00473F83"/>
    <w:rsid w:val="00473F94"/>
    <w:rsid w:val="00473FD0"/>
    <w:rsid w:val="00474141"/>
    <w:rsid w:val="004742E8"/>
    <w:rsid w:val="00474300"/>
    <w:rsid w:val="0047439F"/>
    <w:rsid w:val="004743D2"/>
    <w:rsid w:val="004743E0"/>
    <w:rsid w:val="00474709"/>
    <w:rsid w:val="004748C6"/>
    <w:rsid w:val="00474B51"/>
    <w:rsid w:val="00474BC9"/>
    <w:rsid w:val="00474BD0"/>
    <w:rsid w:val="00474C70"/>
    <w:rsid w:val="00474C71"/>
    <w:rsid w:val="00474CF3"/>
    <w:rsid w:val="00474D81"/>
    <w:rsid w:val="00474DA6"/>
    <w:rsid w:val="00474E97"/>
    <w:rsid w:val="00475065"/>
    <w:rsid w:val="00475140"/>
    <w:rsid w:val="0047520F"/>
    <w:rsid w:val="00475281"/>
    <w:rsid w:val="00475579"/>
    <w:rsid w:val="00475702"/>
    <w:rsid w:val="0047571A"/>
    <w:rsid w:val="00475746"/>
    <w:rsid w:val="00475787"/>
    <w:rsid w:val="004759B6"/>
    <w:rsid w:val="00475AA5"/>
    <w:rsid w:val="00475AC6"/>
    <w:rsid w:val="00475C36"/>
    <w:rsid w:val="00475CC3"/>
    <w:rsid w:val="00475D9D"/>
    <w:rsid w:val="00475EAA"/>
    <w:rsid w:val="00475EC8"/>
    <w:rsid w:val="00475FA9"/>
    <w:rsid w:val="004760F4"/>
    <w:rsid w:val="00476107"/>
    <w:rsid w:val="00476338"/>
    <w:rsid w:val="00476354"/>
    <w:rsid w:val="00476482"/>
    <w:rsid w:val="0047650B"/>
    <w:rsid w:val="004765C4"/>
    <w:rsid w:val="00476710"/>
    <w:rsid w:val="00476853"/>
    <w:rsid w:val="00476995"/>
    <w:rsid w:val="00476A1E"/>
    <w:rsid w:val="00476AE8"/>
    <w:rsid w:val="00476AED"/>
    <w:rsid w:val="00476B08"/>
    <w:rsid w:val="00476B34"/>
    <w:rsid w:val="00476B5E"/>
    <w:rsid w:val="00476B6F"/>
    <w:rsid w:val="00476BCC"/>
    <w:rsid w:val="00476E92"/>
    <w:rsid w:val="004771CB"/>
    <w:rsid w:val="004771D3"/>
    <w:rsid w:val="004773E3"/>
    <w:rsid w:val="00477469"/>
    <w:rsid w:val="004774BC"/>
    <w:rsid w:val="004776AA"/>
    <w:rsid w:val="00477735"/>
    <w:rsid w:val="00477740"/>
    <w:rsid w:val="00477788"/>
    <w:rsid w:val="00477834"/>
    <w:rsid w:val="00477B46"/>
    <w:rsid w:val="00477BD2"/>
    <w:rsid w:val="004800BA"/>
    <w:rsid w:val="004803F5"/>
    <w:rsid w:val="0048050E"/>
    <w:rsid w:val="004805E1"/>
    <w:rsid w:val="004805EC"/>
    <w:rsid w:val="0048073D"/>
    <w:rsid w:val="004807F3"/>
    <w:rsid w:val="004808C5"/>
    <w:rsid w:val="0048090E"/>
    <w:rsid w:val="0048091F"/>
    <w:rsid w:val="00480998"/>
    <w:rsid w:val="00480AD2"/>
    <w:rsid w:val="00480BB8"/>
    <w:rsid w:val="00480BD4"/>
    <w:rsid w:val="00480BEE"/>
    <w:rsid w:val="00480C26"/>
    <w:rsid w:val="00480D09"/>
    <w:rsid w:val="00480E1F"/>
    <w:rsid w:val="00480E40"/>
    <w:rsid w:val="004810B7"/>
    <w:rsid w:val="0048110F"/>
    <w:rsid w:val="00481254"/>
    <w:rsid w:val="004812F3"/>
    <w:rsid w:val="0048146B"/>
    <w:rsid w:val="004814AA"/>
    <w:rsid w:val="004814E0"/>
    <w:rsid w:val="0048152E"/>
    <w:rsid w:val="004815FA"/>
    <w:rsid w:val="00481663"/>
    <w:rsid w:val="0048178F"/>
    <w:rsid w:val="004817BC"/>
    <w:rsid w:val="00481800"/>
    <w:rsid w:val="00481927"/>
    <w:rsid w:val="00481A2E"/>
    <w:rsid w:val="00481A2F"/>
    <w:rsid w:val="00481A55"/>
    <w:rsid w:val="00481AA1"/>
    <w:rsid w:val="00481AAF"/>
    <w:rsid w:val="00481BB3"/>
    <w:rsid w:val="00481C4C"/>
    <w:rsid w:val="00481CF7"/>
    <w:rsid w:val="00481DA2"/>
    <w:rsid w:val="00482018"/>
    <w:rsid w:val="00482023"/>
    <w:rsid w:val="004820B8"/>
    <w:rsid w:val="0048225C"/>
    <w:rsid w:val="004822D5"/>
    <w:rsid w:val="004822E6"/>
    <w:rsid w:val="0048256C"/>
    <w:rsid w:val="0048263E"/>
    <w:rsid w:val="00482696"/>
    <w:rsid w:val="0048282C"/>
    <w:rsid w:val="0048290C"/>
    <w:rsid w:val="00482A49"/>
    <w:rsid w:val="00482A5F"/>
    <w:rsid w:val="00482BA9"/>
    <w:rsid w:val="00482CEE"/>
    <w:rsid w:val="00482E65"/>
    <w:rsid w:val="00482F38"/>
    <w:rsid w:val="00482F9E"/>
    <w:rsid w:val="0048301E"/>
    <w:rsid w:val="004830B5"/>
    <w:rsid w:val="004831AA"/>
    <w:rsid w:val="004831C7"/>
    <w:rsid w:val="004831F8"/>
    <w:rsid w:val="004832AC"/>
    <w:rsid w:val="004832EA"/>
    <w:rsid w:val="00483377"/>
    <w:rsid w:val="0048373F"/>
    <w:rsid w:val="004837E8"/>
    <w:rsid w:val="00483998"/>
    <w:rsid w:val="00483C4A"/>
    <w:rsid w:val="00483D2E"/>
    <w:rsid w:val="00483DDF"/>
    <w:rsid w:val="00483E4C"/>
    <w:rsid w:val="00483F2C"/>
    <w:rsid w:val="0048405B"/>
    <w:rsid w:val="0048405D"/>
    <w:rsid w:val="004840B7"/>
    <w:rsid w:val="0048416E"/>
    <w:rsid w:val="004841F6"/>
    <w:rsid w:val="00484430"/>
    <w:rsid w:val="004844D7"/>
    <w:rsid w:val="004845AC"/>
    <w:rsid w:val="004845F3"/>
    <w:rsid w:val="00484614"/>
    <w:rsid w:val="0048466E"/>
    <w:rsid w:val="004847F6"/>
    <w:rsid w:val="00484A87"/>
    <w:rsid w:val="00484A9A"/>
    <w:rsid w:val="00484AD7"/>
    <w:rsid w:val="00484BB3"/>
    <w:rsid w:val="00484C1A"/>
    <w:rsid w:val="00484C8D"/>
    <w:rsid w:val="00484CE3"/>
    <w:rsid w:val="00484EB2"/>
    <w:rsid w:val="00484F63"/>
    <w:rsid w:val="00484F9C"/>
    <w:rsid w:val="0048507B"/>
    <w:rsid w:val="004850EF"/>
    <w:rsid w:val="00485165"/>
    <w:rsid w:val="004852CD"/>
    <w:rsid w:val="004854B9"/>
    <w:rsid w:val="004855D1"/>
    <w:rsid w:val="004857EA"/>
    <w:rsid w:val="0048592A"/>
    <w:rsid w:val="00485959"/>
    <w:rsid w:val="0048595F"/>
    <w:rsid w:val="004859FF"/>
    <w:rsid w:val="00485B05"/>
    <w:rsid w:val="00485C14"/>
    <w:rsid w:val="00485D47"/>
    <w:rsid w:val="00485DC3"/>
    <w:rsid w:val="00485E50"/>
    <w:rsid w:val="00485F90"/>
    <w:rsid w:val="00485F9D"/>
    <w:rsid w:val="004860B6"/>
    <w:rsid w:val="004860E5"/>
    <w:rsid w:val="00486239"/>
    <w:rsid w:val="00486282"/>
    <w:rsid w:val="004862EA"/>
    <w:rsid w:val="00486376"/>
    <w:rsid w:val="0048658C"/>
    <w:rsid w:val="0048663A"/>
    <w:rsid w:val="004866E8"/>
    <w:rsid w:val="00486730"/>
    <w:rsid w:val="00486AB0"/>
    <w:rsid w:val="00486AEE"/>
    <w:rsid w:val="00486BA2"/>
    <w:rsid w:val="00486CF8"/>
    <w:rsid w:val="00486E0A"/>
    <w:rsid w:val="004870C9"/>
    <w:rsid w:val="0048715E"/>
    <w:rsid w:val="00487184"/>
    <w:rsid w:val="004871FB"/>
    <w:rsid w:val="00487328"/>
    <w:rsid w:val="00487359"/>
    <w:rsid w:val="004873F0"/>
    <w:rsid w:val="0048745F"/>
    <w:rsid w:val="004874E3"/>
    <w:rsid w:val="00487599"/>
    <w:rsid w:val="004875DE"/>
    <w:rsid w:val="004877A4"/>
    <w:rsid w:val="004879CC"/>
    <w:rsid w:val="00487B6F"/>
    <w:rsid w:val="00487BB3"/>
    <w:rsid w:val="00487D13"/>
    <w:rsid w:val="00487D85"/>
    <w:rsid w:val="00487F85"/>
    <w:rsid w:val="00487FE4"/>
    <w:rsid w:val="00487FF6"/>
    <w:rsid w:val="00490078"/>
    <w:rsid w:val="0049017B"/>
    <w:rsid w:val="004901D0"/>
    <w:rsid w:val="00490205"/>
    <w:rsid w:val="00490309"/>
    <w:rsid w:val="00490455"/>
    <w:rsid w:val="00490530"/>
    <w:rsid w:val="00490632"/>
    <w:rsid w:val="00490633"/>
    <w:rsid w:val="004906C4"/>
    <w:rsid w:val="004907DA"/>
    <w:rsid w:val="00490878"/>
    <w:rsid w:val="004908D3"/>
    <w:rsid w:val="00490A61"/>
    <w:rsid w:val="00490A77"/>
    <w:rsid w:val="00490B1E"/>
    <w:rsid w:val="00490C89"/>
    <w:rsid w:val="00490DBC"/>
    <w:rsid w:val="00490E1E"/>
    <w:rsid w:val="00490F93"/>
    <w:rsid w:val="0049103B"/>
    <w:rsid w:val="004910B5"/>
    <w:rsid w:val="0049116A"/>
    <w:rsid w:val="00491198"/>
    <w:rsid w:val="00491253"/>
    <w:rsid w:val="004913DA"/>
    <w:rsid w:val="00491488"/>
    <w:rsid w:val="004917F2"/>
    <w:rsid w:val="0049184C"/>
    <w:rsid w:val="004918B5"/>
    <w:rsid w:val="004919CD"/>
    <w:rsid w:val="00491A22"/>
    <w:rsid w:val="00491BF8"/>
    <w:rsid w:val="00491C84"/>
    <w:rsid w:val="00491E3C"/>
    <w:rsid w:val="00491EC3"/>
    <w:rsid w:val="00491F97"/>
    <w:rsid w:val="00492108"/>
    <w:rsid w:val="00492164"/>
    <w:rsid w:val="004921B3"/>
    <w:rsid w:val="004921BD"/>
    <w:rsid w:val="00492294"/>
    <w:rsid w:val="0049240F"/>
    <w:rsid w:val="004924BA"/>
    <w:rsid w:val="004924F1"/>
    <w:rsid w:val="0049256B"/>
    <w:rsid w:val="0049277C"/>
    <w:rsid w:val="004928AE"/>
    <w:rsid w:val="00492AD8"/>
    <w:rsid w:val="00492B75"/>
    <w:rsid w:val="00492B7C"/>
    <w:rsid w:val="00492B85"/>
    <w:rsid w:val="00492BE4"/>
    <w:rsid w:val="00492D25"/>
    <w:rsid w:val="00492DD7"/>
    <w:rsid w:val="00492E81"/>
    <w:rsid w:val="004931A5"/>
    <w:rsid w:val="004931C9"/>
    <w:rsid w:val="004931CF"/>
    <w:rsid w:val="00493204"/>
    <w:rsid w:val="0049329C"/>
    <w:rsid w:val="00493353"/>
    <w:rsid w:val="004933AD"/>
    <w:rsid w:val="00493544"/>
    <w:rsid w:val="0049361A"/>
    <w:rsid w:val="00493649"/>
    <w:rsid w:val="0049364E"/>
    <w:rsid w:val="004936DE"/>
    <w:rsid w:val="00493793"/>
    <w:rsid w:val="004937BD"/>
    <w:rsid w:val="00493877"/>
    <w:rsid w:val="0049387D"/>
    <w:rsid w:val="00493B2E"/>
    <w:rsid w:val="00493BA1"/>
    <w:rsid w:val="00493CE2"/>
    <w:rsid w:val="00493E1B"/>
    <w:rsid w:val="00493E83"/>
    <w:rsid w:val="00493EBA"/>
    <w:rsid w:val="004940CC"/>
    <w:rsid w:val="004940D8"/>
    <w:rsid w:val="0049417C"/>
    <w:rsid w:val="004942CB"/>
    <w:rsid w:val="004944D3"/>
    <w:rsid w:val="0049477C"/>
    <w:rsid w:val="004948A4"/>
    <w:rsid w:val="004948D8"/>
    <w:rsid w:val="004948F0"/>
    <w:rsid w:val="00494A46"/>
    <w:rsid w:val="00494C3A"/>
    <w:rsid w:val="00494C4E"/>
    <w:rsid w:val="00494CF3"/>
    <w:rsid w:val="00494E2D"/>
    <w:rsid w:val="00495021"/>
    <w:rsid w:val="00495026"/>
    <w:rsid w:val="0049505B"/>
    <w:rsid w:val="004950BD"/>
    <w:rsid w:val="0049510D"/>
    <w:rsid w:val="0049514D"/>
    <w:rsid w:val="0049523A"/>
    <w:rsid w:val="0049525A"/>
    <w:rsid w:val="004952DC"/>
    <w:rsid w:val="0049543A"/>
    <w:rsid w:val="00495510"/>
    <w:rsid w:val="00495738"/>
    <w:rsid w:val="00495822"/>
    <w:rsid w:val="00495855"/>
    <w:rsid w:val="0049598B"/>
    <w:rsid w:val="00495B0A"/>
    <w:rsid w:val="00495BD5"/>
    <w:rsid w:val="00495CBF"/>
    <w:rsid w:val="00495D82"/>
    <w:rsid w:val="00495FC3"/>
    <w:rsid w:val="0049607B"/>
    <w:rsid w:val="004960B8"/>
    <w:rsid w:val="0049619C"/>
    <w:rsid w:val="0049648D"/>
    <w:rsid w:val="004964DC"/>
    <w:rsid w:val="00496772"/>
    <w:rsid w:val="004967A5"/>
    <w:rsid w:val="004968FD"/>
    <w:rsid w:val="0049694D"/>
    <w:rsid w:val="00496A51"/>
    <w:rsid w:val="00496AA6"/>
    <w:rsid w:val="00496AA7"/>
    <w:rsid w:val="00496CD9"/>
    <w:rsid w:val="00496E01"/>
    <w:rsid w:val="00496E14"/>
    <w:rsid w:val="00496ECE"/>
    <w:rsid w:val="00496F0D"/>
    <w:rsid w:val="00496FB2"/>
    <w:rsid w:val="0049700D"/>
    <w:rsid w:val="00497026"/>
    <w:rsid w:val="0049704D"/>
    <w:rsid w:val="00497160"/>
    <w:rsid w:val="00497246"/>
    <w:rsid w:val="00497261"/>
    <w:rsid w:val="0049731A"/>
    <w:rsid w:val="00497352"/>
    <w:rsid w:val="0049740E"/>
    <w:rsid w:val="0049753E"/>
    <w:rsid w:val="004976CC"/>
    <w:rsid w:val="0049770D"/>
    <w:rsid w:val="00497848"/>
    <w:rsid w:val="00497A9E"/>
    <w:rsid w:val="00497B76"/>
    <w:rsid w:val="00497B8D"/>
    <w:rsid w:val="00497C6A"/>
    <w:rsid w:val="004A000A"/>
    <w:rsid w:val="004A002C"/>
    <w:rsid w:val="004A0689"/>
    <w:rsid w:val="004A06A1"/>
    <w:rsid w:val="004A06AF"/>
    <w:rsid w:val="004A0725"/>
    <w:rsid w:val="004A0818"/>
    <w:rsid w:val="004A09C7"/>
    <w:rsid w:val="004A0AC6"/>
    <w:rsid w:val="004A0B95"/>
    <w:rsid w:val="004A0D69"/>
    <w:rsid w:val="004A0E17"/>
    <w:rsid w:val="004A0EC8"/>
    <w:rsid w:val="004A0FA1"/>
    <w:rsid w:val="004A1277"/>
    <w:rsid w:val="004A12EE"/>
    <w:rsid w:val="004A1452"/>
    <w:rsid w:val="004A1639"/>
    <w:rsid w:val="004A165F"/>
    <w:rsid w:val="004A1670"/>
    <w:rsid w:val="004A1857"/>
    <w:rsid w:val="004A1C30"/>
    <w:rsid w:val="004A1CF5"/>
    <w:rsid w:val="004A1D9A"/>
    <w:rsid w:val="004A1E8D"/>
    <w:rsid w:val="004A1EA7"/>
    <w:rsid w:val="004A201D"/>
    <w:rsid w:val="004A209A"/>
    <w:rsid w:val="004A2191"/>
    <w:rsid w:val="004A2193"/>
    <w:rsid w:val="004A229C"/>
    <w:rsid w:val="004A22F8"/>
    <w:rsid w:val="004A237D"/>
    <w:rsid w:val="004A2416"/>
    <w:rsid w:val="004A24C3"/>
    <w:rsid w:val="004A24F0"/>
    <w:rsid w:val="004A2758"/>
    <w:rsid w:val="004A27ED"/>
    <w:rsid w:val="004A27FA"/>
    <w:rsid w:val="004A289A"/>
    <w:rsid w:val="004A28B8"/>
    <w:rsid w:val="004A299A"/>
    <w:rsid w:val="004A2A6E"/>
    <w:rsid w:val="004A2BB0"/>
    <w:rsid w:val="004A2DED"/>
    <w:rsid w:val="004A2E11"/>
    <w:rsid w:val="004A2F1D"/>
    <w:rsid w:val="004A3333"/>
    <w:rsid w:val="004A33DE"/>
    <w:rsid w:val="004A34B4"/>
    <w:rsid w:val="004A356F"/>
    <w:rsid w:val="004A3631"/>
    <w:rsid w:val="004A3689"/>
    <w:rsid w:val="004A3938"/>
    <w:rsid w:val="004A3B02"/>
    <w:rsid w:val="004A3C61"/>
    <w:rsid w:val="004A3E9B"/>
    <w:rsid w:val="004A3EDA"/>
    <w:rsid w:val="004A3F25"/>
    <w:rsid w:val="004A3F4C"/>
    <w:rsid w:val="004A40A8"/>
    <w:rsid w:val="004A40D6"/>
    <w:rsid w:val="004A40E5"/>
    <w:rsid w:val="004A4135"/>
    <w:rsid w:val="004A4145"/>
    <w:rsid w:val="004A4152"/>
    <w:rsid w:val="004A44A5"/>
    <w:rsid w:val="004A46A1"/>
    <w:rsid w:val="004A46B7"/>
    <w:rsid w:val="004A4862"/>
    <w:rsid w:val="004A48A1"/>
    <w:rsid w:val="004A49F9"/>
    <w:rsid w:val="004A4AB8"/>
    <w:rsid w:val="004A4ADA"/>
    <w:rsid w:val="004A4B84"/>
    <w:rsid w:val="004A4CDA"/>
    <w:rsid w:val="004A4D27"/>
    <w:rsid w:val="004A4E29"/>
    <w:rsid w:val="004A4E4D"/>
    <w:rsid w:val="004A503E"/>
    <w:rsid w:val="004A50F4"/>
    <w:rsid w:val="004A51DC"/>
    <w:rsid w:val="004A51E7"/>
    <w:rsid w:val="004A52D9"/>
    <w:rsid w:val="004A52EC"/>
    <w:rsid w:val="004A53C0"/>
    <w:rsid w:val="004A5436"/>
    <w:rsid w:val="004A55FE"/>
    <w:rsid w:val="004A581B"/>
    <w:rsid w:val="004A5865"/>
    <w:rsid w:val="004A5866"/>
    <w:rsid w:val="004A5AC5"/>
    <w:rsid w:val="004A5BCE"/>
    <w:rsid w:val="004A5C36"/>
    <w:rsid w:val="004A5CA8"/>
    <w:rsid w:val="004A5E0C"/>
    <w:rsid w:val="004A5E65"/>
    <w:rsid w:val="004A6050"/>
    <w:rsid w:val="004A60FF"/>
    <w:rsid w:val="004A65A6"/>
    <w:rsid w:val="004A65B5"/>
    <w:rsid w:val="004A680C"/>
    <w:rsid w:val="004A681D"/>
    <w:rsid w:val="004A6AE1"/>
    <w:rsid w:val="004A6AF3"/>
    <w:rsid w:val="004A6DE0"/>
    <w:rsid w:val="004A6F1B"/>
    <w:rsid w:val="004A6F60"/>
    <w:rsid w:val="004A6F65"/>
    <w:rsid w:val="004A6F79"/>
    <w:rsid w:val="004A701F"/>
    <w:rsid w:val="004A72E3"/>
    <w:rsid w:val="004A7320"/>
    <w:rsid w:val="004A7405"/>
    <w:rsid w:val="004A7451"/>
    <w:rsid w:val="004A764D"/>
    <w:rsid w:val="004A7686"/>
    <w:rsid w:val="004A7926"/>
    <w:rsid w:val="004A79F4"/>
    <w:rsid w:val="004A79FC"/>
    <w:rsid w:val="004A7B69"/>
    <w:rsid w:val="004A7C4B"/>
    <w:rsid w:val="004A7CB6"/>
    <w:rsid w:val="004A7D22"/>
    <w:rsid w:val="004A7D44"/>
    <w:rsid w:val="004B0183"/>
    <w:rsid w:val="004B020E"/>
    <w:rsid w:val="004B028C"/>
    <w:rsid w:val="004B02FB"/>
    <w:rsid w:val="004B0391"/>
    <w:rsid w:val="004B03B7"/>
    <w:rsid w:val="004B0475"/>
    <w:rsid w:val="004B0523"/>
    <w:rsid w:val="004B055C"/>
    <w:rsid w:val="004B05A3"/>
    <w:rsid w:val="004B05D1"/>
    <w:rsid w:val="004B068D"/>
    <w:rsid w:val="004B0733"/>
    <w:rsid w:val="004B0821"/>
    <w:rsid w:val="004B09B1"/>
    <w:rsid w:val="004B09D4"/>
    <w:rsid w:val="004B0AA7"/>
    <w:rsid w:val="004B0BD1"/>
    <w:rsid w:val="004B0FBF"/>
    <w:rsid w:val="004B1011"/>
    <w:rsid w:val="004B10A5"/>
    <w:rsid w:val="004B119E"/>
    <w:rsid w:val="004B140B"/>
    <w:rsid w:val="004B152D"/>
    <w:rsid w:val="004B15CE"/>
    <w:rsid w:val="004B16E7"/>
    <w:rsid w:val="004B1716"/>
    <w:rsid w:val="004B1722"/>
    <w:rsid w:val="004B185A"/>
    <w:rsid w:val="004B1A1D"/>
    <w:rsid w:val="004B1AC7"/>
    <w:rsid w:val="004B1B11"/>
    <w:rsid w:val="004B1B5A"/>
    <w:rsid w:val="004B1B62"/>
    <w:rsid w:val="004B1B6E"/>
    <w:rsid w:val="004B1CBD"/>
    <w:rsid w:val="004B1CD2"/>
    <w:rsid w:val="004B1CD6"/>
    <w:rsid w:val="004B1D85"/>
    <w:rsid w:val="004B1EA2"/>
    <w:rsid w:val="004B1F5E"/>
    <w:rsid w:val="004B1FBD"/>
    <w:rsid w:val="004B20D4"/>
    <w:rsid w:val="004B2184"/>
    <w:rsid w:val="004B22D7"/>
    <w:rsid w:val="004B23B8"/>
    <w:rsid w:val="004B2473"/>
    <w:rsid w:val="004B261B"/>
    <w:rsid w:val="004B2A79"/>
    <w:rsid w:val="004B2A7B"/>
    <w:rsid w:val="004B2A8E"/>
    <w:rsid w:val="004B2ADE"/>
    <w:rsid w:val="004B2E73"/>
    <w:rsid w:val="004B311A"/>
    <w:rsid w:val="004B32EB"/>
    <w:rsid w:val="004B35EB"/>
    <w:rsid w:val="004B366C"/>
    <w:rsid w:val="004B3735"/>
    <w:rsid w:val="004B3800"/>
    <w:rsid w:val="004B3808"/>
    <w:rsid w:val="004B3812"/>
    <w:rsid w:val="004B38B4"/>
    <w:rsid w:val="004B39B3"/>
    <w:rsid w:val="004B3A26"/>
    <w:rsid w:val="004B3A7F"/>
    <w:rsid w:val="004B3BC6"/>
    <w:rsid w:val="004B3C51"/>
    <w:rsid w:val="004B3C67"/>
    <w:rsid w:val="004B3CA4"/>
    <w:rsid w:val="004B3FCC"/>
    <w:rsid w:val="004B3FFF"/>
    <w:rsid w:val="004B4272"/>
    <w:rsid w:val="004B42CB"/>
    <w:rsid w:val="004B4301"/>
    <w:rsid w:val="004B4400"/>
    <w:rsid w:val="004B452B"/>
    <w:rsid w:val="004B458F"/>
    <w:rsid w:val="004B45EF"/>
    <w:rsid w:val="004B462A"/>
    <w:rsid w:val="004B46C9"/>
    <w:rsid w:val="004B46DC"/>
    <w:rsid w:val="004B46E6"/>
    <w:rsid w:val="004B476C"/>
    <w:rsid w:val="004B490F"/>
    <w:rsid w:val="004B495D"/>
    <w:rsid w:val="004B499A"/>
    <w:rsid w:val="004B49E9"/>
    <w:rsid w:val="004B4A5A"/>
    <w:rsid w:val="004B4AA0"/>
    <w:rsid w:val="004B4B5F"/>
    <w:rsid w:val="004B4BBE"/>
    <w:rsid w:val="004B4CE2"/>
    <w:rsid w:val="004B4CF1"/>
    <w:rsid w:val="004B4D9B"/>
    <w:rsid w:val="004B5039"/>
    <w:rsid w:val="004B510E"/>
    <w:rsid w:val="004B5170"/>
    <w:rsid w:val="004B523B"/>
    <w:rsid w:val="004B529D"/>
    <w:rsid w:val="004B544B"/>
    <w:rsid w:val="004B5527"/>
    <w:rsid w:val="004B5528"/>
    <w:rsid w:val="004B56A2"/>
    <w:rsid w:val="004B57CA"/>
    <w:rsid w:val="004B5892"/>
    <w:rsid w:val="004B5A0B"/>
    <w:rsid w:val="004B5A2A"/>
    <w:rsid w:val="004B5A82"/>
    <w:rsid w:val="004B5B9D"/>
    <w:rsid w:val="004B5D72"/>
    <w:rsid w:val="004B60BC"/>
    <w:rsid w:val="004B6105"/>
    <w:rsid w:val="004B6122"/>
    <w:rsid w:val="004B621A"/>
    <w:rsid w:val="004B62CB"/>
    <w:rsid w:val="004B640C"/>
    <w:rsid w:val="004B640D"/>
    <w:rsid w:val="004B64AF"/>
    <w:rsid w:val="004B655E"/>
    <w:rsid w:val="004B6724"/>
    <w:rsid w:val="004B688F"/>
    <w:rsid w:val="004B6967"/>
    <w:rsid w:val="004B69F4"/>
    <w:rsid w:val="004B6B3D"/>
    <w:rsid w:val="004B6B68"/>
    <w:rsid w:val="004B6B79"/>
    <w:rsid w:val="004B6BED"/>
    <w:rsid w:val="004B6C64"/>
    <w:rsid w:val="004B6D92"/>
    <w:rsid w:val="004B6E35"/>
    <w:rsid w:val="004B6E65"/>
    <w:rsid w:val="004B7067"/>
    <w:rsid w:val="004B70FC"/>
    <w:rsid w:val="004B770D"/>
    <w:rsid w:val="004B7789"/>
    <w:rsid w:val="004B78CC"/>
    <w:rsid w:val="004B7960"/>
    <w:rsid w:val="004B7967"/>
    <w:rsid w:val="004B7A88"/>
    <w:rsid w:val="004B7A8A"/>
    <w:rsid w:val="004B7AE7"/>
    <w:rsid w:val="004B7B4B"/>
    <w:rsid w:val="004B7C56"/>
    <w:rsid w:val="004B7D6A"/>
    <w:rsid w:val="004B7E48"/>
    <w:rsid w:val="004B7FD9"/>
    <w:rsid w:val="004C009D"/>
    <w:rsid w:val="004C0115"/>
    <w:rsid w:val="004C01D6"/>
    <w:rsid w:val="004C021C"/>
    <w:rsid w:val="004C02A5"/>
    <w:rsid w:val="004C02B9"/>
    <w:rsid w:val="004C04EA"/>
    <w:rsid w:val="004C0547"/>
    <w:rsid w:val="004C057D"/>
    <w:rsid w:val="004C05F0"/>
    <w:rsid w:val="004C0706"/>
    <w:rsid w:val="004C07FE"/>
    <w:rsid w:val="004C09FE"/>
    <w:rsid w:val="004C0A76"/>
    <w:rsid w:val="004C0AC3"/>
    <w:rsid w:val="004C0B98"/>
    <w:rsid w:val="004C0C9F"/>
    <w:rsid w:val="004C0E71"/>
    <w:rsid w:val="004C0F3B"/>
    <w:rsid w:val="004C11F0"/>
    <w:rsid w:val="004C1236"/>
    <w:rsid w:val="004C1237"/>
    <w:rsid w:val="004C12A6"/>
    <w:rsid w:val="004C13A4"/>
    <w:rsid w:val="004C13D2"/>
    <w:rsid w:val="004C144E"/>
    <w:rsid w:val="004C1468"/>
    <w:rsid w:val="004C1531"/>
    <w:rsid w:val="004C1568"/>
    <w:rsid w:val="004C15C4"/>
    <w:rsid w:val="004C15F1"/>
    <w:rsid w:val="004C17F5"/>
    <w:rsid w:val="004C17F6"/>
    <w:rsid w:val="004C18A8"/>
    <w:rsid w:val="004C18D5"/>
    <w:rsid w:val="004C1A2D"/>
    <w:rsid w:val="004C1CC1"/>
    <w:rsid w:val="004C1CF5"/>
    <w:rsid w:val="004C1E6B"/>
    <w:rsid w:val="004C1EE9"/>
    <w:rsid w:val="004C2602"/>
    <w:rsid w:val="004C27AC"/>
    <w:rsid w:val="004C27D6"/>
    <w:rsid w:val="004C2936"/>
    <w:rsid w:val="004C2A67"/>
    <w:rsid w:val="004C2AC6"/>
    <w:rsid w:val="004C2B52"/>
    <w:rsid w:val="004C2B9C"/>
    <w:rsid w:val="004C2C72"/>
    <w:rsid w:val="004C2CE8"/>
    <w:rsid w:val="004C2D15"/>
    <w:rsid w:val="004C2DEB"/>
    <w:rsid w:val="004C2DF6"/>
    <w:rsid w:val="004C3275"/>
    <w:rsid w:val="004C3297"/>
    <w:rsid w:val="004C32C7"/>
    <w:rsid w:val="004C32F4"/>
    <w:rsid w:val="004C3344"/>
    <w:rsid w:val="004C34E6"/>
    <w:rsid w:val="004C34E7"/>
    <w:rsid w:val="004C3573"/>
    <w:rsid w:val="004C3650"/>
    <w:rsid w:val="004C3A18"/>
    <w:rsid w:val="004C3A9B"/>
    <w:rsid w:val="004C3AFD"/>
    <w:rsid w:val="004C3B07"/>
    <w:rsid w:val="004C3B6B"/>
    <w:rsid w:val="004C3BAB"/>
    <w:rsid w:val="004C3CD2"/>
    <w:rsid w:val="004C3D1D"/>
    <w:rsid w:val="004C3D48"/>
    <w:rsid w:val="004C3D62"/>
    <w:rsid w:val="004C3ECC"/>
    <w:rsid w:val="004C4076"/>
    <w:rsid w:val="004C40CE"/>
    <w:rsid w:val="004C418A"/>
    <w:rsid w:val="004C41E6"/>
    <w:rsid w:val="004C42FD"/>
    <w:rsid w:val="004C43D8"/>
    <w:rsid w:val="004C4636"/>
    <w:rsid w:val="004C478B"/>
    <w:rsid w:val="004C4A78"/>
    <w:rsid w:val="004C4C88"/>
    <w:rsid w:val="004C4C9C"/>
    <w:rsid w:val="004C4CB1"/>
    <w:rsid w:val="004C4D2D"/>
    <w:rsid w:val="004C4D81"/>
    <w:rsid w:val="004C4E41"/>
    <w:rsid w:val="004C4EB9"/>
    <w:rsid w:val="004C4F78"/>
    <w:rsid w:val="004C5411"/>
    <w:rsid w:val="004C549A"/>
    <w:rsid w:val="004C54D5"/>
    <w:rsid w:val="004C567B"/>
    <w:rsid w:val="004C56BB"/>
    <w:rsid w:val="004C56E4"/>
    <w:rsid w:val="004C57C1"/>
    <w:rsid w:val="004C5800"/>
    <w:rsid w:val="004C586A"/>
    <w:rsid w:val="004C5876"/>
    <w:rsid w:val="004C5B29"/>
    <w:rsid w:val="004C5B96"/>
    <w:rsid w:val="004C5BE4"/>
    <w:rsid w:val="004C5E71"/>
    <w:rsid w:val="004C5E76"/>
    <w:rsid w:val="004C5ECE"/>
    <w:rsid w:val="004C5F0B"/>
    <w:rsid w:val="004C5F3A"/>
    <w:rsid w:val="004C600D"/>
    <w:rsid w:val="004C6139"/>
    <w:rsid w:val="004C61EB"/>
    <w:rsid w:val="004C61F1"/>
    <w:rsid w:val="004C621F"/>
    <w:rsid w:val="004C6251"/>
    <w:rsid w:val="004C63D9"/>
    <w:rsid w:val="004C6567"/>
    <w:rsid w:val="004C6587"/>
    <w:rsid w:val="004C65E4"/>
    <w:rsid w:val="004C660E"/>
    <w:rsid w:val="004C6633"/>
    <w:rsid w:val="004C6658"/>
    <w:rsid w:val="004C675B"/>
    <w:rsid w:val="004C67F2"/>
    <w:rsid w:val="004C689A"/>
    <w:rsid w:val="004C68A3"/>
    <w:rsid w:val="004C692E"/>
    <w:rsid w:val="004C6938"/>
    <w:rsid w:val="004C69C5"/>
    <w:rsid w:val="004C6A58"/>
    <w:rsid w:val="004C6ABF"/>
    <w:rsid w:val="004C6AEC"/>
    <w:rsid w:val="004C6B5F"/>
    <w:rsid w:val="004C6B8D"/>
    <w:rsid w:val="004C6C04"/>
    <w:rsid w:val="004C6DB4"/>
    <w:rsid w:val="004C6DBF"/>
    <w:rsid w:val="004C6E1C"/>
    <w:rsid w:val="004C6E7A"/>
    <w:rsid w:val="004C6EB1"/>
    <w:rsid w:val="004C6ED3"/>
    <w:rsid w:val="004C6FDE"/>
    <w:rsid w:val="004C720A"/>
    <w:rsid w:val="004C7221"/>
    <w:rsid w:val="004C741C"/>
    <w:rsid w:val="004C7434"/>
    <w:rsid w:val="004C7519"/>
    <w:rsid w:val="004C762B"/>
    <w:rsid w:val="004C7683"/>
    <w:rsid w:val="004C7785"/>
    <w:rsid w:val="004C7953"/>
    <w:rsid w:val="004C7BC5"/>
    <w:rsid w:val="004C7BE1"/>
    <w:rsid w:val="004C7CFA"/>
    <w:rsid w:val="004C7DAA"/>
    <w:rsid w:val="004C7DFE"/>
    <w:rsid w:val="004C7EC6"/>
    <w:rsid w:val="004C7F39"/>
    <w:rsid w:val="004D026F"/>
    <w:rsid w:val="004D0274"/>
    <w:rsid w:val="004D02DF"/>
    <w:rsid w:val="004D02E4"/>
    <w:rsid w:val="004D0386"/>
    <w:rsid w:val="004D04B2"/>
    <w:rsid w:val="004D04B4"/>
    <w:rsid w:val="004D0622"/>
    <w:rsid w:val="004D0747"/>
    <w:rsid w:val="004D07AD"/>
    <w:rsid w:val="004D080A"/>
    <w:rsid w:val="004D0A66"/>
    <w:rsid w:val="004D0B03"/>
    <w:rsid w:val="004D0C76"/>
    <w:rsid w:val="004D0C8C"/>
    <w:rsid w:val="004D0FB6"/>
    <w:rsid w:val="004D0FED"/>
    <w:rsid w:val="004D1219"/>
    <w:rsid w:val="004D1282"/>
    <w:rsid w:val="004D12D1"/>
    <w:rsid w:val="004D1341"/>
    <w:rsid w:val="004D1459"/>
    <w:rsid w:val="004D155A"/>
    <w:rsid w:val="004D1609"/>
    <w:rsid w:val="004D1783"/>
    <w:rsid w:val="004D182B"/>
    <w:rsid w:val="004D1946"/>
    <w:rsid w:val="004D1D46"/>
    <w:rsid w:val="004D1E61"/>
    <w:rsid w:val="004D1F98"/>
    <w:rsid w:val="004D20D4"/>
    <w:rsid w:val="004D20E6"/>
    <w:rsid w:val="004D21F8"/>
    <w:rsid w:val="004D2298"/>
    <w:rsid w:val="004D234D"/>
    <w:rsid w:val="004D23CB"/>
    <w:rsid w:val="004D23D4"/>
    <w:rsid w:val="004D246E"/>
    <w:rsid w:val="004D259D"/>
    <w:rsid w:val="004D268F"/>
    <w:rsid w:val="004D26F9"/>
    <w:rsid w:val="004D2862"/>
    <w:rsid w:val="004D289A"/>
    <w:rsid w:val="004D28BD"/>
    <w:rsid w:val="004D2A05"/>
    <w:rsid w:val="004D2B6C"/>
    <w:rsid w:val="004D2CA8"/>
    <w:rsid w:val="004D2DDF"/>
    <w:rsid w:val="004D2DEF"/>
    <w:rsid w:val="004D2E84"/>
    <w:rsid w:val="004D2ECE"/>
    <w:rsid w:val="004D31D1"/>
    <w:rsid w:val="004D3247"/>
    <w:rsid w:val="004D3359"/>
    <w:rsid w:val="004D33E7"/>
    <w:rsid w:val="004D344C"/>
    <w:rsid w:val="004D3541"/>
    <w:rsid w:val="004D35E0"/>
    <w:rsid w:val="004D3622"/>
    <w:rsid w:val="004D36EC"/>
    <w:rsid w:val="004D3B1D"/>
    <w:rsid w:val="004D3C13"/>
    <w:rsid w:val="004D3D42"/>
    <w:rsid w:val="004D3D50"/>
    <w:rsid w:val="004D3D94"/>
    <w:rsid w:val="004D3DFA"/>
    <w:rsid w:val="004D3E31"/>
    <w:rsid w:val="004D4147"/>
    <w:rsid w:val="004D4384"/>
    <w:rsid w:val="004D4570"/>
    <w:rsid w:val="004D4638"/>
    <w:rsid w:val="004D46F0"/>
    <w:rsid w:val="004D475D"/>
    <w:rsid w:val="004D4787"/>
    <w:rsid w:val="004D4896"/>
    <w:rsid w:val="004D4906"/>
    <w:rsid w:val="004D4AFC"/>
    <w:rsid w:val="004D4BB7"/>
    <w:rsid w:val="004D4C1E"/>
    <w:rsid w:val="004D4C7A"/>
    <w:rsid w:val="004D4C8A"/>
    <w:rsid w:val="004D4CFF"/>
    <w:rsid w:val="004D4DE9"/>
    <w:rsid w:val="004D4E27"/>
    <w:rsid w:val="004D5118"/>
    <w:rsid w:val="004D518D"/>
    <w:rsid w:val="004D52F9"/>
    <w:rsid w:val="004D545F"/>
    <w:rsid w:val="004D55CA"/>
    <w:rsid w:val="004D560E"/>
    <w:rsid w:val="004D568D"/>
    <w:rsid w:val="004D5748"/>
    <w:rsid w:val="004D57AC"/>
    <w:rsid w:val="004D57D5"/>
    <w:rsid w:val="004D57F5"/>
    <w:rsid w:val="004D5977"/>
    <w:rsid w:val="004D599A"/>
    <w:rsid w:val="004D5A2D"/>
    <w:rsid w:val="004D5ACC"/>
    <w:rsid w:val="004D5C4B"/>
    <w:rsid w:val="004D5CDD"/>
    <w:rsid w:val="004D5E91"/>
    <w:rsid w:val="004D5F93"/>
    <w:rsid w:val="004D5FD6"/>
    <w:rsid w:val="004D60FF"/>
    <w:rsid w:val="004D6220"/>
    <w:rsid w:val="004D62AB"/>
    <w:rsid w:val="004D62AE"/>
    <w:rsid w:val="004D6338"/>
    <w:rsid w:val="004D6363"/>
    <w:rsid w:val="004D642D"/>
    <w:rsid w:val="004D6584"/>
    <w:rsid w:val="004D6614"/>
    <w:rsid w:val="004D66B2"/>
    <w:rsid w:val="004D6892"/>
    <w:rsid w:val="004D6949"/>
    <w:rsid w:val="004D69B0"/>
    <w:rsid w:val="004D6C29"/>
    <w:rsid w:val="004D6C3F"/>
    <w:rsid w:val="004D6DF1"/>
    <w:rsid w:val="004D6E06"/>
    <w:rsid w:val="004D6E53"/>
    <w:rsid w:val="004D6FD3"/>
    <w:rsid w:val="004D7094"/>
    <w:rsid w:val="004D70D6"/>
    <w:rsid w:val="004D71C2"/>
    <w:rsid w:val="004D723C"/>
    <w:rsid w:val="004D72F8"/>
    <w:rsid w:val="004D73F3"/>
    <w:rsid w:val="004D74CC"/>
    <w:rsid w:val="004D76E2"/>
    <w:rsid w:val="004D7744"/>
    <w:rsid w:val="004D7935"/>
    <w:rsid w:val="004D79F9"/>
    <w:rsid w:val="004D7A5C"/>
    <w:rsid w:val="004D7A90"/>
    <w:rsid w:val="004D7D33"/>
    <w:rsid w:val="004D7EC2"/>
    <w:rsid w:val="004D7F5A"/>
    <w:rsid w:val="004D7F80"/>
    <w:rsid w:val="004E0042"/>
    <w:rsid w:val="004E00BB"/>
    <w:rsid w:val="004E012F"/>
    <w:rsid w:val="004E029E"/>
    <w:rsid w:val="004E03E2"/>
    <w:rsid w:val="004E0487"/>
    <w:rsid w:val="004E04F7"/>
    <w:rsid w:val="004E0551"/>
    <w:rsid w:val="004E059E"/>
    <w:rsid w:val="004E05C8"/>
    <w:rsid w:val="004E082D"/>
    <w:rsid w:val="004E0857"/>
    <w:rsid w:val="004E0962"/>
    <w:rsid w:val="004E0A7E"/>
    <w:rsid w:val="004E0B01"/>
    <w:rsid w:val="004E0B89"/>
    <w:rsid w:val="004E0C2D"/>
    <w:rsid w:val="004E0C30"/>
    <w:rsid w:val="004E0C4F"/>
    <w:rsid w:val="004E0D09"/>
    <w:rsid w:val="004E0FCF"/>
    <w:rsid w:val="004E1055"/>
    <w:rsid w:val="004E118F"/>
    <w:rsid w:val="004E1225"/>
    <w:rsid w:val="004E131A"/>
    <w:rsid w:val="004E1497"/>
    <w:rsid w:val="004E1547"/>
    <w:rsid w:val="004E1570"/>
    <w:rsid w:val="004E1776"/>
    <w:rsid w:val="004E193A"/>
    <w:rsid w:val="004E19BD"/>
    <w:rsid w:val="004E1B81"/>
    <w:rsid w:val="004E1C20"/>
    <w:rsid w:val="004E1C32"/>
    <w:rsid w:val="004E1C7F"/>
    <w:rsid w:val="004E1D94"/>
    <w:rsid w:val="004E1E1A"/>
    <w:rsid w:val="004E1F58"/>
    <w:rsid w:val="004E21D0"/>
    <w:rsid w:val="004E241F"/>
    <w:rsid w:val="004E246B"/>
    <w:rsid w:val="004E24F8"/>
    <w:rsid w:val="004E254A"/>
    <w:rsid w:val="004E2632"/>
    <w:rsid w:val="004E2645"/>
    <w:rsid w:val="004E2671"/>
    <w:rsid w:val="004E290B"/>
    <w:rsid w:val="004E2953"/>
    <w:rsid w:val="004E2A24"/>
    <w:rsid w:val="004E2B0B"/>
    <w:rsid w:val="004E2B25"/>
    <w:rsid w:val="004E2B94"/>
    <w:rsid w:val="004E2CBC"/>
    <w:rsid w:val="004E2D29"/>
    <w:rsid w:val="004E2E0C"/>
    <w:rsid w:val="004E2E45"/>
    <w:rsid w:val="004E2FA8"/>
    <w:rsid w:val="004E3230"/>
    <w:rsid w:val="004E3278"/>
    <w:rsid w:val="004E328C"/>
    <w:rsid w:val="004E3290"/>
    <w:rsid w:val="004E3359"/>
    <w:rsid w:val="004E35F6"/>
    <w:rsid w:val="004E3929"/>
    <w:rsid w:val="004E3977"/>
    <w:rsid w:val="004E39D8"/>
    <w:rsid w:val="004E3B38"/>
    <w:rsid w:val="004E3B6B"/>
    <w:rsid w:val="004E3BED"/>
    <w:rsid w:val="004E3D44"/>
    <w:rsid w:val="004E3D53"/>
    <w:rsid w:val="004E3EEE"/>
    <w:rsid w:val="004E3F0E"/>
    <w:rsid w:val="004E3F14"/>
    <w:rsid w:val="004E3FF2"/>
    <w:rsid w:val="004E4071"/>
    <w:rsid w:val="004E4079"/>
    <w:rsid w:val="004E4199"/>
    <w:rsid w:val="004E4256"/>
    <w:rsid w:val="004E4374"/>
    <w:rsid w:val="004E438C"/>
    <w:rsid w:val="004E4394"/>
    <w:rsid w:val="004E43FF"/>
    <w:rsid w:val="004E4440"/>
    <w:rsid w:val="004E4478"/>
    <w:rsid w:val="004E4669"/>
    <w:rsid w:val="004E4714"/>
    <w:rsid w:val="004E4826"/>
    <w:rsid w:val="004E4913"/>
    <w:rsid w:val="004E4B5D"/>
    <w:rsid w:val="004E4B76"/>
    <w:rsid w:val="004E4C0A"/>
    <w:rsid w:val="004E4D92"/>
    <w:rsid w:val="004E4DD7"/>
    <w:rsid w:val="004E4EAD"/>
    <w:rsid w:val="004E4FBB"/>
    <w:rsid w:val="004E5092"/>
    <w:rsid w:val="004E54AD"/>
    <w:rsid w:val="004E550E"/>
    <w:rsid w:val="004E553F"/>
    <w:rsid w:val="004E56F2"/>
    <w:rsid w:val="004E5814"/>
    <w:rsid w:val="004E5885"/>
    <w:rsid w:val="004E58C9"/>
    <w:rsid w:val="004E58F0"/>
    <w:rsid w:val="004E594C"/>
    <w:rsid w:val="004E5A91"/>
    <w:rsid w:val="004E5A92"/>
    <w:rsid w:val="004E5C03"/>
    <w:rsid w:val="004E5E71"/>
    <w:rsid w:val="004E5F12"/>
    <w:rsid w:val="004E5F70"/>
    <w:rsid w:val="004E60AD"/>
    <w:rsid w:val="004E644C"/>
    <w:rsid w:val="004E6527"/>
    <w:rsid w:val="004E6568"/>
    <w:rsid w:val="004E6611"/>
    <w:rsid w:val="004E675D"/>
    <w:rsid w:val="004E676E"/>
    <w:rsid w:val="004E6829"/>
    <w:rsid w:val="004E6916"/>
    <w:rsid w:val="004E6917"/>
    <w:rsid w:val="004E691B"/>
    <w:rsid w:val="004E6B0D"/>
    <w:rsid w:val="004E6B8D"/>
    <w:rsid w:val="004E6CAE"/>
    <w:rsid w:val="004E6D8F"/>
    <w:rsid w:val="004E6E40"/>
    <w:rsid w:val="004E6E61"/>
    <w:rsid w:val="004E6E8F"/>
    <w:rsid w:val="004E6FA5"/>
    <w:rsid w:val="004E700C"/>
    <w:rsid w:val="004E7026"/>
    <w:rsid w:val="004E7077"/>
    <w:rsid w:val="004E7145"/>
    <w:rsid w:val="004E722E"/>
    <w:rsid w:val="004E75F4"/>
    <w:rsid w:val="004E7747"/>
    <w:rsid w:val="004E777A"/>
    <w:rsid w:val="004E7784"/>
    <w:rsid w:val="004E787A"/>
    <w:rsid w:val="004E795E"/>
    <w:rsid w:val="004E7A00"/>
    <w:rsid w:val="004E7A9C"/>
    <w:rsid w:val="004E7B00"/>
    <w:rsid w:val="004E7D4D"/>
    <w:rsid w:val="004E7D92"/>
    <w:rsid w:val="004F00A4"/>
    <w:rsid w:val="004F0104"/>
    <w:rsid w:val="004F0105"/>
    <w:rsid w:val="004F03C6"/>
    <w:rsid w:val="004F04B0"/>
    <w:rsid w:val="004F0639"/>
    <w:rsid w:val="004F0B4F"/>
    <w:rsid w:val="004F0BA0"/>
    <w:rsid w:val="004F0BB7"/>
    <w:rsid w:val="004F0BF1"/>
    <w:rsid w:val="004F0D6C"/>
    <w:rsid w:val="004F0FE6"/>
    <w:rsid w:val="004F0FF7"/>
    <w:rsid w:val="004F1122"/>
    <w:rsid w:val="004F1218"/>
    <w:rsid w:val="004F12A2"/>
    <w:rsid w:val="004F12D6"/>
    <w:rsid w:val="004F15BD"/>
    <w:rsid w:val="004F1642"/>
    <w:rsid w:val="004F1673"/>
    <w:rsid w:val="004F18DA"/>
    <w:rsid w:val="004F19E7"/>
    <w:rsid w:val="004F1AA4"/>
    <w:rsid w:val="004F1AA8"/>
    <w:rsid w:val="004F1B0F"/>
    <w:rsid w:val="004F1B34"/>
    <w:rsid w:val="004F1B41"/>
    <w:rsid w:val="004F1D30"/>
    <w:rsid w:val="004F1D34"/>
    <w:rsid w:val="004F1D6F"/>
    <w:rsid w:val="004F1EF5"/>
    <w:rsid w:val="004F1F3A"/>
    <w:rsid w:val="004F2030"/>
    <w:rsid w:val="004F212F"/>
    <w:rsid w:val="004F2219"/>
    <w:rsid w:val="004F2334"/>
    <w:rsid w:val="004F23C9"/>
    <w:rsid w:val="004F26D9"/>
    <w:rsid w:val="004F2706"/>
    <w:rsid w:val="004F287F"/>
    <w:rsid w:val="004F2984"/>
    <w:rsid w:val="004F2A56"/>
    <w:rsid w:val="004F2BE5"/>
    <w:rsid w:val="004F2CCB"/>
    <w:rsid w:val="004F2E0D"/>
    <w:rsid w:val="004F2E15"/>
    <w:rsid w:val="004F2E68"/>
    <w:rsid w:val="004F3063"/>
    <w:rsid w:val="004F32BA"/>
    <w:rsid w:val="004F3454"/>
    <w:rsid w:val="004F3625"/>
    <w:rsid w:val="004F3845"/>
    <w:rsid w:val="004F3984"/>
    <w:rsid w:val="004F39AA"/>
    <w:rsid w:val="004F39F1"/>
    <w:rsid w:val="004F3A04"/>
    <w:rsid w:val="004F3B20"/>
    <w:rsid w:val="004F3E09"/>
    <w:rsid w:val="004F3F21"/>
    <w:rsid w:val="004F3F48"/>
    <w:rsid w:val="004F3F57"/>
    <w:rsid w:val="004F4133"/>
    <w:rsid w:val="004F416D"/>
    <w:rsid w:val="004F4250"/>
    <w:rsid w:val="004F42D6"/>
    <w:rsid w:val="004F4301"/>
    <w:rsid w:val="004F43DD"/>
    <w:rsid w:val="004F4596"/>
    <w:rsid w:val="004F45BF"/>
    <w:rsid w:val="004F4669"/>
    <w:rsid w:val="004F4759"/>
    <w:rsid w:val="004F48E6"/>
    <w:rsid w:val="004F4993"/>
    <w:rsid w:val="004F4A1D"/>
    <w:rsid w:val="004F4BA3"/>
    <w:rsid w:val="004F4C16"/>
    <w:rsid w:val="004F4D45"/>
    <w:rsid w:val="004F4D69"/>
    <w:rsid w:val="004F4E2E"/>
    <w:rsid w:val="004F4E73"/>
    <w:rsid w:val="004F5028"/>
    <w:rsid w:val="004F5038"/>
    <w:rsid w:val="004F515E"/>
    <w:rsid w:val="004F51E8"/>
    <w:rsid w:val="004F523D"/>
    <w:rsid w:val="004F54C1"/>
    <w:rsid w:val="004F55DF"/>
    <w:rsid w:val="004F56E8"/>
    <w:rsid w:val="004F5834"/>
    <w:rsid w:val="004F5843"/>
    <w:rsid w:val="004F586B"/>
    <w:rsid w:val="004F589E"/>
    <w:rsid w:val="004F59BB"/>
    <w:rsid w:val="004F5A50"/>
    <w:rsid w:val="004F5A93"/>
    <w:rsid w:val="004F5CBA"/>
    <w:rsid w:val="004F5D25"/>
    <w:rsid w:val="004F5F10"/>
    <w:rsid w:val="004F5F58"/>
    <w:rsid w:val="004F5F5D"/>
    <w:rsid w:val="004F5F95"/>
    <w:rsid w:val="004F6041"/>
    <w:rsid w:val="004F609A"/>
    <w:rsid w:val="004F6110"/>
    <w:rsid w:val="004F6120"/>
    <w:rsid w:val="004F6143"/>
    <w:rsid w:val="004F6298"/>
    <w:rsid w:val="004F62B9"/>
    <w:rsid w:val="004F6326"/>
    <w:rsid w:val="004F6467"/>
    <w:rsid w:val="004F6485"/>
    <w:rsid w:val="004F662D"/>
    <w:rsid w:val="004F668D"/>
    <w:rsid w:val="004F68A2"/>
    <w:rsid w:val="004F6AB1"/>
    <w:rsid w:val="004F6DB9"/>
    <w:rsid w:val="004F6EAE"/>
    <w:rsid w:val="004F6F48"/>
    <w:rsid w:val="004F6FEF"/>
    <w:rsid w:val="004F7013"/>
    <w:rsid w:val="004F7044"/>
    <w:rsid w:val="004F7114"/>
    <w:rsid w:val="004F7129"/>
    <w:rsid w:val="004F7176"/>
    <w:rsid w:val="004F71BB"/>
    <w:rsid w:val="004F71D3"/>
    <w:rsid w:val="004F722B"/>
    <w:rsid w:val="004F725F"/>
    <w:rsid w:val="004F72D3"/>
    <w:rsid w:val="004F7312"/>
    <w:rsid w:val="004F7349"/>
    <w:rsid w:val="004F73B0"/>
    <w:rsid w:val="004F73CF"/>
    <w:rsid w:val="004F73DF"/>
    <w:rsid w:val="004F74C0"/>
    <w:rsid w:val="004F7663"/>
    <w:rsid w:val="004F76B7"/>
    <w:rsid w:val="004F7962"/>
    <w:rsid w:val="004F799B"/>
    <w:rsid w:val="004F7AAD"/>
    <w:rsid w:val="004F7C12"/>
    <w:rsid w:val="004F7D56"/>
    <w:rsid w:val="004F7E2D"/>
    <w:rsid w:val="005000FC"/>
    <w:rsid w:val="0050010D"/>
    <w:rsid w:val="005001A6"/>
    <w:rsid w:val="00500264"/>
    <w:rsid w:val="005002AB"/>
    <w:rsid w:val="005002BE"/>
    <w:rsid w:val="005002E8"/>
    <w:rsid w:val="00500406"/>
    <w:rsid w:val="00500419"/>
    <w:rsid w:val="00500495"/>
    <w:rsid w:val="005004F1"/>
    <w:rsid w:val="005009D3"/>
    <w:rsid w:val="00500AAE"/>
    <w:rsid w:val="00500B89"/>
    <w:rsid w:val="00500CC9"/>
    <w:rsid w:val="00500D36"/>
    <w:rsid w:val="00500DBD"/>
    <w:rsid w:val="00500E38"/>
    <w:rsid w:val="00500E39"/>
    <w:rsid w:val="00500E3C"/>
    <w:rsid w:val="00500E81"/>
    <w:rsid w:val="00500F3B"/>
    <w:rsid w:val="0050108D"/>
    <w:rsid w:val="005010BA"/>
    <w:rsid w:val="005010C5"/>
    <w:rsid w:val="00501463"/>
    <w:rsid w:val="005015AF"/>
    <w:rsid w:val="0050171E"/>
    <w:rsid w:val="00501737"/>
    <w:rsid w:val="00501A0B"/>
    <w:rsid w:val="00501A6F"/>
    <w:rsid w:val="00501A97"/>
    <w:rsid w:val="00501C2E"/>
    <w:rsid w:val="00501C8D"/>
    <w:rsid w:val="00501C8F"/>
    <w:rsid w:val="00501CE2"/>
    <w:rsid w:val="00501F09"/>
    <w:rsid w:val="00501F6E"/>
    <w:rsid w:val="00501FEE"/>
    <w:rsid w:val="0050207E"/>
    <w:rsid w:val="005021D6"/>
    <w:rsid w:val="00502487"/>
    <w:rsid w:val="0050256D"/>
    <w:rsid w:val="00502659"/>
    <w:rsid w:val="0050265E"/>
    <w:rsid w:val="005026BB"/>
    <w:rsid w:val="00502777"/>
    <w:rsid w:val="005029FF"/>
    <w:rsid w:val="00502B4E"/>
    <w:rsid w:val="00502BC7"/>
    <w:rsid w:val="00502C1A"/>
    <w:rsid w:val="00502CAD"/>
    <w:rsid w:val="00502CCA"/>
    <w:rsid w:val="00502D1E"/>
    <w:rsid w:val="00502EBF"/>
    <w:rsid w:val="00502F09"/>
    <w:rsid w:val="00502FD6"/>
    <w:rsid w:val="0050302F"/>
    <w:rsid w:val="005030BF"/>
    <w:rsid w:val="005030D8"/>
    <w:rsid w:val="0050313D"/>
    <w:rsid w:val="00503418"/>
    <w:rsid w:val="005035BF"/>
    <w:rsid w:val="00503611"/>
    <w:rsid w:val="00503639"/>
    <w:rsid w:val="0050367E"/>
    <w:rsid w:val="0050368B"/>
    <w:rsid w:val="005036CE"/>
    <w:rsid w:val="005038D7"/>
    <w:rsid w:val="00503AB8"/>
    <w:rsid w:val="00503B53"/>
    <w:rsid w:val="00503CC4"/>
    <w:rsid w:val="00503D2C"/>
    <w:rsid w:val="00503DD5"/>
    <w:rsid w:val="00503E97"/>
    <w:rsid w:val="00503ED4"/>
    <w:rsid w:val="00504045"/>
    <w:rsid w:val="00504055"/>
    <w:rsid w:val="00504166"/>
    <w:rsid w:val="005041CC"/>
    <w:rsid w:val="005042B0"/>
    <w:rsid w:val="0050438D"/>
    <w:rsid w:val="005044B6"/>
    <w:rsid w:val="00504746"/>
    <w:rsid w:val="0050475D"/>
    <w:rsid w:val="00504846"/>
    <w:rsid w:val="00504AE7"/>
    <w:rsid w:val="00504C7D"/>
    <w:rsid w:val="00504D17"/>
    <w:rsid w:val="00504DCD"/>
    <w:rsid w:val="00504DF5"/>
    <w:rsid w:val="00504E1D"/>
    <w:rsid w:val="00504F31"/>
    <w:rsid w:val="00504F6C"/>
    <w:rsid w:val="00504FE9"/>
    <w:rsid w:val="00504FED"/>
    <w:rsid w:val="00505136"/>
    <w:rsid w:val="00505140"/>
    <w:rsid w:val="00505196"/>
    <w:rsid w:val="00505199"/>
    <w:rsid w:val="005051C3"/>
    <w:rsid w:val="00505355"/>
    <w:rsid w:val="0050546A"/>
    <w:rsid w:val="005055E8"/>
    <w:rsid w:val="005057FF"/>
    <w:rsid w:val="0050586A"/>
    <w:rsid w:val="005058AE"/>
    <w:rsid w:val="00505C20"/>
    <w:rsid w:val="00505D44"/>
    <w:rsid w:val="00505DD7"/>
    <w:rsid w:val="00505E48"/>
    <w:rsid w:val="00505E77"/>
    <w:rsid w:val="00505FCC"/>
    <w:rsid w:val="0050620B"/>
    <w:rsid w:val="00506357"/>
    <w:rsid w:val="0050640A"/>
    <w:rsid w:val="005065C8"/>
    <w:rsid w:val="00506788"/>
    <w:rsid w:val="005067B5"/>
    <w:rsid w:val="0050683F"/>
    <w:rsid w:val="00506864"/>
    <w:rsid w:val="00506917"/>
    <w:rsid w:val="005069F4"/>
    <w:rsid w:val="00506B07"/>
    <w:rsid w:val="00506D43"/>
    <w:rsid w:val="00506D5D"/>
    <w:rsid w:val="00506D5F"/>
    <w:rsid w:val="00507019"/>
    <w:rsid w:val="00507093"/>
    <w:rsid w:val="00507096"/>
    <w:rsid w:val="0050712A"/>
    <w:rsid w:val="005072FF"/>
    <w:rsid w:val="00507398"/>
    <w:rsid w:val="00507500"/>
    <w:rsid w:val="00507649"/>
    <w:rsid w:val="005076C1"/>
    <w:rsid w:val="0050782B"/>
    <w:rsid w:val="0050786C"/>
    <w:rsid w:val="00507A09"/>
    <w:rsid w:val="00507BFF"/>
    <w:rsid w:val="00507D3F"/>
    <w:rsid w:val="00507DBC"/>
    <w:rsid w:val="00507F65"/>
    <w:rsid w:val="0051002B"/>
    <w:rsid w:val="0051010A"/>
    <w:rsid w:val="0051011C"/>
    <w:rsid w:val="00510192"/>
    <w:rsid w:val="005101E7"/>
    <w:rsid w:val="00510302"/>
    <w:rsid w:val="0051032C"/>
    <w:rsid w:val="0051039D"/>
    <w:rsid w:val="0051047E"/>
    <w:rsid w:val="0051079B"/>
    <w:rsid w:val="00510893"/>
    <w:rsid w:val="005109E3"/>
    <w:rsid w:val="00510BCF"/>
    <w:rsid w:val="00510BE5"/>
    <w:rsid w:val="00510CF1"/>
    <w:rsid w:val="00510D45"/>
    <w:rsid w:val="00510D7F"/>
    <w:rsid w:val="00510D98"/>
    <w:rsid w:val="00510F45"/>
    <w:rsid w:val="005110E7"/>
    <w:rsid w:val="0051119B"/>
    <w:rsid w:val="0051121C"/>
    <w:rsid w:val="0051123B"/>
    <w:rsid w:val="00511242"/>
    <w:rsid w:val="005112B8"/>
    <w:rsid w:val="0051142F"/>
    <w:rsid w:val="0051144E"/>
    <w:rsid w:val="0051150F"/>
    <w:rsid w:val="00511524"/>
    <w:rsid w:val="0051157C"/>
    <w:rsid w:val="0051167C"/>
    <w:rsid w:val="00511746"/>
    <w:rsid w:val="00511840"/>
    <w:rsid w:val="005118EB"/>
    <w:rsid w:val="00511913"/>
    <w:rsid w:val="005119B3"/>
    <w:rsid w:val="00511A1E"/>
    <w:rsid w:val="00511A44"/>
    <w:rsid w:val="00511B0A"/>
    <w:rsid w:val="00511CCB"/>
    <w:rsid w:val="00511D08"/>
    <w:rsid w:val="00511F89"/>
    <w:rsid w:val="0051203B"/>
    <w:rsid w:val="00512249"/>
    <w:rsid w:val="005123E2"/>
    <w:rsid w:val="0051251D"/>
    <w:rsid w:val="00512676"/>
    <w:rsid w:val="00512715"/>
    <w:rsid w:val="00512A94"/>
    <w:rsid w:val="00512BF7"/>
    <w:rsid w:val="00512CC4"/>
    <w:rsid w:val="00512CD6"/>
    <w:rsid w:val="00512D9B"/>
    <w:rsid w:val="00512DD0"/>
    <w:rsid w:val="00512E1D"/>
    <w:rsid w:val="00512F52"/>
    <w:rsid w:val="005130EE"/>
    <w:rsid w:val="00513186"/>
    <w:rsid w:val="0051323B"/>
    <w:rsid w:val="0051327E"/>
    <w:rsid w:val="00513402"/>
    <w:rsid w:val="00513453"/>
    <w:rsid w:val="005134F6"/>
    <w:rsid w:val="005135AE"/>
    <w:rsid w:val="005138E6"/>
    <w:rsid w:val="0051393B"/>
    <w:rsid w:val="00513AF7"/>
    <w:rsid w:val="00513B61"/>
    <w:rsid w:val="00513BE5"/>
    <w:rsid w:val="00513D16"/>
    <w:rsid w:val="0051411C"/>
    <w:rsid w:val="00514203"/>
    <w:rsid w:val="005143C2"/>
    <w:rsid w:val="005144B7"/>
    <w:rsid w:val="0051457E"/>
    <w:rsid w:val="005145EE"/>
    <w:rsid w:val="005145FF"/>
    <w:rsid w:val="005147C8"/>
    <w:rsid w:val="00514C1B"/>
    <w:rsid w:val="00514CD8"/>
    <w:rsid w:val="00514CE1"/>
    <w:rsid w:val="00514D14"/>
    <w:rsid w:val="00514F61"/>
    <w:rsid w:val="00514F6E"/>
    <w:rsid w:val="0051508C"/>
    <w:rsid w:val="005150E7"/>
    <w:rsid w:val="00515224"/>
    <w:rsid w:val="00515508"/>
    <w:rsid w:val="00515598"/>
    <w:rsid w:val="005157D0"/>
    <w:rsid w:val="005157F3"/>
    <w:rsid w:val="0051582A"/>
    <w:rsid w:val="005158F9"/>
    <w:rsid w:val="005159D9"/>
    <w:rsid w:val="005159E7"/>
    <w:rsid w:val="00515ADA"/>
    <w:rsid w:val="00515B10"/>
    <w:rsid w:val="00515C9A"/>
    <w:rsid w:val="00515CA3"/>
    <w:rsid w:val="00515CEC"/>
    <w:rsid w:val="00515ED4"/>
    <w:rsid w:val="00515F8D"/>
    <w:rsid w:val="00516098"/>
    <w:rsid w:val="005160A2"/>
    <w:rsid w:val="00516104"/>
    <w:rsid w:val="0051611F"/>
    <w:rsid w:val="0051617D"/>
    <w:rsid w:val="005161D7"/>
    <w:rsid w:val="005163BA"/>
    <w:rsid w:val="005163C9"/>
    <w:rsid w:val="00516410"/>
    <w:rsid w:val="0051646E"/>
    <w:rsid w:val="005165F7"/>
    <w:rsid w:val="00516614"/>
    <w:rsid w:val="00516741"/>
    <w:rsid w:val="005167B9"/>
    <w:rsid w:val="00516968"/>
    <w:rsid w:val="005169F7"/>
    <w:rsid w:val="00516A54"/>
    <w:rsid w:val="00516B60"/>
    <w:rsid w:val="00516B6D"/>
    <w:rsid w:val="00516BB4"/>
    <w:rsid w:val="00516C39"/>
    <w:rsid w:val="00516CA3"/>
    <w:rsid w:val="00516CBA"/>
    <w:rsid w:val="00516DB2"/>
    <w:rsid w:val="00516E6D"/>
    <w:rsid w:val="00516E9B"/>
    <w:rsid w:val="00516FCA"/>
    <w:rsid w:val="00517092"/>
    <w:rsid w:val="00517110"/>
    <w:rsid w:val="00517277"/>
    <w:rsid w:val="005173DB"/>
    <w:rsid w:val="00517436"/>
    <w:rsid w:val="00517536"/>
    <w:rsid w:val="00517596"/>
    <w:rsid w:val="00517753"/>
    <w:rsid w:val="00517A10"/>
    <w:rsid w:val="00517A74"/>
    <w:rsid w:val="00517A8F"/>
    <w:rsid w:val="00517C4C"/>
    <w:rsid w:val="00517CA9"/>
    <w:rsid w:val="00517DD4"/>
    <w:rsid w:val="00517DFB"/>
    <w:rsid w:val="00517E63"/>
    <w:rsid w:val="00517F2B"/>
    <w:rsid w:val="00517F54"/>
    <w:rsid w:val="00517FF1"/>
    <w:rsid w:val="0052000F"/>
    <w:rsid w:val="00520138"/>
    <w:rsid w:val="00520182"/>
    <w:rsid w:val="0052021F"/>
    <w:rsid w:val="00520265"/>
    <w:rsid w:val="00520354"/>
    <w:rsid w:val="005203D3"/>
    <w:rsid w:val="00520443"/>
    <w:rsid w:val="00520540"/>
    <w:rsid w:val="005205A3"/>
    <w:rsid w:val="00520638"/>
    <w:rsid w:val="005207CE"/>
    <w:rsid w:val="00520815"/>
    <w:rsid w:val="00520828"/>
    <w:rsid w:val="005208C4"/>
    <w:rsid w:val="005209CD"/>
    <w:rsid w:val="00520BAA"/>
    <w:rsid w:val="00520BED"/>
    <w:rsid w:val="00520C7A"/>
    <w:rsid w:val="00520CC6"/>
    <w:rsid w:val="00520D87"/>
    <w:rsid w:val="00520E5A"/>
    <w:rsid w:val="0052107A"/>
    <w:rsid w:val="0052125F"/>
    <w:rsid w:val="00521373"/>
    <w:rsid w:val="005214D6"/>
    <w:rsid w:val="00521535"/>
    <w:rsid w:val="0052167E"/>
    <w:rsid w:val="0052169C"/>
    <w:rsid w:val="0052174E"/>
    <w:rsid w:val="00521759"/>
    <w:rsid w:val="00521987"/>
    <w:rsid w:val="00521A90"/>
    <w:rsid w:val="00521B69"/>
    <w:rsid w:val="00521B7B"/>
    <w:rsid w:val="00521B8B"/>
    <w:rsid w:val="00521CED"/>
    <w:rsid w:val="00521D26"/>
    <w:rsid w:val="00521D64"/>
    <w:rsid w:val="00521EFF"/>
    <w:rsid w:val="00522016"/>
    <w:rsid w:val="00522278"/>
    <w:rsid w:val="00522433"/>
    <w:rsid w:val="005228CC"/>
    <w:rsid w:val="005229CC"/>
    <w:rsid w:val="00522B8A"/>
    <w:rsid w:val="00522C4A"/>
    <w:rsid w:val="00522C80"/>
    <w:rsid w:val="00522C8D"/>
    <w:rsid w:val="00522CE5"/>
    <w:rsid w:val="00522DB4"/>
    <w:rsid w:val="00522E04"/>
    <w:rsid w:val="00522ED4"/>
    <w:rsid w:val="00522EFD"/>
    <w:rsid w:val="00523009"/>
    <w:rsid w:val="005230EA"/>
    <w:rsid w:val="00523130"/>
    <w:rsid w:val="00523246"/>
    <w:rsid w:val="005232A9"/>
    <w:rsid w:val="00523374"/>
    <w:rsid w:val="005233D2"/>
    <w:rsid w:val="005233E9"/>
    <w:rsid w:val="00523540"/>
    <w:rsid w:val="005235BC"/>
    <w:rsid w:val="005236F5"/>
    <w:rsid w:val="00523929"/>
    <w:rsid w:val="00523ACD"/>
    <w:rsid w:val="00523BAB"/>
    <w:rsid w:val="00523BEA"/>
    <w:rsid w:val="00523D29"/>
    <w:rsid w:val="00523D7A"/>
    <w:rsid w:val="00523DB0"/>
    <w:rsid w:val="00523E1F"/>
    <w:rsid w:val="00523E59"/>
    <w:rsid w:val="00523F1A"/>
    <w:rsid w:val="00524079"/>
    <w:rsid w:val="005240F4"/>
    <w:rsid w:val="0052424F"/>
    <w:rsid w:val="0052443A"/>
    <w:rsid w:val="0052445A"/>
    <w:rsid w:val="00524593"/>
    <w:rsid w:val="005245B2"/>
    <w:rsid w:val="005245F9"/>
    <w:rsid w:val="005248A1"/>
    <w:rsid w:val="0052493F"/>
    <w:rsid w:val="005249F4"/>
    <w:rsid w:val="00524BF3"/>
    <w:rsid w:val="00524CB6"/>
    <w:rsid w:val="00524D0A"/>
    <w:rsid w:val="00524E9F"/>
    <w:rsid w:val="00524ECC"/>
    <w:rsid w:val="00524FE3"/>
    <w:rsid w:val="00525002"/>
    <w:rsid w:val="005250A6"/>
    <w:rsid w:val="0052515F"/>
    <w:rsid w:val="00525217"/>
    <w:rsid w:val="005252C7"/>
    <w:rsid w:val="005252F8"/>
    <w:rsid w:val="005255F6"/>
    <w:rsid w:val="005256D6"/>
    <w:rsid w:val="0052574D"/>
    <w:rsid w:val="00525807"/>
    <w:rsid w:val="00525871"/>
    <w:rsid w:val="005259DB"/>
    <w:rsid w:val="00525AB8"/>
    <w:rsid w:val="00525AF0"/>
    <w:rsid w:val="00525B05"/>
    <w:rsid w:val="00525B09"/>
    <w:rsid w:val="00525C04"/>
    <w:rsid w:val="00525C3A"/>
    <w:rsid w:val="00525C8B"/>
    <w:rsid w:val="00525C96"/>
    <w:rsid w:val="00525CCF"/>
    <w:rsid w:val="00525CDF"/>
    <w:rsid w:val="00525CE6"/>
    <w:rsid w:val="00525D2A"/>
    <w:rsid w:val="00525D42"/>
    <w:rsid w:val="00525E10"/>
    <w:rsid w:val="00525EDA"/>
    <w:rsid w:val="00525FAD"/>
    <w:rsid w:val="00526079"/>
    <w:rsid w:val="0052609E"/>
    <w:rsid w:val="0052614C"/>
    <w:rsid w:val="0052616F"/>
    <w:rsid w:val="00526195"/>
    <w:rsid w:val="005263D3"/>
    <w:rsid w:val="005264F3"/>
    <w:rsid w:val="00526561"/>
    <w:rsid w:val="0052670C"/>
    <w:rsid w:val="0052674C"/>
    <w:rsid w:val="0052675F"/>
    <w:rsid w:val="0052677C"/>
    <w:rsid w:val="005267A2"/>
    <w:rsid w:val="00526C8A"/>
    <w:rsid w:val="00526E1E"/>
    <w:rsid w:val="00526EA5"/>
    <w:rsid w:val="005271ED"/>
    <w:rsid w:val="0052729B"/>
    <w:rsid w:val="00527388"/>
    <w:rsid w:val="0052745B"/>
    <w:rsid w:val="005274E1"/>
    <w:rsid w:val="005274FA"/>
    <w:rsid w:val="005275E8"/>
    <w:rsid w:val="0052767B"/>
    <w:rsid w:val="00527763"/>
    <w:rsid w:val="00527799"/>
    <w:rsid w:val="00527883"/>
    <w:rsid w:val="005279C7"/>
    <w:rsid w:val="00527A5C"/>
    <w:rsid w:val="00527AB9"/>
    <w:rsid w:val="00527D07"/>
    <w:rsid w:val="00527D1C"/>
    <w:rsid w:val="00527D68"/>
    <w:rsid w:val="00527DBF"/>
    <w:rsid w:val="00527E88"/>
    <w:rsid w:val="00527F07"/>
    <w:rsid w:val="00527F54"/>
    <w:rsid w:val="0053015C"/>
    <w:rsid w:val="0053017A"/>
    <w:rsid w:val="00530276"/>
    <w:rsid w:val="0053052A"/>
    <w:rsid w:val="00530580"/>
    <w:rsid w:val="00530854"/>
    <w:rsid w:val="005308A6"/>
    <w:rsid w:val="00530952"/>
    <w:rsid w:val="00530AF0"/>
    <w:rsid w:val="00530C2A"/>
    <w:rsid w:val="00530CBA"/>
    <w:rsid w:val="00530CF9"/>
    <w:rsid w:val="00530D7B"/>
    <w:rsid w:val="00530FBA"/>
    <w:rsid w:val="00531163"/>
    <w:rsid w:val="00531491"/>
    <w:rsid w:val="005314E2"/>
    <w:rsid w:val="00531580"/>
    <w:rsid w:val="00531643"/>
    <w:rsid w:val="00531661"/>
    <w:rsid w:val="00531756"/>
    <w:rsid w:val="0053175A"/>
    <w:rsid w:val="00531945"/>
    <w:rsid w:val="00531983"/>
    <w:rsid w:val="005319B6"/>
    <w:rsid w:val="00531A0C"/>
    <w:rsid w:val="00531C73"/>
    <w:rsid w:val="00531CCF"/>
    <w:rsid w:val="00531CFF"/>
    <w:rsid w:val="00531E20"/>
    <w:rsid w:val="00531F24"/>
    <w:rsid w:val="00531FEB"/>
    <w:rsid w:val="0053201F"/>
    <w:rsid w:val="00532272"/>
    <w:rsid w:val="005322D8"/>
    <w:rsid w:val="00532330"/>
    <w:rsid w:val="005323A4"/>
    <w:rsid w:val="005324B0"/>
    <w:rsid w:val="00532571"/>
    <w:rsid w:val="00532627"/>
    <w:rsid w:val="005326D7"/>
    <w:rsid w:val="00532800"/>
    <w:rsid w:val="00532805"/>
    <w:rsid w:val="0053295C"/>
    <w:rsid w:val="00532BA2"/>
    <w:rsid w:val="00532C1F"/>
    <w:rsid w:val="00532C2B"/>
    <w:rsid w:val="00532C3F"/>
    <w:rsid w:val="00532C6F"/>
    <w:rsid w:val="00532F2F"/>
    <w:rsid w:val="00532F4C"/>
    <w:rsid w:val="00532F53"/>
    <w:rsid w:val="00532F97"/>
    <w:rsid w:val="00533058"/>
    <w:rsid w:val="005330B1"/>
    <w:rsid w:val="0053311F"/>
    <w:rsid w:val="00533132"/>
    <w:rsid w:val="005331A1"/>
    <w:rsid w:val="00533203"/>
    <w:rsid w:val="00533299"/>
    <w:rsid w:val="005333AC"/>
    <w:rsid w:val="005334DB"/>
    <w:rsid w:val="0053354F"/>
    <w:rsid w:val="00533602"/>
    <w:rsid w:val="00533625"/>
    <w:rsid w:val="005336FE"/>
    <w:rsid w:val="00533844"/>
    <w:rsid w:val="005338FE"/>
    <w:rsid w:val="00533A32"/>
    <w:rsid w:val="00533A38"/>
    <w:rsid w:val="00533A51"/>
    <w:rsid w:val="00533C21"/>
    <w:rsid w:val="00533DCC"/>
    <w:rsid w:val="00533E27"/>
    <w:rsid w:val="00533FA0"/>
    <w:rsid w:val="00534054"/>
    <w:rsid w:val="00534063"/>
    <w:rsid w:val="005340FE"/>
    <w:rsid w:val="00534243"/>
    <w:rsid w:val="005342F4"/>
    <w:rsid w:val="0053437A"/>
    <w:rsid w:val="005344A8"/>
    <w:rsid w:val="005344ED"/>
    <w:rsid w:val="005345DB"/>
    <w:rsid w:val="005345ED"/>
    <w:rsid w:val="005348DF"/>
    <w:rsid w:val="00534A6F"/>
    <w:rsid w:val="00534BF5"/>
    <w:rsid w:val="00534C10"/>
    <w:rsid w:val="00534C1A"/>
    <w:rsid w:val="00534E4D"/>
    <w:rsid w:val="00534E78"/>
    <w:rsid w:val="00535099"/>
    <w:rsid w:val="0053510C"/>
    <w:rsid w:val="00535127"/>
    <w:rsid w:val="00535145"/>
    <w:rsid w:val="0053515C"/>
    <w:rsid w:val="005352B6"/>
    <w:rsid w:val="0053545A"/>
    <w:rsid w:val="00535653"/>
    <w:rsid w:val="0053566D"/>
    <w:rsid w:val="00535936"/>
    <w:rsid w:val="00535958"/>
    <w:rsid w:val="005359D1"/>
    <w:rsid w:val="005359E6"/>
    <w:rsid w:val="00535BE7"/>
    <w:rsid w:val="00535C1B"/>
    <w:rsid w:val="00535C57"/>
    <w:rsid w:val="00535C8E"/>
    <w:rsid w:val="00535CB0"/>
    <w:rsid w:val="00535D1C"/>
    <w:rsid w:val="00535E46"/>
    <w:rsid w:val="00535E9B"/>
    <w:rsid w:val="00535ED3"/>
    <w:rsid w:val="00535EEF"/>
    <w:rsid w:val="00535FA5"/>
    <w:rsid w:val="00535FCE"/>
    <w:rsid w:val="00535FDB"/>
    <w:rsid w:val="00536018"/>
    <w:rsid w:val="005360F1"/>
    <w:rsid w:val="00536111"/>
    <w:rsid w:val="00536115"/>
    <w:rsid w:val="0053617E"/>
    <w:rsid w:val="005361D3"/>
    <w:rsid w:val="005361E9"/>
    <w:rsid w:val="00536439"/>
    <w:rsid w:val="00536711"/>
    <w:rsid w:val="00536744"/>
    <w:rsid w:val="0053679F"/>
    <w:rsid w:val="005367D9"/>
    <w:rsid w:val="0053682A"/>
    <w:rsid w:val="0053693C"/>
    <w:rsid w:val="00536A78"/>
    <w:rsid w:val="00536A8A"/>
    <w:rsid w:val="00536BCF"/>
    <w:rsid w:val="00536CC6"/>
    <w:rsid w:val="00536CE8"/>
    <w:rsid w:val="00536E15"/>
    <w:rsid w:val="00536E28"/>
    <w:rsid w:val="00536EF1"/>
    <w:rsid w:val="00537090"/>
    <w:rsid w:val="005370DE"/>
    <w:rsid w:val="0053711A"/>
    <w:rsid w:val="00537492"/>
    <w:rsid w:val="005375CA"/>
    <w:rsid w:val="005375D8"/>
    <w:rsid w:val="00537699"/>
    <w:rsid w:val="0053773D"/>
    <w:rsid w:val="00537912"/>
    <w:rsid w:val="005379D1"/>
    <w:rsid w:val="00537A6C"/>
    <w:rsid w:val="00537B28"/>
    <w:rsid w:val="00537BC0"/>
    <w:rsid w:val="00537D3C"/>
    <w:rsid w:val="00537D86"/>
    <w:rsid w:val="0054016F"/>
    <w:rsid w:val="005401ED"/>
    <w:rsid w:val="00540227"/>
    <w:rsid w:val="00540278"/>
    <w:rsid w:val="00540401"/>
    <w:rsid w:val="00540516"/>
    <w:rsid w:val="0054058F"/>
    <w:rsid w:val="0054075F"/>
    <w:rsid w:val="00540777"/>
    <w:rsid w:val="00540791"/>
    <w:rsid w:val="00540835"/>
    <w:rsid w:val="00540912"/>
    <w:rsid w:val="00540EF1"/>
    <w:rsid w:val="00540FA0"/>
    <w:rsid w:val="0054113D"/>
    <w:rsid w:val="00541342"/>
    <w:rsid w:val="00541391"/>
    <w:rsid w:val="005414DF"/>
    <w:rsid w:val="005415BB"/>
    <w:rsid w:val="00541684"/>
    <w:rsid w:val="00541699"/>
    <w:rsid w:val="0054181A"/>
    <w:rsid w:val="0054188C"/>
    <w:rsid w:val="005418B9"/>
    <w:rsid w:val="00541963"/>
    <w:rsid w:val="00541AD1"/>
    <w:rsid w:val="00541B3C"/>
    <w:rsid w:val="00541B55"/>
    <w:rsid w:val="00541BDB"/>
    <w:rsid w:val="00541D0A"/>
    <w:rsid w:val="00541DB8"/>
    <w:rsid w:val="00541E2F"/>
    <w:rsid w:val="00541FCD"/>
    <w:rsid w:val="005424F5"/>
    <w:rsid w:val="00542576"/>
    <w:rsid w:val="0054262B"/>
    <w:rsid w:val="005426A1"/>
    <w:rsid w:val="005426C1"/>
    <w:rsid w:val="0054272C"/>
    <w:rsid w:val="005428C7"/>
    <w:rsid w:val="00542B8C"/>
    <w:rsid w:val="00542CF3"/>
    <w:rsid w:val="00542D27"/>
    <w:rsid w:val="00542D2D"/>
    <w:rsid w:val="00542DC0"/>
    <w:rsid w:val="00542E33"/>
    <w:rsid w:val="00542EA4"/>
    <w:rsid w:val="00542F2B"/>
    <w:rsid w:val="00542F78"/>
    <w:rsid w:val="00543098"/>
    <w:rsid w:val="00543105"/>
    <w:rsid w:val="0054318E"/>
    <w:rsid w:val="0054320F"/>
    <w:rsid w:val="0054325B"/>
    <w:rsid w:val="0054340B"/>
    <w:rsid w:val="00543429"/>
    <w:rsid w:val="005434F3"/>
    <w:rsid w:val="00543553"/>
    <w:rsid w:val="00543554"/>
    <w:rsid w:val="005435E8"/>
    <w:rsid w:val="005438A8"/>
    <w:rsid w:val="00543935"/>
    <w:rsid w:val="00543944"/>
    <w:rsid w:val="00543BF5"/>
    <w:rsid w:val="00543CA8"/>
    <w:rsid w:val="00543CCC"/>
    <w:rsid w:val="00543DD6"/>
    <w:rsid w:val="00543E19"/>
    <w:rsid w:val="00543E83"/>
    <w:rsid w:val="00544107"/>
    <w:rsid w:val="0054436A"/>
    <w:rsid w:val="00544455"/>
    <w:rsid w:val="005444AE"/>
    <w:rsid w:val="005445C6"/>
    <w:rsid w:val="0054468F"/>
    <w:rsid w:val="0054471D"/>
    <w:rsid w:val="00544820"/>
    <w:rsid w:val="00544831"/>
    <w:rsid w:val="00544A2F"/>
    <w:rsid w:val="00544CD8"/>
    <w:rsid w:val="00544E4E"/>
    <w:rsid w:val="00544EA4"/>
    <w:rsid w:val="0054508D"/>
    <w:rsid w:val="0054511A"/>
    <w:rsid w:val="005452D1"/>
    <w:rsid w:val="0054533D"/>
    <w:rsid w:val="00545561"/>
    <w:rsid w:val="0054567C"/>
    <w:rsid w:val="00545915"/>
    <w:rsid w:val="00545B93"/>
    <w:rsid w:val="00545E32"/>
    <w:rsid w:val="00545EA2"/>
    <w:rsid w:val="00545F09"/>
    <w:rsid w:val="00545FBE"/>
    <w:rsid w:val="0054632C"/>
    <w:rsid w:val="00546424"/>
    <w:rsid w:val="005464AF"/>
    <w:rsid w:val="005464DF"/>
    <w:rsid w:val="00546555"/>
    <w:rsid w:val="005466AB"/>
    <w:rsid w:val="0054684B"/>
    <w:rsid w:val="005469D0"/>
    <w:rsid w:val="00546A1D"/>
    <w:rsid w:val="00546A95"/>
    <w:rsid w:val="00546B66"/>
    <w:rsid w:val="00546BA8"/>
    <w:rsid w:val="00546D66"/>
    <w:rsid w:val="00546DF5"/>
    <w:rsid w:val="005470ED"/>
    <w:rsid w:val="00547150"/>
    <w:rsid w:val="00547193"/>
    <w:rsid w:val="00547236"/>
    <w:rsid w:val="005472F7"/>
    <w:rsid w:val="00547385"/>
    <w:rsid w:val="00547432"/>
    <w:rsid w:val="0054751B"/>
    <w:rsid w:val="005475F1"/>
    <w:rsid w:val="00547695"/>
    <w:rsid w:val="0054784A"/>
    <w:rsid w:val="005478C4"/>
    <w:rsid w:val="005478D7"/>
    <w:rsid w:val="00547908"/>
    <w:rsid w:val="005479C0"/>
    <w:rsid w:val="00547AB1"/>
    <w:rsid w:val="00547BDB"/>
    <w:rsid w:val="00547CD5"/>
    <w:rsid w:val="00547CED"/>
    <w:rsid w:val="00547D26"/>
    <w:rsid w:val="00547F71"/>
    <w:rsid w:val="00547FA0"/>
    <w:rsid w:val="00550024"/>
    <w:rsid w:val="0055013E"/>
    <w:rsid w:val="0055017C"/>
    <w:rsid w:val="0055030C"/>
    <w:rsid w:val="00550705"/>
    <w:rsid w:val="005508AF"/>
    <w:rsid w:val="0055093A"/>
    <w:rsid w:val="005509A1"/>
    <w:rsid w:val="005509BE"/>
    <w:rsid w:val="00550ABF"/>
    <w:rsid w:val="00550B18"/>
    <w:rsid w:val="00550C2F"/>
    <w:rsid w:val="00550E14"/>
    <w:rsid w:val="00550F01"/>
    <w:rsid w:val="00550F1C"/>
    <w:rsid w:val="00550F75"/>
    <w:rsid w:val="00551092"/>
    <w:rsid w:val="00551110"/>
    <w:rsid w:val="005511F2"/>
    <w:rsid w:val="005512CE"/>
    <w:rsid w:val="00551338"/>
    <w:rsid w:val="005515A4"/>
    <w:rsid w:val="005515A7"/>
    <w:rsid w:val="005515B6"/>
    <w:rsid w:val="00551605"/>
    <w:rsid w:val="0055172A"/>
    <w:rsid w:val="00551789"/>
    <w:rsid w:val="00551A00"/>
    <w:rsid w:val="00551B63"/>
    <w:rsid w:val="00551C7F"/>
    <w:rsid w:val="00551E93"/>
    <w:rsid w:val="00551FF0"/>
    <w:rsid w:val="00552128"/>
    <w:rsid w:val="0055217B"/>
    <w:rsid w:val="0055219C"/>
    <w:rsid w:val="005522CF"/>
    <w:rsid w:val="0055241D"/>
    <w:rsid w:val="00552622"/>
    <w:rsid w:val="00552637"/>
    <w:rsid w:val="0055267C"/>
    <w:rsid w:val="0055274D"/>
    <w:rsid w:val="005527A9"/>
    <w:rsid w:val="005527D9"/>
    <w:rsid w:val="005527E6"/>
    <w:rsid w:val="00552923"/>
    <w:rsid w:val="00552964"/>
    <w:rsid w:val="00552A35"/>
    <w:rsid w:val="00552B02"/>
    <w:rsid w:val="00552B40"/>
    <w:rsid w:val="00552CF8"/>
    <w:rsid w:val="00552E5E"/>
    <w:rsid w:val="00552EE0"/>
    <w:rsid w:val="00553004"/>
    <w:rsid w:val="0055301F"/>
    <w:rsid w:val="005531DC"/>
    <w:rsid w:val="00553319"/>
    <w:rsid w:val="0055339E"/>
    <w:rsid w:val="00553448"/>
    <w:rsid w:val="00553510"/>
    <w:rsid w:val="00553539"/>
    <w:rsid w:val="00553663"/>
    <w:rsid w:val="0055369F"/>
    <w:rsid w:val="00553700"/>
    <w:rsid w:val="00553766"/>
    <w:rsid w:val="005537E0"/>
    <w:rsid w:val="00553907"/>
    <w:rsid w:val="005539D3"/>
    <w:rsid w:val="00553A74"/>
    <w:rsid w:val="00553B16"/>
    <w:rsid w:val="00553BEC"/>
    <w:rsid w:val="00553D3D"/>
    <w:rsid w:val="00553D5A"/>
    <w:rsid w:val="00553DB9"/>
    <w:rsid w:val="00553DE9"/>
    <w:rsid w:val="00553E89"/>
    <w:rsid w:val="00553EB2"/>
    <w:rsid w:val="00553FF6"/>
    <w:rsid w:val="005540E1"/>
    <w:rsid w:val="0055411A"/>
    <w:rsid w:val="00554223"/>
    <w:rsid w:val="00554273"/>
    <w:rsid w:val="0055433A"/>
    <w:rsid w:val="0055444A"/>
    <w:rsid w:val="005544E4"/>
    <w:rsid w:val="00554501"/>
    <w:rsid w:val="00554598"/>
    <w:rsid w:val="005546A3"/>
    <w:rsid w:val="00554716"/>
    <w:rsid w:val="005547DA"/>
    <w:rsid w:val="005547F2"/>
    <w:rsid w:val="005548D3"/>
    <w:rsid w:val="005548F2"/>
    <w:rsid w:val="005549CA"/>
    <w:rsid w:val="00554A7E"/>
    <w:rsid w:val="00554B13"/>
    <w:rsid w:val="00554C08"/>
    <w:rsid w:val="00554C7F"/>
    <w:rsid w:val="00554E56"/>
    <w:rsid w:val="00554FA7"/>
    <w:rsid w:val="005550A9"/>
    <w:rsid w:val="005550C9"/>
    <w:rsid w:val="00555415"/>
    <w:rsid w:val="00555445"/>
    <w:rsid w:val="005554CA"/>
    <w:rsid w:val="0055555B"/>
    <w:rsid w:val="00555607"/>
    <w:rsid w:val="0055578C"/>
    <w:rsid w:val="0055579A"/>
    <w:rsid w:val="00555A2D"/>
    <w:rsid w:val="00555A5D"/>
    <w:rsid w:val="00555AFD"/>
    <w:rsid w:val="00555B14"/>
    <w:rsid w:val="00555BB3"/>
    <w:rsid w:val="00555CFC"/>
    <w:rsid w:val="00555E9B"/>
    <w:rsid w:val="00555F4D"/>
    <w:rsid w:val="00556011"/>
    <w:rsid w:val="0055603F"/>
    <w:rsid w:val="00556139"/>
    <w:rsid w:val="00556177"/>
    <w:rsid w:val="005561F7"/>
    <w:rsid w:val="00556272"/>
    <w:rsid w:val="00556371"/>
    <w:rsid w:val="005563BF"/>
    <w:rsid w:val="00556769"/>
    <w:rsid w:val="0055685A"/>
    <w:rsid w:val="0055685F"/>
    <w:rsid w:val="00556930"/>
    <w:rsid w:val="00556945"/>
    <w:rsid w:val="00556A15"/>
    <w:rsid w:val="00556A65"/>
    <w:rsid w:val="00556ACD"/>
    <w:rsid w:val="00556AFC"/>
    <w:rsid w:val="00556C25"/>
    <w:rsid w:val="00556CA1"/>
    <w:rsid w:val="00556D96"/>
    <w:rsid w:val="00556DC8"/>
    <w:rsid w:val="0055700C"/>
    <w:rsid w:val="0055700D"/>
    <w:rsid w:val="00557111"/>
    <w:rsid w:val="00557194"/>
    <w:rsid w:val="005571F0"/>
    <w:rsid w:val="0055776B"/>
    <w:rsid w:val="005578EB"/>
    <w:rsid w:val="0055799A"/>
    <w:rsid w:val="005579ED"/>
    <w:rsid w:val="00557A07"/>
    <w:rsid w:val="00557A72"/>
    <w:rsid w:val="00557B58"/>
    <w:rsid w:val="00557BD0"/>
    <w:rsid w:val="00557D5F"/>
    <w:rsid w:val="00557EC1"/>
    <w:rsid w:val="005600E2"/>
    <w:rsid w:val="00560151"/>
    <w:rsid w:val="00560180"/>
    <w:rsid w:val="005602C3"/>
    <w:rsid w:val="00560358"/>
    <w:rsid w:val="00560396"/>
    <w:rsid w:val="005603F9"/>
    <w:rsid w:val="0056040B"/>
    <w:rsid w:val="005604F7"/>
    <w:rsid w:val="0056050F"/>
    <w:rsid w:val="0056051C"/>
    <w:rsid w:val="0056061D"/>
    <w:rsid w:val="0056070B"/>
    <w:rsid w:val="00560757"/>
    <w:rsid w:val="00560782"/>
    <w:rsid w:val="0056079C"/>
    <w:rsid w:val="0056084B"/>
    <w:rsid w:val="0056087C"/>
    <w:rsid w:val="00560932"/>
    <w:rsid w:val="00560B35"/>
    <w:rsid w:val="00560B43"/>
    <w:rsid w:val="00560B57"/>
    <w:rsid w:val="00560C5E"/>
    <w:rsid w:val="00560DF2"/>
    <w:rsid w:val="00560E14"/>
    <w:rsid w:val="00561230"/>
    <w:rsid w:val="00561250"/>
    <w:rsid w:val="0056137A"/>
    <w:rsid w:val="005613AB"/>
    <w:rsid w:val="0056172E"/>
    <w:rsid w:val="00561846"/>
    <w:rsid w:val="005619B7"/>
    <w:rsid w:val="00561AB4"/>
    <w:rsid w:val="00561B88"/>
    <w:rsid w:val="00561D5E"/>
    <w:rsid w:val="00562168"/>
    <w:rsid w:val="005621BF"/>
    <w:rsid w:val="005621DE"/>
    <w:rsid w:val="0056228F"/>
    <w:rsid w:val="005623E9"/>
    <w:rsid w:val="00562466"/>
    <w:rsid w:val="005624FE"/>
    <w:rsid w:val="00562560"/>
    <w:rsid w:val="005626DB"/>
    <w:rsid w:val="00562770"/>
    <w:rsid w:val="00562814"/>
    <w:rsid w:val="00562A0A"/>
    <w:rsid w:val="00562A46"/>
    <w:rsid w:val="00562ABA"/>
    <w:rsid w:val="00562BA9"/>
    <w:rsid w:val="00562C31"/>
    <w:rsid w:val="00562CA8"/>
    <w:rsid w:val="00562E0C"/>
    <w:rsid w:val="00562ED9"/>
    <w:rsid w:val="0056307D"/>
    <w:rsid w:val="0056320A"/>
    <w:rsid w:val="00563422"/>
    <w:rsid w:val="00563426"/>
    <w:rsid w:val="00563447"/>
    <w:rsid w:val="00563586"/>
    <w:rsid w:val="0056358E"/>
    <w:rsid w:val="005635C2"/>
    <w:rsid w:val="0056361D"/>
    <w:rsid w:val="0056372F"/>
    <w:rsid w:val="00563804"/>
    <w:rsid w:val="005638C6"/>
    <w:rsid w:val="0056399A"/>
    <w:rsid w:val="005639DE"/>
    <w:rsid w:val="00563A81"/>
    <w:rsid w:val="00563A86"/>
    <w:rsid w:val="00563AB9"/>
    <w:rsid w:val="00563ACD"/>
    <w:rsid w:val="00563AD6"/>
    <w:rsid w:val="00563B23"/>
    <w:rsid w:val="00563C11"/>
    <w:rsid w:val="00563D4F"/>
    <w:rsid w:val="00563D70"/>
    <w:rsid w:val="00563E93"/>
    <w:rsid w:val="00563F65"/>
    <w:rsid w:val="00564071"/>
    <w:rsid w:val="005641CF"/>
    <w:rsid w:val="005642CC"/>
    <w:rsid w:val="005644A4"/>
    <w:rsid w:val="005644B9"/>
    <w:rsid w:val="00564629"/>
    <w:rsid w:val="005646E2"/>
    <w:rsid w:val="0056473D"/>
    <w:rsid w:val="005647EE"/>
    <w:rsid w:val="00564807"/>
    <w:rsid w:val="005648D3"/>
    <w:rsid w:val="00564916"/>
    <w:rsid w:val="0056491E"/>
    <w:rsid w:val="00564A54"/>
    <w:rsid w:val="00564AAB"/>
    <w:rsid w:val="00564AC3"/>
    <w:rsid w:val="00564AC4"/>
    <w:rsid w:val="00564B40"/>
    <w:rsid w:val="00564B68"/>
    <w:rsid w:val="00564BCE"/>
    <w:rsid w:val="00564C1E"/>
    <w:rsid w:val="00564F42"/>
    <w:rsid w:val="005650B9"/>
    <w:rsid w:val="005651C3"/>
    <w:rsid w:val="005651C8"/>
    <w:rsid w:val="005651E9"/>
    <w:rsid w:val="00565292"/>
    <w:rsid w:val="0056534F"/>
    <w:rsid w:val="005654EA"/>
    <w:rsid w:val="00565583"/>
    <w:rsid w:val="00565639"/>
    <w:rsid w:val="00565766"/>
    <w:rsid w:val="00565889"/>
    <w:rsid w:val="00565946"/>
    <w:rsid w:val="005659AD"/>
    <w:rsid w:val="00565A30"/>
    <w:rsid w:val="00565AE5"/>
    <w:rsid w:val="00565BB7"/>
    <w:rsid w:val="00565C09"/>
    <w:rsid w:val="00565CB8"/>
    <w:rsid w:val="00565CE8"/>
    <w:rsid w:val="00565F1F"/>
    <w:rsid w:val="00566034"/>
    <w:rsid w:val="005665BD"/>
    <w:rsid w:val="00566664"/>
    <w:rsid w:val="005667DB"/>
    <w:rsid w:val="00566832"/>
    <w:rsid w:val="005668E6"/>
    <w:rsid w:val="005668EE"/>
    <w:rsid w:val="00566CF8"/>
    <w:rsid w:val="00566ED6"/>
    <w:rsid w:val="005670F8"/>
    <w:rsid w:val="0056717E"/>
    <w:rsid w:val="005672C9"/>
    <w:rsid w:val="0056732D"/>
    <w:rsid w:val="005673AE"/>
    <w:rsid w:val="00567629"/>
    <w:rsid w:val="0056767A"/>
    <w:rsid w:val="005676C0"/>
    <w:rsid w:val="00567743"/>
    <w:rsid w:val="00567760"/>
    <w:rsid w:val="00567799"/>
    <w:rsid w:val="0056787D"/>
    <w:rsid w:val="005678E3"/>
    <w:rsid w:val="00567AF0"/>
    <w:rsid w:val="00567B14"/>
    <w:rsid w:val="00567C0C"/>
    <w:rsid w:val="00567D3F"/>
    <w:rsid w:val="00567F60"/>
    <w:rsid w:val="00567FA6"/>
    <w:rsid w:val="005701A5"/>
    <w:rsid w:val="005701DE"/>
    <w:rsid w:val="00570312"/>
    <w:rsid w:val="00570439"/>
    <w:rsid w:val="005704D7"/>
    <w:rsid w:val="005705AB"/>
    <w:rsid w:val="0057072C"/>
    <w:rsid w:val="00570744"/>
    <w:rsid w:val="00570860"/>
    <w:rsid w:val="005709B4"/>
    <w:rsid w:val="005709BE"/>
    <w:rsid w:val="005709C1"/>
    <w:rsid w:val="005709EF"/>
    <w:rsid w:val="00570A51"/>
    <w:rsid w:val="00570AF3"/>
    <w:rsid w:val="00570B4A"/>
    <w:rsid w:val="00570BE3"/>
    <w:rsid w:val="00570D58"/>
    <w:rsid w:val="00570D6A"/>
    <w:rsid w:val="00570FE2"/>
    <w:rsid w:val="0057112B"/>
    <w:rsid w:val="005712DE"/>
    <w:rsid w:val="005713A4"/>
    <w:rsid w:val="005713DC"/>
    <w:rsid w:val="00571511"/>
    <w:rsid w:val="005719D4"/>
    <w:rsid w:val="00571A12"/>
    <w:rsid w:val="00571A67"/>
    <w:rsid w:val="00571A81"/>
    <w:rsid w:val="00571AD2"/>
    <w:rsid w:val="00571C75"/>
    <w:rsid w:val="00571D70"/>
    <w:rsid w:val="00571DF8"/>
    <w:rsid w:val="00571F93"/>
    <w:rsid w:val="00571FF0"/>
    <w:rsid w:val="005720FD"/>
    <w:rsid w:val="00572112"/>
    <w:rsid w:val="00572137"/>
    <w:rsid w:val="005725C3"/>
    <w:rsid w:val="0057260B"/>
    <w:rsid w:val="00572654"/>
    <w:rsid w:val="00572657"/>
    <w:rsid w:val="0057268F"/>
    <w:rsid w:val="005726B0"/>
    <w:rsid w:val="0057270A"/>
    <w:rsid w:val="00572759"/>
    <w:rsid w:val="00572860"/>
    <w:rsid w:val="005728B9"/>
    <w:rsid w:val="00572B8D"/>
    <w:rsid w:val="00572BFA"/>
    <w:rsid w:val="00572C56"/>
    <w:rsid w:val="00572C6E"/>
    <w:rsid w:val="00572D4D"/>
    <w:rsid w:val="00572FC5"/>
    <w:rsid w:val="0057301A"/>
    <w:rsid w:val="00573113"/>
    <w:rsid w:val="005732B4"/>
    <w:rsid w:val="00573387"/>
    <w:rsid w:val="005733A2"/>
    <w:rsid w:val="00573497"/>
    <w:rsid w:val="0057351A"/>
    <w:rsid w:val="00573635"/>
    <w:rsid w:val="00573728"/>
    <w:rsid w:val="00573786"/>
    <w:rsid w:val="0057380B"/>
    <w:rsid w:val="005738E7"/>
    <w:rsid w:val="0057391A"/>
    <w:rsid w:val="005739E9"/>
    <w:rsid w:val="005739FA"/>
    <w:rsid w:val="00573AB8"/>
    <w:rsid w:val="00573BF7"/>
    <w:rsid w:val="00573CB3"/>
    <w:rsid w:val="00573DD9"/>
    <w:rsid w:val="00573E8C"/>
    <w:rsid w:val="00573F61"/>
    <w:rsid w:val="00573F76"/>
    <w:rsid w:val="00573F95"/>
    <w:rsid w:val="00574012"/>
    <w:rsid w:val="0057414B"/>
    <w:rsid w:val="005745B2"/>
    <w:rsid w:val="0057461B"/>
    <w:rsid w:val="0057461D"/>
    <w:rsid w:val="005746F7"/>
    <w:rsid w:val="00574774"/>
    <w:rsid w:val="005747BC"/>
    <w:rsid w:val="005747D8"/>
    <w:rsid w:val="005748BB"/>
    <w:rsid w:val="00574A13"/>
    <w:rsid w:val="00574A78"/>
    <w:rsid w:val="00574B27"/>
    <w:rsid w:val="00574CDF"/>
    <w:rsid w:val="00574DA3"/>
    <w:rsid w:val="00574EDD"/>
    <w:rsid w:val="00574EF1"/>
    <w:rsid w:val="00574F96"/>
    <w:rsid w:val="0057509B"/>
    <w:rsid w:val="0057514D"/>
    <w:rsid w:val="005752F0"/>
    <w:rsid w:val="005753BA"/>
    <w:rsid w:val="005753EE"/>
    <w:rsid w:val="0057556A"/>
    <w:rsid w:val="005755EE"/>
    <w:rsid w:val="00575633"/>
    <w:rsid w:val="00575791"/>
    <w:rsid w:val="005757DD"/>
    <w:rsid w:val="00575965"/>
    <w:rsid w:val="0057598C"/>
    <w:rsid w:val="005759BE"/>
    <w:rsid w:val="00575B17"/>
    <w:rsid w:val="00575D6E"/>
    <w:rsid w:val="00575DDA"/>
    <w:rsid w:val="0057611E"/>
    <w:rsid w:val="005761BA"/>
    <w:rsid w:val="0057625E"/>
    <w:rsid w:val="0057629C"/>
    <w:rsid w:val="0057636C"/>
    <w:rsid w:val="0057664F"/>
    <w:rsid w:val="00576680"/>
    <w:rsid w:val="00576744"/>
    <w:rsid w:val="00576759"/>
    <w:rsid w:val="00576796"/>
    <w:rsid w:val="005767DF"/>
    <w:rsid w:val="00576A7F"/>
    <w:rsid w:val="00576F1A"/>
    <w:rsid w:val="00576F1C"/>
    <w:rsid w:val="00576FE0"/>
    <w:rsid w:val="0057718D"/>
    <w:rsid w:val="005772B0"/>
    <w:rsid w:val="005772E6"/>
    <w:rsid w:val="00577437"/>
    <w:rsid w:val="00577453"/>
    <w:rsid w:val="00577539"/>
    <w:rsid w:val="00577574"/>
    <w:rsid w:val="0057757D"/>
    <w:rsid w:val="005776BC"/>
    <w:rsid w:val="005777DF"/>
    <w:rsid w:val="00577846"/>
    <w:rsid w:val="005778AB"/>
    <w:rsid w:val="005778AE"/>
    <w:rsid w:val="005779D4"/>
    <w:rsid w:val="00577A9B"/>
    <w:rsid w:val="00577AB7"/>
    <w:rsid w:val="00577ACD"/>
    <w:rsid w:val="00577B10"/>
    <w:rsid w:val="00577C59"/>
    <w:rsid w:val="00577CF9"/>
    <w:rsid w:val="00577DE4"/>
    <w:rsid w:val="00577E79"/>
    <w:rsid w:val="00577E8D"/>
    <w:rsid w:val="00580087"/>
    <w:rsid w:val="00580093"/>
    <w:rsid w:val="00580292"/>
    <w:rsid w:val="0058032A"/>
    <w:rsid w:val="005803E3"/>
    <w:rsid w:val="005804BE"/>
    <w:rsid w:val="005806D1"/>
    <w:rsid w:val="005807BD"/>
    <w:rsid w:val="00580895"/>
    <w:rsid w:val="00580936"/>
    <w:rsid w:val="005809A3"/>
    <w:rsid w:val="005809FB"/>
    <w:rsid w:val="00580A4C"/>
    <w:rsid w:val="00580C69"/>
    <w:rsid w:val="00580DAD"/>
    <w:rsid w:val="00580E7B"/>
    <w:rsid w:val="00580F19"/>
    <w:rsid w:val="00580F36"/>
    <w:rsid w:val="0058126C"/>
    <w:rsid w:val="0058175C"/>
    <w:rsid w:val="0058175F"/>
    <w:rsid w:val="00581771"/>
    <w:rsid w:val="0058199A"/>
    <w:rsid w:val="00581A7D"/>
    <w:rsid w:val="00581D29"/>
    <w:rsid w:val="00581DDB"/>
    <w:rsid w:val="00581E79"/>
    <w:rsid w:val="00581F1C"/>
    <w:rsid w:val="00581F63"/>
    <w:rsid w:val="005821C4"/>
    <w:rsid w:val="005821EF"/>
    <w:rsid w:val="0058234B"/>
    <w:rsid w:val="0058253F"/>
    <w:rsid w:val="005827B9"/>
    <w:rsid w:val="00582811"/>
    <w:rsid w:val="0058284B"/>
    <w:rsid w:val="005829C1"/>
    <w:rsid w:val="00582A7C"/>
    <w:rsid w:val="00582AC5"/>
    <w:rsid w:val="00582C74"/>
    <w:rsid w:val="00582D95"/>
    <w:rsid w:val="00582DC5"/>
    <w:rsid w:val="00582F8F"/>
    <w:rsid w:val="00583246"/>
    <w:rsid w:val="00583311"/>
    <w:rsid w:val="00583366"/>
    <w:rsid w:val="0058352E"/>
    <w:rsid w:val="00583551"/>
    <w:rsid w:val="005837E7"/>
    <w:rsid w:val="005839E6"/>
    <w:rsid w:val="005839EA"/>
    <w:rsid w:val="00583A16"/>
    <w:rsid w:val="00583A7F"/>
    <w:rsid w:val="00583B93"/>
    <w:rsid w:val="00583C5F"/>
    <w:rsid w:val="00583E73"/>
    <w:rsid w:val="00583F6C"/>
    <w:rsid w:val="00583FDB"/>
    <w:rsid w:val="005840DE"/>
    <w:rsid w:val="00584119"/>
    <w:rsid w:val="00584158"/>
    <w:rsid w:val="005841D6"/>
    <w:rsid w:val="005842C8"/>
    <w:rsid w:val="0058438F"/>
    <w:rsid w:val="00584390"/>
    <w:rsid w:val="00584504"/>
    <w:rsid w:val="0058451F"/>
    <w:rsid w:val="0058459B"/>
    <w:rsid w:val="00584613"/>
    <w:rsid w:val="00584655"/>
    <w:rsid w:val="0058480C"/>
    <w:rsid w:val="0058491F"/>
    <w:rsid w:val="00584C3F"/>
    <w:rsid w:val="00584CB0"/>
    <w:rsid w:val="00584CC2"/>
    <w:rsid w:val="00584DA1"/>
    <w:rsid w:val="00584DBC"/>
    <w:rsid w:val="005850C3"/>
    <w:rsid w:val="005853C0"/>
    <w:rsid w:val="005853EA"/>
    <w:rsid w:val="00585436"/>
    <w:rsid w:val="005854B9"/>
    <w:rsid w:val="005854DF"/>
    <w:rsid w:val="00585510"/>
    <w:rsid w:val="00585533"/>
    <w:rsid w:val="0058557A"/>
    <w:rsid w:val="0058563C"/>
    <w:rsid w:val="00585771"/>
    <w:rsid w:val="005857E1"/>
    <w:rsid w:val="005858F9"/>
    <w:rsid w:val="005859CB"/>
    <w:rsid w:val="005859D6"/>
    <w:rsid w:val="00585AAA"/>
    <w:rsid w:val="00585B5E"/>
    <w:rsid w:val="00585CA0"/>
    <w:rsid w:val="00585D39"/>
    <w:rsid w:val="00585D87"/>
    <w:rsid w:val="00585E7F"/>
    <w:rsid w:val="00585FEC"/>
    <w:rsid w:val="005860A0"/>
    <w:rsid w:val="005862D3"/>
    <w:rsid w:val="005862EF"/>
    <w:rsid w:val="00586347"/>
    <w:rsid w:val="00586487"/>
    <w:rsid w:val="0058650E"/>
    <w:rsid w:val="0058662B"/>
    <w:rsid w:val="0058664D"/>
    <w:rsid w:val="005868BD"/>
    <w:rsid w:val="0058696E"/>
    <w:rsid w:val="00586B40"/>
    <w:rsid w:val="00586B73"/>
    <w:rsid w:val="00586BE8"/>
    <w:rsid w:val="00586C00"/>
    <w:rsid w:val="00586D4D"/>
    <w:rsid w:val="00586DA9"/>
    <w:rsid w:val="00587102"/>
    <w:rsid w:val="00587153"/>
    <w:rsid w:val="005871BE"/>
    <w:rsid w:val="005873A2"/>
    <w:rsid w:val="0058745C"/>
    <w:rsid w:val="00587461"/>
    <w:rsid w:val="005875B0"/>
    <w:rsid w:val="0058767B"/>
    <w:rsid w:val="00587820"/>
    <w:rsid w:val="005878EC"/>
    <w:rsid w:val="00587AF3"/>
    <w:rsid w:val="00587B3B"/>
    <w:rsid w:val="00587B4A"/>
    <w:rsid w:val="00587D8A"/>
    <w:rsid w:val="00587DDD"/>
    <w:rsid w:val="00587FF3"/>
    <w:rsid w:val="00590009"/>
    <w:rsid w:val="0059002A"/>
    <w:rsid w:val="005900C2"/>
    <w:rsid w:val="005900E3"/>
    <w:rsid w:val="00590297"/>
    <w:rsid w:val="005902B2"/>
    <w:rsid w:val="005903AF"/>
    <w:rsid w:val="00590499"/>
    <w:rsid w:val="00590510"/>
    <w:rsid w:val="005905AD"/>
    <w:rsid w:val="005905D4"/>
    <w:rsid w:val="0059064E"/>
    <w:rsid w:val="005907BD"/>
    <w:rsid w:val="0059086E"/>
    <w:rsid w:val="0059089A"/>
    <w:rsid w:val="005908C1"/>
    <w:rsid w:val="00590A1D"/>
    <w:rsid w:val="00590AAC"/>
    <w:rsid w:val="00590ABE"/>
    <w:rsid w:val="00590BC5"/>
    <w:rsid w:val="00590BE7"/>
    <w:rsid w:val="00590BF0"/>
    <w:rsid w:val="00590C6B"/>
    <w:rsid w:val="00590CBC"/>
    <w:rsid w:val="00590D0D"/>
    <w:rsid w:val="00590D3B"/>
    <w:rsid w:val="00590FC0"/>
    <w:rsid w:val="00591024"/>
    <w:rsid w:val="005910A1"/>
    <w:rsid w:val="00591118"/>
    <w:rsid w:val="00591139"/>
    <w:rsid w:val="0059114F"/>
    <w:rsid w:val="005912C3"/>
    <w:rsid w:val="005912D8"/>
    <w:rsid w:val="005914B5"/>
    <w:rsid w:val="005914B9"/>
    <w:rsid w:val="00591600"/>
    <w:rsid w:val="0059174A"/>
    <w:rsid w:val="005917BE"/>
    <w:rsid w:val="0059181F"/>
    <w:rsid w:val="00591862"/>
    <w:rsid w:val="005918B2"/>
    <w:rsid w:val="00591A7F"/>
    <w:rsid w:val="00591B4A"/>
    <w:rsid w:val="00591B72"/>
    <w:rsid w:val="00591C85"/>
    <w:rsid w:val="00591CE8"/>
    <w:rsid w:val="00591D59"/>
    <w:rsid w:val="00591D76"/>
    <w:rsid w:val="00591E68"/>
    <w:rsid w:val="00592290"/>
    <w:rsid w:val="005922CA"/>
    <w:rsid w:val="0059249D"/>
    <w:rsid w:val="005924C6"/>
    <w:rsid w:val="005924FA"/>
    <w:rsid w:val="0059267D"/>
    <w:rsid w:val="005926BF"/>
    <w:rsid w:val="005926ED"/>
    <w:rsid w:val="005927DC"/>
    <w:rsid w:val="0059297E"/>
    <w:rsid w:val="00592CAE"/>
    <w:rsid w:val="00592D27"/>
    <w:rsid w:val="00593052"/>
    <w:rsid w:val="005932B3"/>
    <w:rsid w:val="005932C1"/>
    <w:rsid w:val="00593560"/>
    <w:rsid w:val="0059358E"/>
    <w:rsid w:val="00593A00"/>
    <w:rsid w:val="00593A0D"/>
    <w:rsid w:val="00593B27"/>
    <w:rsid w:val="00593B5F"/>
    <w:rsid w:val="00593BE6"/>
    <w:rsid w:val="00593C09"/>
    <w:rsid w:val="00593CE5"/>
    <w:rsid w:val="00593D4B"/>
    <w:rsid w:val="00593DE4"/>
    <w:rsid w:val="00593E4F"/>
    <w:rsid w:val="00593FF4"/>
    <w:rsid w:val="005940E3"/>
    <w:rsid w:val="0059417B"/>
    <w:rsid w:val="0059419C"/>
    <w:rsid w:val="005941A8"/>
    <w:rsid w:val="005941D9"/>
    <w:rsid w:val="005942EE"/>
    <w:rsid w:val="00594340"/>
    <w:rsid w:val="005943B3"/>
    <w:rsid w:val="0059440D"/>
    <w:rsid w:val="00594445"/>
    <w:rsid w:val="005945AE"/>
    <w:rsid w:val="0059476F"/>
    <w:rsid w:val="0059481D"/>
    <w:rsid w:val="00594A3C"/>
    <w:rsid w:val="00594AFA"/>
    <w:rsid w:val="00594B67"/>
    <w:rsid w:val="00594C47"/>
    <w:rsid w:val="00594C8D"/>
    <w:rsid w:val="00594CCE"/>
    <w:rsid w:val="00594DF3"/>
    <w:rsid w:val="00594E18"/>
    <w:rsid w:val="00594EC0"/>
    <w:rsid w:val="00594F8F"/>
    <w:rsid w:val="00595002"/>
    <w:rsid w:val="00595095"/>
    <w:rsid w:val="00595297"/>
    <w:rsid w:val="00595435"/>
    <w:rsid w:val="0059549A"/>
    <w:rsid w:val="005954AC"/>
    <w:rsid w:val="005954DD"/>
    <w:rsid w:val="0059551C"/>
    <w:rsid w:val="0059559C"/>
    <w:rsid w:val="00595728"/>
    <w:rsid w:val="00595771"/>
    <w:rsid w:val="005957D6"/>
    <w:rsid w:val="00595905"/>
    <w:rsid w:val="00595B65"/>
    <w:rsid w:val="00595C5D"/>
    <w:rsid w:val="00595C75"/>
    <w:rsid w:val="00595D8D"/>
    <w:rsid w:val="0059617A"/>
    <w:rsid w:val="00596182"/>
    <w:rsid w:val="0059623E"/>
    <w:rsid w:val="00596240"/>
    <w:rsid w:val="0059631C"/>
    <w:rsid w:val="005966B3"/>
    <w:rsid w:val="005966C4"/>
    <w:rsid w:val="0059677D"/>
    <w:rsid w:val="005967E4"/>
    <w:rsid w:val="00596830"/>
    <w:rsid w:val="00596898"/>
    <w:rsid w:val="005968EB"/>
    <w:rsid w:val="00596B53"/>
    <w:rsid w:val="00596C35"/>
    <w:rsid w:val="00596D5D"/>
    <w:rsid w:val="00596DFE"/>
    <w:rsid w:val="00596E43"/>
    <w:rsid w:val="00596EEB"/>
    <w:rsid w:val="0059711C"/>
    <w:rsid w:val="0059743F"/>
    <w:rsid w:val="00597587"/>
    <w:rsid w:val="00597618"/>
    <w:rsid w:val="005976BF"/>
    <w:rsid w:val="005978EA"/>
    <w:rsid w:val="00597911"/>
    <w:rsid w:val="0059799A"/>
    <w:rsid w:val="00597C1F"/>
    <w:rsid w:val="00597C37"/>
    <w:rsid w:val="00597D20"/>
    <w:rsid w:val="00597D5E"/>
    <w:rsid w:val="00597DCE"/>
    <w:rsid w:val="00597EDF"/>
    <w:rsid w:val="00597FD3"/>
    <w:rsid w:val="005A00AE"/>
    <w:rsid w:val="005A014F"/>
    <w:rsid w:val="005A0182"/>
    <w:rsid w:val="005A01A9"/>
    <w:rsid w:val="005A01B5"/>
    <w:rsid w:val="005A0321"/>
    <w:rsid w:val="005A034D"/>
    <w:rsid w:val="005A058F"/>
    <w:rsid w:val="005A0603"/>
    <w:rsid w:val="005A0675"/>
    <w:rsid w:val="005A06BA"/>
    <w:rsid w:val="005A0714"/>
    <w:rsid w:val="005A08A8"/>
    <w:rsid w:val="005A0955"/>
    <w:rsid w:val="005A09B4"/>
    <w:rsid w:val="005A0A8C"/>
    <w:rsid w:val="005A0ACC"/>
    <w:rsid w:val="005A0B15"/>
    <w:rsid w:val="005A0D39"/>
    <w:rsid w:val="005A0D42"/>
    <w:rsid w:val="005A0D55"/>
    <w:rsid w:val="005A0D61"/>
    <w:rsid w:val="005A0D94"/>
    <w:rsid w:val="005A0E56"/>
    <w:rsid w:val="005A101D"/>
    <w:rsid w:val="005A1093"/>
    <w:rsid w:val="005A10D7"/>
    <w:rsid w:val="005A10E3"/>
    <w:rsid w:val="005A1163"/>
    <w:rsid w:val="005A128C"/>
    <w:rsid w:val="005A129A"/>
    <w:rsid w:val="005A1365"/>
    <w:rsid w:val="005A150F"/>
    <w:rsid w:val="005A152A"/>
    <w:rsid w:val="005A15D8"/>
    <w:rsid w:val="005A15F3"/>
    <w:rsid w:val="005A1630"/>
    <w:rsid w:val="005A164A"/>
    <w:rsid w:val="005A167C"/>
    <w:rsid w:val="005A1684"/>
    <w:rsid w:val="005A1801"/>
    <w:rsid w:val="005A19FF"/>
    <w:rsid w:val="005A1A28"/>
    <w:rsid w:val="005A1B50"/>
    <w:rsid w:val="005A1D87"/>
    <w:rsid w:val="005A1F1E"/>
    <w:rsid w:val="005A1F32"/>
    <w:rsid w:val="005A1F7F"/>
    <w:rsid w:val="005A1FB9"/>
    <w:rsid w:val="005A2081"/>
    <w:rsid w:val="005A20A2"/>
    <w:rsid w:val="005A222F"/>
    <w:rsid w:val="005A22D9"/>
    <w:rsid w:val="005A22E8"/>
    <w:rsid w:val="005A2370"/>
    <w:rsid w:val="005A2448"/>
    <w:rsid w:val="005A2466"/>
    <w:rsid w:val="005A259C"/>
    <w:rsid w:val="005A25A8"/>
    <w:rsid w:val="005A2659"/>
    <w:rsid w:val="005A27EB"/>
    <w:rsid w:val="005A283E"/>
    <w:rsid w:val="005A2993"/>
    <w:rsid w:val="005A2A77"/>
    <w:rsid w:val="005A2B1E"/>
    <w:rsid w:val="005A2B22"/>
    <w:rsid w:val="005A2DBA"/>
    <w:rsid w:val="005A3005"/>
    <w:rsid w:val="005A305A"/>
    <w:rsid w:val="005A30BD"/>
    <w:rsid w:val="005A31E5"/>
    <w:rsid w:val="005A31E8"/>
    <w:rsid w:val="005A330E"/>
    <w:rsid w:val="005A33B5"/>
    <w:rsid w:val="005A33F5"/>
    <w:rsid w:val="005A3499"/>
    <w:rsid w:val="005A3502"/>
    <w:rsid w:val="005A3585"/>
    <w:rsid w:val="005A35E6"/>
    <w:rsid w:val="005A365D"/>
    <w:rsid w:val="005A36EB"/>
    <w:rsid w:val="005A3803"/>
    <w:rsid w:val="005A39F3"/>
    <w:rsid w:val="005A3B02"/>
    <w:rsid w:val="005A3B4D"/>
    <w:rsid w:val="005A3B75"/>
    <w:rsid w:val="005A3CAD"/>
    <w:rsid w:val="005A3D3D"/>
    <w:rsid w:val="005A3D79"/>
    <w:rsid w:val="005A3F3B"/>
    <w:rsid w:val="005A3FDE"/>
    <w:rsid w:val="005A3FFD"/>
    <w:rsid w:val="005A4046"/>
    <w:rsid w:val="005A41C4"/>
    <w:rsid w:val="005A439E"/>
    <w:rsid w:val="005A4530"/>
    <w:rsid w:val="005A462A"/>
    <w:rsid w:val="005A463B"/>
    <w:rsid w:val="005A46D7"/>
    <w:rsid w:val="005A4790"/>
    <w:rsid w:val="005A486F"/>
    <w:rsid w:val="005A48B0"/>
    <w:rsid w:val="005A4916"/>
    <w:rsid w:val="005A4A75"/>
    <w:rsid w:val="005A4B5C"/>
    <w:rsid w:val="005A4C30"/>
    <w:rsid w:val="005A4D70"/>
    <w:rsid w:val="005A4EEB"/>
    <w:rsid w:val="005A4F40"/>
    <w:rsid w:val="005A4F45"/>
    <w:rsid w:val="005A5014"/>
    <w:rsid w:val="005A51B6"/>
    <w:rsid w:val="005A522F"/>
    <w:rsid w:val="005A5264"/>
    <w:rsid w:val="005A52BE"/>
    <w:rsid w:val="005A53BA"/>
    <w:rsid w:val="005A540B"/>
    <w:rsid w:val="005A55D3"/>
    <w:rsid w:val="005A5789"/>
    <w:rsid w:val="005A585D"/>
    <w:rsid w:val="005A5873"/>
    <w:rsid w:val="005A5A3B"/>
    <w:rsid w:val="005A5A9F"/>
    <w:rsid w:val="005A5B07"/>
    <w:rsid w:val="005A5C01"/>
    <w:rsid w:val="005A5F17"/>
    <w:rsid w:val="005A5FB7"/>
    <w:rsid w:val="005A5FBD"/>
    <w:rsid w:val="005A6006"/>
    <w:rsid w:val="005A6032"/>
    <w:rsid w:val="005A6042"/>
    <w:rsid w:val="005A6197"/>
    <w:rsid w:val="005A62A9"/>
    <w:rsid w:val="005A6308"/>
    <w:rsid w:val="005A637B"/>
    <w:rsid w:val="005A644D"/>
    <w:rsid w:val="005A652A"/>
    <w:rsid w:val="005A65BA"/>
    <w:rsid w:val="005A672B"/>
    <w:rsid w:val="005A6806"/>
    <w:rsid w:val="005A694C"/>
    <w:rsid w:val="005A6A6D"/>
    <w:rsid w:val="005A6BA1"/>
    <w:rsid w:val="005A6D87"/>
    <w:rsid w:val="005A6DD1"/>
    <w:rsid w:val="005A6DF4"/>
    <w:rsid w:val="005A6F2E"/>
    <w:rsid w:val="005A7023"/>
    <w:rsid w:val="005A702C"/>
    <w:rsid w:val="005A710B"/>
    <w:rsid w:val="005A7116"/>
    <w:rsid w:val="005A722F"/>
    <w:rsid w:val="005A72E4"/>
    <w:rsid w:val="005A732E"/>
    <w:rsid w:val="005A7334"/>
    <w:rsid w:val="005A7361"/>
    <w:rsid w:val="005A747B"/>
    <w:rsid w:val="005A7531"/>
    <w:rsid w:val="005A7563"/>
    <w:rsid w:val="005A7577"/>
    <w:rsid w:val="005A769D"/>
    <w:rsid w:val="005A76D6"/>
    <w:rsid w:val="005A770B"/>
    <w:rsid w:val="005A7711"/>
    <w:rsid w:val="005A7730"/>
    <w:rsid w:val="005A78EB"/>
    <w:rsid w:val="005A793B"/>
    <w:rsid w:val="005A7A92"/>
    <w:rsid w:val="005A7C0E"/>
    <w:rsid w:val="005A7D0D"/>
    <w:rsid w:val="005A7D5D"/>
    <w:rsid w:val="005A7EC5"/>
    <w:rsid w:val="005A7FAB"/>
    <w:rsid w:val="005B0027"/>
    <w:rsid w:val="005B0172"/>
    <w:rsid w:val="005B0204"/>
    <w:rsid w:val="005B0300"/>
    <w:rsid w:val="005B044C"/>
    <w:rsid w:val="005B0487"/>
    <w:rsid w:val="005B04C6"/>
    <w:rsid w:val="005B052D"/>
    <w:rsid w:val="005B07C6"/>
    <w:rsid w:val="005B07FA"/>
    <w:rsid w:val="005B09F4"/>
    <w:rsid w:val="005B0AD3"/>
    <w:rsid w:val="005B0C98"/>
    <w:rsid w:val="005B0D9A"/>
    <w:rsid w:val="005B0DAC"/>
    <w:rsid w:val="005B0F73"/>
    <w:rsid w:val="005B0FB8"/>
    <w:rsid w:val="005B107B"/>
    <w:rsid w:val="005B10EE"/>
    <w:rsid w:val="005B1221"/>
    <w:rsid w:val="005B137C"/>
    <w:rsid w:val="005B13C3"/>
    <w:rsid w:val="005B1411"/>
    <w:rsid w:val="005B145A"/>
    <w:rsid w:val="005B1484"/>
    <w:rsid w:val="005B1509"/>
    <w:rsid w:val="005B1569"/>
    <w:rsid w:val="005B15CC"/>
    <w:rsid w:val="005B1898"/>
    <w:rsid w:val="005B18E3"/>
    <w:rsid w:val="005B1B0E"/>
    <w:rsid w:val="005B1C78"/>
    <w:rsid w:val="005B1DE4"/>
    <w:rsid w:val="005B1EA2"/>
    <w:rsid w:val="005B1FEC"/>
    <w:rsid w:val="005B206E"/>
    <w:rsid w:val="005B223A"/>
    <w:rsid w:val="005B225E"/>
    <w:rsid w:val="005B246A"/>
    <w:rsid w:val="005B2566"/>
    <w:rsid w:val="005B2652"/>
    <w:rsid w:val="005B2687"/>
    <w:rsid w:val="005B27F2"/>
    <w:rsid w:val="005B2B89"/>
    <w:rsid w:val="005B2CCC"/>
    <w:rsid w:val="005B2D2F"/>
    <w:rsid w:val="005B2D98"/>
    <w:rsid w:val="005B2EA2"/>
    <w:rsid w:val="005B2EA3"/>
    <w:rsid w:val="005B3016"/>
    <w:rsid w:val="005B30E5"/>
    <w:rsid w:val="005B329F"/>
    <w:rsid w:val="005B335A"/>
    <w:rsid w:val="005B3369"/>
    <w:rsid w:val="005B3443"/>
    <w:rsid w:val="005B3541"/>
    <w:rsid w:val="005B368D"/>
    <w:rsid w:val="005B3706"/>
    <w:rsid w:val="005B3774"/>
    <w:rsid w:val="005B38A6"/>
    <w:rsid w:val="005B390A"/>
    <w:rsid w:val="005B3951"/>
    <w:rsid w:val="005B3BFE"/>
    <w:rsid w:val="005B3C1E"/>
    <w:rsid w:val="005B3EF3"/>
    <w:rsid w:val="005B3EFD"/>
    <w:rsid w:val="005B3F47"/>
    <w:rsid w:val="005B402D"/>
    <w:rsid w:val="005B4160"/>
    <w:rsid w:val="005B436A"/>
    <w:rsid w:val="005B447B"/>
    <w:rsid w:val="005B449F"/>
    <w:rsid w:val="005B45A4"/>
    <w:rsid w:val="005B461E"/>
    <w:rsid w:val="005B47BC"/>
    <w:rsid w:val="005B47CB"/>
    <w:rsid w:val="005B4918"/>
    <w:rsid w:val="005B496D"/>
    <w:rsid w:val="005B4980"/>
    <w:rsid w:val="005B4996"/>
    <w:rsid w:val="005B49DE"/>
    <w:rsid w:val="005B4A21"/>
    <w:rsid w:val="005B4B3A"/>
    <w:rsid w:val="005B4BC0"/>
    <w:rsid w:val="005B4BCB"/>
    <w:rsid w:val="005B4E44"/>
    <w:rsid w:val="005B4EFD"/>
    <w:rsid w:val="005B522C"/>
    <w:rsid w:val="005B524F"/>
    <w:rsid w:val="005B5292"/>
    <w:rsid w:val="005B5311"/>
    <w:rsid w:val="005B5511"/>
    <w:rsid w:val="005B551F"/>
    <w:rsid w:val="005B5537"/>
    <w:rsid w:val="005B555B"/>
    <w:rsid w:val="005B5578"/>
    <w:rsid w:val="005B55BE"/>
    <w:rsid w:val="005B56C5"/>
    <w:rsid w:val="005B574A"/>
    <w:rsid w:val="005B580E"/>
    <w:rsid w:val="005B5830"/>
    <w:rsid w:val="005B584D"/>
    <w:rsid w:val="005B5ABF"/>
    <w:rsid w:val="005B5BF8"/>
    <w:rsid w:val="005B5F6B"/>
    <w:rsid w:val="005B630A"/>
    <w:rsid w:val="005B6467"/>
    <w:rsid w:val="005B64A2"/>
    <w:rsid w:val="005B6802"/>
    <w:rsid w:val="005B687B"/>
    <w:rsid w:val="005B693C"/>
    <w:rsid w:val="005B693D"/>
    <w:rsid w:val="005B6950"/>
    <w:rsid w:val="005B6A57"/>
    <w:rsid w:val="005B6BE9"/>
    <w:rsid w:val="005B6CD5"/>
    <w:rsid w:val="005B6D27"/>
    <w:rsid w:val="005B6E70"/>
    <w:rsid w:val="005B6EA0"/>
    <w:rsid w:val="005B6F38"/>
    <w:rsid w:val="005B6F42"/>
    <w:rsid w:val="005B6FE6"/>
    <w:rsid w:val="005B7177"/>
    <w:rsid w:val="005B7243"/>
    <w:rsid w:val="005B7259"/>
    <w:rsid w:val="005B737B"/>
    <w:rsid w:val="005B7420"/>
    <w:rsid w:val="005B74DD"/>
    <w:rsid w:val="005B7538"/>
    <w:rsid w:val="005B76A4"/>
    <w:rsid w:val="005B77B9"/>
    <w:rsid w:val="005B7809"/>
    <w:rsid w:val="005B7934"/>
    <w:rsid w:val="005B795A"/>
    <w:rsid w:val="005B7CAB"/>
    <w:rsid w:val="005B7D91"/>
    <w:rsid w:val="005B7E78"/>
    <w:rsid w:val="005C0269"/>
    <w:rsid w:val="005C0454"/>
    <w:rsid w:val="005C053E"/>
    <w:rsid w:val="005C059B"/>
    <w:rsid w:val="005C0785"/>
    <w:rsid w:val="005C0836"/>
    <w:rsid w:val="005C086C"/>
    <w:rsid w:val="005C09A6"/>
    <w:rsid w:val="005C09D9"/>
    <w:rsid w:val="005C0BBC"/>
    <w:rsid w:val="005C0BE7"/>
    <w:rsid w:val="005C0C01"/>
    <w:rsid w:val="005C0C3F"/>
    <w:rsid w:val="005C0E14"/>
    <w:rsid w:val="005C0F43"/>
    <w:rsid w:val="005C0F65"/>
    <w:rsid w:val="005C1091"/>
    <w:rsid w:val="005C114D"/>
    <w:rsid w:val="005C11EE"/>
    <w:rsid w:val="005C1345"/>
    <w:rsid w:val="005C147D"/>
    <w:rsid w:val="005C1588"/>
    <w:rsid w:val="005C1678"/>
    <w:rsid w:val="005C176F"/>
    <w:rsid w:val="005C1861"/>
    <w:rsid w:val="005C196E"/>
    <w:rsid w:val="005C197C"/>
    <w:rsid w:val="005C1992"/>
    <w:rsid w:val="005C199B"/>
    <w:rsid w:val="005C1A1C"/>
    <w:rsid w:val="005C1AC3"/>
    <w:rsid w:val="005C1C2B"/>
    <w:rsid w:val="005C1D29"/>
    <w:rsid w:val="005C2113"/>
    <w:rsid w:val="005C2191"/>
    <w:rsid w:val="005C219C"/>
    <w:rsid w:val="005C21B0"/>
    <w:rsid w:val="005C2234"/>
    <w:rsid w:val="005C2300"/>
    <w:rsid w:val="005C2390"/>
    <w:rsid w:val="005C2393"/>
    <w:rsid w:val="005C2433"/>
    <w:rsid w:val="005C2525"/>
    <w:rsid w:val="005C2686"/>
    <w:rsid w:val="005C273A"/>
    <w:rsid w:val="005C2756"/>
    <w:rsid w:val="005C2918"/>
    <w:rsid w:val="005C2959"/>
    <w:rsid w:val="005C29DB"/>
    <w:rsid w:val="005C2D64"/>
    <w:rsid w:val="005C2E1F"/>
    <w:rsid w:val="005C2E86"/>
    <w:rsid w:val="005C2ECD"/>
    <w:rsid w:val="005C2F67"/>
    <w:rsid w:val="005C3175"/>
    <w:rsid w:val="005C3181"/>
    <w:rsid w:val="005C3183"/>
    <w:rsid w:val="005C3330"/>
    <w:rsid w:val="005C379C"/>
    <w:rsid w:val="005C380F"/>
    <w:rsid w:val="005C3AFD"/>
    <w:rsid w:val="005C3BB1"/>
    <w:rsid w:val="005C3DB2"/>
    <w:rsid w:val="005C3E3C"/>
    <w:rsid w:val="005C3E66"/>
    <w:rsid w:val="005C40BE"/>
    <w:rsid w:val="005C4508"/>
    <w:rsid w:val="005C4544"/>
    <w:rsid w:val="005C4574"/>
    <w:rsid w:val="005C45AE"/>
    <w:rsid w:val="005C45BB"/>
    <w:rsid w:val="005C4648"/>
    <w:rsid w:val="005C467C"/>
    <w:rsid w:val="005C4706"/>
    <w:rsid w:val="005C4893"/>
    <w:rsid w:val="005C496F"/>
    <w:rsid w:val="005C499D"/>
    <w:rsid w:val="005C4D6A"/>
    <w:rsid w:val="005C4DAB"/>
    <w:rsid w:val="005C4E4E"/>
    <w:rsid w:val="005C4E79"/>
    <w:rsid w:val="005C4FB3"/>
    <w:rsid w:val="005C5083"/>
    <w:rsid w:val="005C5118"/>
    <w:rsid w:val="005C5201"/>
    <w:rsid w:val="005C528C"/>
    <w:rsid w:val="005C5434"/>
    <w:rsid w:val="005C5458"/>
    <w:rsid w:val="005C546E"/>
    <w:rsid w:val="005C5652"/>
    <w:rsid w:val="005C5658"/>
    <w:rsid w:val="005C5723"/>
    <w:rsid w:val="005C57FB"/>
    <w:rsid w:val="005C58D8"/>
    <w:rsid w:val="005C58DC"/>
    <w:rsid w:val="005C5AA4"/>
    <w:rsid w:val="005C5B56"/>
    <w:rsid w:val="005C5BA4"/>
    <w:rsid w:val="005C5BD2"/>
    <w:rsid w:val="005C5BE9"/>
    <w:rsid w:val="005C5CEB"/>
    <w:rsid w:val="005C5E10"/>
    <w:rsid w:val="005C5EA1"/>
    <w:rsid w:val="005C5FF9"/>
    <w:rsid w:val="005C6011"/>
    <w:rsid w:val="005C6152"/>
    <w:rsid w:val="005C6218"/>
    <w:rsid w:val="005C6242"/>
    <w:rsid w:val="005C6380"/>
    <w:rsid w:val="005C641B"/>
    <w:rsid w:val="005C6491"/>
    <w:rsid w:val="005C64DF"/>
    <w:rsid w:val="005C6565"/>
    <w:rsid w:val="005C6791"/>
    <w:rsid w:val="005C6931"/>
    <w:rsid w:val="005C6E89"/>
    <w:rsid w:val="005C6F28"/>
    <w:rsid w:val="005C6F40"/>
    <w:rsid w:val="005C74F6"/>
    <w:rsid w:val="005C761F"/>
    <w:rsid w:val="005C769F"/>
    <w:rsid w:val="005C77E8"/>
    <w:rsid w:val="005C78CC"/>
    <w:rsid w:val="005C7903"/>
    <w:rsid w:val="005C79A9"/>
    <w:rsid w:val="005C7A35"/>
    <w:rsid w:val="005C7B0F"/>
    <w:rsid w:val="005C7C3F"/>
    <w:rsid w:val="005C7E16"/>
    <w:rsid w:val="005C7E32"/>
    <w:rsid w:val="005C7E92"/>
    <w:rsid w:val="005C7E9A"/>
    <w:rsid w:val="005C7EF4"/>
    <w:rsid w:val="005D00DB"/>
    <w:rsid w:val="005D01E4"/>
    <w:rsid w:val="005D02B6"/>
    <w:rsid w:val="005D048E"/>
    <w:rsid w:val="005D04B9"/>
    <w:rsid w:val="005D04E3"/>
    <w:rsid w:val="005D0572"/>
    <w:rsid w:val="005D0705"/>
    <w:rsid w:val="005D07F6"/>
    <w:rsid w:val="005D08E2"/>
    <w:rsid w:val="005D08EB"/>
    <w:rsid w:val="005D08F5"/>
    <w:rsid w:val="005D0912"/>
    <w:rsid w:val="005D09D2"/>
    <w:rsid w:val="005D09D8"/>
    <w:rsid w:val="005D0AD4"/>
    <w:rsid w:val="005D0CE8"/>
    <w:rsid w:val="005D0DA9"/>
    <w:rsid w:val="005D0E58"/>
    <w:rsid w:val="005D0FCB"/>
    <w:rsid w:val="005D101E"/>
    <w:rsid w:val="005D10AA"/>
    <w:rsid w:val="005D10C1"/>
    <w:rsid w:val="005D116F"/>
    <w:rsid w:val="005D1337"/>
    <w:rsid w:val="005D134A"/>
    <w:rsid w:val="005D1584"/>
    <w:rsid w:val="005D15F0"/>
    <w:rsid w:val="005D1713"/>
    <w:rsid w:val="005D18E7"/>
    <w:rsid w:val="005D190D"/>
    <w:rsid w:val="005D19DB"/>
    <w:rsid w:val="005D1C34"/>
    <w:rsid w:val="005D1C40"/>
    <w:rsid w:val="005D1CE5"/>
    <w:rsid w:val="005D1D14"/>
    <w:rsid w:val="005D1D1D"/>
    <w:rsid w:val="005D1D67"/>
    <w:rsid w:val="005D1E8D"/>
    <w:rsid w:val="005D1F4D"/>
    <w:rsid w:val="005D23B2"/>
    <w:rsid w:val="005D23E5"/>
    <w:rsid w:val="005D2432"/>
    <w:rsid w:val="005D2475"/>
    <w:rsid w:val="005D24E3"/>
    <w:rsid w:val="005D25A6"/>
    <w:rsid w:val="005D25C0"/>
    <w:rsid w:val="005D26B4"/>
    <w:rsid w:val="005D27C2"/>
    <w:rsid w:val="005D2834"/>
    <w:rsid w:val="005D2843"/>
    <w:rsid w:val="005D28A9"/>
    <w:rsid w:val="005D2B7F"/>
    <w:rsid w:val="005D2B91"/>
    <w:rsid w:val="005D2BD9"/>
    <w:rsid w:val="005D2BFA"/>
    <w:rsid w:val="005D2C7F"/>
    <w:rsid w:val="005D2D23"/>
    <w:rsid w:val="005D2E32"/>
    <w:rsid w:val="005D2F5C"/>
    <w:rsid w:val="005D32F5"/>
    <w:rsid w:val="005D331D"/>
    <w:rsid w:val="005D34C3"/>
    <w:rsid w:val="005D34FB"/>
    <w:rsid w:val="005D3635"/>
    <w:rsid w:val="005D37EF"/>
    <w:rsid w:val="005D3979"/>
    <w:rsid w:val="005D3AA5"/>
    <w:rsid w:val="005D3C8F"/>
    <w:rsid w:val="005D3C91"/>
    <w:rsid w:val="005D3D1D"/>
    <w:rsid w:val="005D3E44"/>
    <w:rsid w:val="005D3E61"/>
    <w:rsid w:val="005D3E72"/>
    <w:rsid w:val="005D4012"/>
    <w:rsid w:val="005D4208"/>
    <w:rsid w:val="005D441A"/>
    <w:rsid w:val="005D4498"/>
    <w:rsid w:val="005D44D0"/>
    <w:rsid w:val="005D479D"/>
    <w:rsid w:val="005D481C"/>
    <w:rsid w:val="005D48A0"/>
    <w:rsid w:val="005D4A88"/>
    <w:rsid w:val="005D4C18"/>
    <w:rsid w:val="005D4C5B"/>
    <w:rsid w:val="005D4CC3"/>
    <w:rsid w:val="005D4D4F"/>
    <w:rsid w:val="005D4DB6"/>
    <w:rsid w:val="005D4DDB"/>
    <w:rsid w:val="005D5101"/>
    <w:rsid w:val="005D51E8"/>
    <w:rsid w:val="005D526A"/>
    <w:rsid w:val="005D5336"/>
    <w:rsid w:val="005D543C"/>
    <w:rsid w:val="005D5443"/>
    <w:rsid w:val="005D5509"/>
    <w:rsid w:val="005D559B"/>
    <w:rsid w:val="005D565E"/>
    <w:rsid w:val="005D5691"/>
    <w:rsid w:val="005D56B4"/>
    <w:rsid w:val="005D570A"/>
    <w:rsid w:val="005D575B"/>
    <w:rsid w:val="005D57F0"/>
    <w:rsid w:val="005D580E"/>
    <w:rsid w:val="005D5927"/>
    <w:rsid w:val="005D593C"/>
    <w:rsid w:val="005D5948"/>
    <w:rsid w:val="005D59BA"/>
    <w:rsid w:val="005D5A2B"/>
    <w:rsid w:val="005D5CC9"/>
    <w:rsid w:val="005D5D19"/>
    <w:rsid w:val="005D5F5D"/>
    <w:rsid w:val="005D5FF2"/>
    <w:rsid w:val="005D6101"/>
    <w:rsid w:val="005D6256"/>
    <w:rsid w:val="005D629A"/>
    <w:rsid w:val="005D6336"/>
    <w:rsid w:val="005D649F"/>
    <w:rsid w:val="005D65E2"/>
    <w:rsid w:val="005D6705"/>
    <w:rsid w:val="005D67B5"/>
    <w:rsid w:val="005D6809"/>
    <w:rsid w:val="005D6880"/>
    <w:rsid w:val="005D68EF"/>
    <w:rsid w:val="005D69B6"/>
    <w:rsid w:val="005D6A47"/>
    <w:rsid w:val="005D6B04"/>
    <w:rsid w:val="005D6CB2"/>
    <w:rsid w:val="005D6D2C"/>
    <w:rsid w:val="005D6E99"/>
    <w:rsid w:val="005D6EAD"/>
    <w:rsid w:val="005D6EB0"/>
    <w:rsid w:val="005D7074"/>
    <w:rsid w:val="005D719C"/>
    <w:rsid w:val="005D71D7"/>
    <w:rsid w:val="005D728D"/>
    <w:rsid w:val="005D72FF"/>
    <w:rsid w:val="005D7383"/>
    <w:rsid w:val="005D7479"/>
    <w:rsid w:val="005D750A"/>
    <w:rsid w:val="005D7578"/>
    <w:rsid w:val="005D75D2"/>
    <w:rsid w:val="005D75ED"/>
    <w:rsid w:val="005D7679"/>
    <w:rsid w:val="005D76BB"/>
    <w:rsid w:val="005D7808"/>
    <w:rsid w:val="005D7A5E"/>
    <w:rsid w:val="005D7B43"/>
    <w:rsid w:val="005D7B8D"/>
    <w:rsid w:val="005D7C6D"/>
    <w:rsid w:val="005D7D42"/>
    <w:rsid w:val="005D7DBE"/>
    <w:rsid w:val="005D7E02"/>
    <w:rsid w:val="005D7FC5"/>
    <w:rsid w:val="005E0024"/>
    <w:rsid w:val="005E03BA"/>
    <w:rsid w:val="005E0434"/>
    <w:rsid w:val="005E045A"/>
    <w:rsid w:val="005E0512"/>
    <w:rsid w:val="005E0519"/>
    <w:rsid w:val="005E05B4"/>
    <w:rsid w:val="005E06DB"/>
    <w:rsid w:val="005E07BE"/>
    <w:rsid w:val="005E0808"/>
    <w:rsid w:val="005E094D"/>
    <w:rsid w:val="005E095D"/>
    <w:rsid w:val="005E0A9D"/>
    <w:rsid w:val="005E0B90"/>
    <w:rsid w:val="005E0C37"/>
    <w:rsid w:val="005E0CB7"/>
    <w:rsid w:val="005E0CDE"/>
    <w:rsid w:val="005E0D82"/>
    <w:rsid w:val="005E0E85"/>
    <w:rsid w:val="005E0ED5"/>
    <w:rsid w:val="005E0F96"/>
    <w:rsid w:val="005E1044"/>
    <w:rsid w:val="005E1078"/>
    <w:rsid w:val="005E10D6"/>
    <w:rsid w:val="005E110A"/>
    <w:rsid w:val="005E115D"/>
    <w:rsid w:val="005E11FD"/>
    <w:rsid w:val="005E1200"/>
    <w:rsid w:val="005E1295"/>
    <w:rsid w:val="005E12A2"/>
    <w:rsid w:val="005E1347"/>
    <w:rsid w:val="005E13A0"/>
    <w:rsid w:val="005E1516"/>
    <w:rsid w:val="005E1571"/>
    <w:rsid w:val="005E1776"/>
    <w:rsid w:val="005E17E5"/>
    <w:rsid w:val="005E1824"/>
    <w:rsid w:val="005E18B0"/>
    <w:rsid w:val="005E18BB"/>
    <w:rsid w:val="005E18DB"/>
    <w:rsid w:val="005E1946"/>
    <w:rsid w:val="005E19EB"/>
    <w:rsid w:val="005E1B24"/>
    <w:rsid w:val="005E1B4E"/>
    <w:rsid w:val="005E1B85"/>
    <w:rsid w:val="005E1C9A"/>
    <w:rsid w:val="005E1CE9"/>
    <w:rsid w:val="005E1D4F"/>
    <w:rsid w:val="005E1FD8"/>
    <w:rsid w:val="005E2094"/>
    <w:rsid w:val="005E2128"/>
    <w:rsid w:val="005E2269"/>
    <w:rsid w:val="005E23CB"/>
    <w:rsid w:val="005E2585"/>
    <w:rsid w:val="005E25AD"/>
    <w:rsid w:val="005E2604"/>
    <w:rsid w:val="005E27E3"/>
    <w:rsid w:val="005E27FC"/>
    <w:rsid w:val="005E2884"/>
    <w:rsid w:val="005E28A5"/>
    <w:rsid w:val="005E2A1D"/>
    <w:rsid w:val="005E2AF9"/>
    <w:rsid w:val="005E2B36"/>
    <w:rsid w:val="005E2B51"/>
    <w:rsid w:val="005E2BB3"/>
    <w:rsid w:val="005E2BFE"/>
    <w:rsid w:val="005E2C37"/>
    <w:rsid w:val="005E2CE0"/>
    <w:rsid w:val="005E2CF7"/>
    <w:rsid w:val="005E2D2A"/>
    <w:rsid w:val="005E2E8B"/>
    <w:rsid w:val="005E2F7D"/>
    <w:rsid w:val="005E3028"/>
    <w:rsid w:val="005E3088"/>
    <w:rsid w:val="005E316E"/>
    <w:rsid w:val="005E31F5"/>
    <w:rsid w:val="005E344C"/>
    <w:rsid w:val="005E354D"/>
    <w:rsid w:val="005E364F"/>
    <w:rsid w:val="005E365B"/>
    <w:rsid w:val="005E36A8"/>
    <w:rsid w:val="005E3780"/>
    <w:rsid w:val="005E392C"/>
    <w:rsid w:val="005E3A2F"/>
    <w:rsid w:val="005E3A6D"/>
    <w:rsid w:val="005E3B37"/>
    <w:rsid w:val="005E3C0B"/>
    <w:rsid w:val="005E3C5A"/>
    <w:rsid w:val="005E3D96"/>
    <w:rsid w:val="005E3EC6"/>
    <w:rsid w:val="005E3EED"/>
    <w:rsid w:val="005E3F70"/>
    <w:rsid w:val="005E3FEE"/>
    <w:rsid w:val="005E41AB"/>
    <w:rsid w:val="005E4309"/>
    <w:rsid w:val="005E44A6"/>
    <w:rsid w:val="005E44AA"/>
    <w:rsid w:val="005E45ED"/>
    <w:rsid w:val="005E469B"/>
    <w:rsid w:val="005E46F9"/>
    <w:rsid w:val="005E4703"/>
    <w:rsid w:val="005E4715"/>
    <w:rsid w:val="005E4731"/>
    <w:rsid w:val="005E48A7"/>
    <w:rsid w:val="005E48FE"/>
    <w:rsid w:val="005E49A4"/>
    <w:rsid w:val="005E4A96"/>
    <w:rsid w:val="005E4BF8"/>
    <w:rsid w:val="005E4D7D"/>
    <w:rsid w:val="005E4F2A"/>
    <w:rsid w:val="005E4FCA"/>
    <w:rsid w:val="005E519A"/>
    <w:rsid w:val="005E525F"/>
    <w:rsid w:val="005E54BF"/>
    <w:rsid w:val="005E54E8"/>
    <w:rsid w:val="005E571B"/>
    <w:rsid w:val="005E574E"/>
    <w:rsid w:val="005E57B1"/>
    <w:rsid w:val="005E5811"/>
    <w:rsid w:val="005E587B"/>
    <w:rsid w:val="005E5F4B"/>
    <w:rsid w:val="005E60BF"/>
    <w:rsid w:val="005E61C3"/>
    <w:rsid w:val="005E6381"/>
    <w:rsid w:val="005E63BD"/>
    <w:rsid w:val="005E6432"/>
    <w:rsid w:val="005E68B4"/>
    <w:rsid w:val="005E6A00"/>
    <w:rsid w:val="005E6AC4"/>
    <w:rsid w:val="005E6B19"/>
    <w:rsid w:val="005E6C8F"/>
    <w:rsid w:val="005E6DD7"/>
    <w:rsid w:val="005E71A4"/>
    <w:rsid w:val="005E730B"/>
    <w:rsid w:val="005E7332"/>
    <w:rsid w:val="005E7360"/>
    <w:rsid w:val="005E7385"/>
    <w:rsid w:val="005E73C5"/>
    <w:rsid w:val="005E75CA"/>
    <w:rsid w:val="005E77B9"/>
    <w:rsid w:val="005E77E8"/>
    <w:rsid w:val="005E787D"/>
    <w:rsid w:val="005E7B97"/>
    <w:rsid w:val="005E7C13"/>
    <w:rsid w:val="005E7C3E"/>
    <w:rsid w:val="005F00EC"/>
    <w:rsid w:val="005F02E9"/>
    <w:rsid w:val="005F03DB"/>
    <w:rsid w:val="005F03EF"/>
    <w:rsid w:val="005F049C"/>
    <w:rsid w:val="005F04FD"/>
    <w:rsid w:val="005F05FB"/>
    <w:rsid w:val="005F0688"/>
    <w:rsid w:val="005F06A8"/>
    <w:rsid w:val="005F06C0"/>
    <w:rsid w:val="005F06EC"/>
    <w:rsid w:val="005F0753"/>
    <w:rsid w:val="005F078D"/>
    <w:rsid w:val="005F07E9"/>
    <w:rsid w:val="005F084D"/>
    <w:rsid w:val="005F0872"/>
    <w:rsid w:val="005F0883"/>
    <w:rsid w:val="005F0892"/>
    <w:rsid w:val="005F08EC"/>
    <w:rsid w:val="005F08F1"/>
    <w:rsid w:val="005F09B8"/>
    <w:rsid w:val="005F0A40"/>
    <w:rsid w:val="005F0A9E"/>
    <w:rsid w:val="005F0BF4"/>
    <w:rsid w:val="005F0C17"/>
    <w:rsid w:val="005F0C27"/>
    <w:rsid w:val="005F0CA2"/>
    <w:rsid w:val="005F0D3C"/>
    <w:rsid w:val="005F0F34"/>
    <w:rsid w:val="005F0FAC"/>
    <w:rsid w:val="005F10E6"/>
    <w:rsid w:val="005F10F6"/>
    <w:rsid w:val="005F1201"/>
    <w:rsid w:val="005F1243"/>
    <w:rsid w:val="005F12E8"/>
    <w:rsid w:val="005F12F0"/>
    <w:rsid w:val="005F1404"/>
    <w:rsid w:val="005F1519"/>
    <w:rsid w:val="005F1559"/>
    <w:rsid w:val="005F15C5"/>
    <w:rsid w:val="005F15E9"/>
    <w:rsid w:val="005F15F5"/>
    <w:rsid w:val="005F16E8"/>
    <w:rsid w:val="005F18CC"/>
    <w:rsid w:val="005F19D3"/>
    <w:rsid w:val="005F1C7B"/>
    <w:rsid w:val="005F1D83"/>
    <w:rsid w:val="005F1F8F"/>
    <w:rsid w:val="005F1FB7"/>
    <w:rsid w:val="005F1FE8"/>
    <w:rsid w:val="005F2033"/>
    <w:rsid w:val="005F20CB"/>
    <w:rsid w:val="005F20F1"/>
    <w:rsid w:val="005F2349"/>
    <w:rsid w:val="005F2412"/>
    <w:rsid w:val="005F2582"/>
    <w:rsid w:val="005F2605"/>
    <w:rsid w:val="005F26CC"/>
    <w:rsid w:val="005F2906"/>
    <w:rsid w:val="005F2917"/>
    <w:rsid w:val="005F2982"/>
    <w:rsid w:val="005F2A4A"/>
    <w:rsid w:val="005F2A5E"/>
    <w:rsid w:val="005F2B3A"/>
    <w:rsid w:val="005F2CFD"/>
    <w:rsid w:val="005F2EA5"/>
    <w:rsid w:val="005F3042"/>
    <w:rsid w:val="005F309D"/>
    <w:rsid w:val="005F309F"/>
    <w:rsid w:val="005F30B5"/>
    <w:rsid w:val="005F3169"/>
    <w:rsid w:val="005F31DC"/>
    <w:rsid w:val="005F32D4"/>
    <w:rsid w:val="005F3469"/>
    <w:rsid w:val="005F35E6"/>
    <w:rsid w:val="005F35E8"/>
    <w:rsid w:val="005F3914"/>
    <w:rsid w:val="005F3931"/>
    <w:rsid w:val="005F3AD0"/>
    <w:rsid w:val="005F3AE4"/>
    <w:rsid w:val="005F3C1C"/>
    <w:rsid w:val="005F3F01"/>
    <w:rsid w:val="005F3F0B"/>
    <w:rsid w:val="005F3F3C"/>
    <w:rsid w:val="005F4035"/>
    <w:rsid w:val="005F406F"/>
    <w:rsid w:val="005F40F2"/>
    <w:rsid w:val="005F440B"/>
    <w:rsid w:val="005F454B"/>
    <w:rsid w:val="005F46AB"/>
    <w:rsid w:val="005F4804"/>
    <w:rsid w:val="005F48A9"/>
    <w:rsid w:val="005F4933"/>
    <w:rsid w:val="005F49E3"/>
    <w:rsid w:val="005F4B45"/>
    <w:rsid w:val="005F4D16"/>
    <w:rsid w:val="005F51EE"/>
    <w:rsid w:val="005F5300"/>
    <w:rsid w:val="005F5408"/>
    <w:rsid w:val="005F5509"/>
    <w:rsid w:val="005F55DB"/>
    <w:rsid w:val="005F5673"/>
    <w:rsid w:val="005F571B"/>
    <w:rsid w:val="005F57A7"/>
    <w:rsid w:val="005F57B5"/>
    <w:rsid w:val="005F58BB"/>
    <w:rsid w:val="005F5AB7"/>
    <w:rsid w:val="005F5B02"/>
    <w:rsid w:val="005F5B80"/>
    <w:rsid w:val="005F5CD8"/>
    <w:rsid w:val="005F5D7C"/>
    <w:rsid w:val="005F5F0E"/>
    <w:rsid w:val="005F5FB2"/>
    <w:rsid w:val="005F5FDD"/>
    <w:rsid w:val="005F620D"/>
    <w:rsid w:val="005F620F"/>
    <w:rsid w:val="005F6228"/>
    <w:rsid w:val="005F6335"/>
    <w:rsid w:val="005F638C"/>
    <w:rsid w:val="005F6411"/>
    <w:rsid w:val="005F653C"/>
    <w:rsid w:val="005F6594"/>
    <w:rsid w:val="005F65BD"/>
    <w:rsid w:val="005F65EA"/>
    <w:rsid w:val="005F660D"/>
    <w:rsid w:val="005F67D7"/>
    <w:rsid w:val="005F684A"/>
    <w:rsid w:val="005F6B15"/>
    <w:rsid w:val="005F6B94"/>
    <w:rsid w:val="005F6BB5"/>
    <w:rsid w:val="005F6C9C"/>
    <w:rsid w:val="005F6F00"/>
    <w:rsid w:val="005F7053"/>
    <w:rsid w:val="005F70B0"/>
    <w:rsid w:val="005F7501"/>
    <w:rsid w:val="005F76B0"/>
    <w:rsid w:val="005F7742"/>
    <w:rsid w:val="005F7745"/>
    <w:rsid w:val="005F77C3"/>
    <w:rsid w:val="005F787C"/>
    <w:rsid w:val="005F7901"/>
    <w:rsid w:val="005F7BA3"/>
    <w:rsid w:val="005F7DB6"/>
    <w:rsid w:val="005F7DEF"/>
    <w:rsid w:val="005F7DFF"/>
    <w:rsid w:val="0060014F"/>
    <w:rsid w:val="006001AE"/>
    <w:rsid w:val="00600262"/>
    <w:rsid w:val="00600360"/>
    <w:rsid w:val="006003AA"/>
    <w:rsid w:val="0060040D"/>
    <w:rsid w:val="0060071E"/>
    <w:rsid w:val="006008C2"/>
    <w:rsid w:val="006009F9"/>
    <w:rsid w:val="00600A0C"/>
    <w:rsid w:val="00600B50"/>
    <w:rsid w:val="00600D68"/>
    <w:rsid w:val="00600EDD"/>
    <w:rsid w:val="00600F42"/>
    <w:rsid w:val="00600F65"/>
    <w:rsid w:val="0060106E"/>
    <w:rsid w:val="006010F4"/>
    <w:rsid w:val="00601105"/>
    <w:rsid w:val="00601178"/>
    <w:rsid w:val="0060146E"/>
    <w:rsid w:val="0060154C"/>
    <w:rsid w:val="00601569"/>
    <w:rsid w:val="006016D9"/>
    <w:rsid w:val="00601984"/>
    <w:rsid w:val="00601A34"/>
    <w:rsid w:val="00601BFC"/>
    <w:rsid w:val="00601D90"/>
    <w:rsid w:val="00601EE1"/>
    <w:rsid w:val="0060203A"/>
    <w:rsid w:val="006021B4"/>
    <w:rsid w:val="0060244D"/>
    <w:rsid w:val="00602462"/>
    <w:rsid w:val="006024CB"/>
    <w:rsid w:val="0060250C"/>
    <w:rsid w:val="006025B6"/>
    <w:rsid w:val="00602634"/>
    <w:rsid w:val="0060284C"/>
    <w:rsid w:val="006028BF"/>
    <w:rsid w:val="006028E5"/>
    <w:rsid w:val="00602A6B"/>
    <w:rsid w:val="00602A8A"/>
    <w:rsid w:val="00602AD7"/>
    <w:rsid w:val="00602B01"/>
    <w:rsid w:val="00602DFA"/>
    <w:rsid w:val="00603118"/>
    <w:rsid w:val="0060316D"/>
    <w:rsid w:val="006031A6"/>
    <w:rsid w:val="00603241"/>
    <w:rsid w:val="006032D5"/>
    <w:rsid w:val="00603331"/>
    <w:rsid w:val="006033A9"/>
    <w:rsid w:val="00603685"/>
    <w:rsid w:val="0060391A"/>
    <w:rsid w:val="006039BA"/>
    <w:rsid w:val="00603A0A"/>
    <w:rsid w:val="00603A8E"/>
    <w:rsid w:val="00603AEA"/>
    <w:rsid w:val="00603C15"/>
    <w:rsid w:val="00603D54"/>
    <w:rsid w:val="00603D9E"/>
    <w:rsid w:val="00603DB6"/>
    <w:rsid w:val="00603DF7"/>
    <w:rsid w:val="00603ECD"/>
    <w:rsid w:val="00603FF9"/>
    <w:rsid w:val="0060404E"/>
    <w:rsid w:val="0060409D"/>
    <w:rsid w:val="006040A2"/>
    <w:rsid w:val="00604107"/>
    <w:rsid w:val="006041E1"/>
    <w:rsid w:val="00604470"/>
    <w:rsid w:val="00604665"/>
    <w:rsid w:val="006047A8"/>
    <w:rsid w:val="006047FA"/>
    <w:rsid w:val="006049E3"/>
    <w:rsid w:val="00604A4C"/>
    <w:rsid w:val="00604A6C"/>
    <w:rsid w:val="00604B58"/>
    <w:rsid w:val="00604C30"/>
    <w:rsid w:val="00604C84"/>
    <w:rsid w:val="00604D20"/>
    <w:rsid w:val="00604E79"/>
    <w:rsid w:val="00604EBE"/>
    <w:rsid w:val="00604F04"/>
    <w:rsid w:val="00605104"/>
    <w:rsid w:val="0060512F"/>
    <w:rsid w:val="00605181"/>
    <w:rsid w:val="006051E7"/>
    <w:rsid w:val="006051EF"/>
    <w:rsid w:val="006054E4"/>
    <w:rsid w:val="0060576D"/>
    <w:rsid w:val="0060582F"/>
    <w:rsid w:val="006059BE"/>
    <w:rsid w:val="00605AF0"/>
    <w:rsid w:val="00605B2C"/>
    <w:rsid w:val="00605E5A"/>
    <w:rsid w:val="00605EB1"/>
    <w:rsid w:val="00605F49"/>
    <w:rsid w:val="00605F67"/>
    <w:rsid w:val="0060600F"/>
    <w:rsid w:val="0060607E"/>
    <w:rsid w:val="006060E5"/>
    <w:rsid w:val="006062B5"/>
    <w:rsid w:val="006065C1"/>
    <w:rsid w:val="006065F9"/>
    <w:rsid w:val="006066FD"/>
    <w:rsid w:val="00606837"/>
    <w:rsid w:val="0060697F"/>
    <w:rsid w:val="00606AE0"/>
    <w:rsid w:val="00606C90"/>
    <w:rsid w:val="00606DC7"/>
    <w:rsid w:val="00606E94"/>
    <w:rsid w:val="00606FB0"/>
    <w:rsid w:val="00606FC3"/>
    <w:rsid w:val="00607021"/>
    <w:rsid w:val="0060709B"/>
    <w:rsid w:val="0060717A"/>
    <w:rsid w:val="00607302"/>
    <w:rsid w:val="006073A2"/>
    <w:rsid w:val="00607542"/>
    <w:rsid w:val="006075B8"/>
    <w:rsid w:val="006076C9"/>
    <w:rsid w:val="006077B9"/>
    <w:rsid w:val="00607881"/>
    <w:rsid w:val="006078C7"/>
    <w:rsid w:val="006078E4"/>
    <w:rsid w:val="0060794C"/>
    <w:rsid w:val="006079CF"/>
    <w:rsid w:val="00607B5C"/>
    <w:rsid w:val="00607B9A"/>
    <w:rsid w:val="00607BAB"/>
    <w:rsid w:val="00607DA9"/>
    <w:rsid w:val="00607FAE"/>
    <w:rsid w:val="00610090"/>
    <w:rsid w:val="00610136"/>
    <w:rsid w:val="00610298"/>
    <w:rsid w:val="006103C0"/>
    <w:rsid w:val="0061046B"/>
    <w:rsid w:val="0061048B"/>
    <w:rsid w:val="006105A9"/>
    <w:rsid w:val="0061065F"/>
    <w:rsid w:val="006106DE"/>
    <w:rsid w:val="006107F6"/>
    <w:rsid w:val="006108F1"/>
    <w:rsid w:val="0061097B"/>
    <w:rsid w:val="00610C36"/>
    <w:rsid w:val="00610C53"/>
    <w:rsid w:val="00610C77"/>
    <w:rsid w:val="00610D5B"/>
    <w:rsid w:val="00610DE0"/>
    <w:rsid w:val="00610E0E"/>
    <w:rsid w:val="00610E91"/>
    <w:rsid w:val="00610EC9"/>
    <w:rsid w:val="00610F77"/>
    <w:rsid w:val="00611065"/>
    <w:rsid w:val="006110A0"/>
    <w:rsid w:val="006110FE"/>
    <w:rsid w:val="0061115F"/>
    <w:rsid w:val="00611255"/>
    <w:rsid w:val="0061138D"/>
    <w:rsid w:val="006114CE"/>
    <w:rsid w:val="00611509"/>
    <w:rsid w:val="006116E9"/>
    <w:rsid w:val="0061173C"/>
    <w:rsid w:val="00611829"/>
    <w:rsid w:val="00611895"/>
    <w:rsid w:val="00611968"/>
    <w:rsid w:val="006119A3"/>
    <w:rsid w:val="006119D3"/>
    <w:rsid w:val="00611A4F"/>
    <w:rsid w:val="00611B0C"/>
    <w:rsid w:val="00611B0E"/>
    <w:rsid w:val="00611BA0"/>
    <w:rsid w:val="00611BD7"/>
    <w:rsid w:val="00611C36"/>
    <w:rsid w:val="00611C5F"/>
    <w:rsid w:val="00611C9E"/>
    <w:rsid w:val="00611CEA"/>
    <w:rsid w:val="00611DA5"/>
    <w:rsid w:val="00611E16"/>
    <w:rsid w:val="00611F58"/>
    <w:rsid w:val="006120C6"/>
    <w:rsid w:val="006120E5"/>
    <w:rsid w:val="00612129"/>
    <w:rsid w:val="0061212F"/>
    <w:rsid w:val="006122B3"/>
    <w:rsid w:val="00612380"/>
    <w:rsid w:val="0061247A"/>
    <w:rsid w:val="006125F5"/>
    <w:rsid w:val="00612916"/>
    <w:rsid w:val="00612A46"/>
    <w:rsid w:val="00612A7A"/>
    <w:rsid w:val="00612C10"/>
    <w:rsid w:val="00612CD6"/>
    <w:rsid w:val="00612E54"/>
    <w:rsid w:val="00612EEB"/>
    <w:rsid w:val="0061324E"/>
    <w:rsid w:val="00613296"/>
    <w:rsid w:val="006133F4"/>
    <w:rsid w:val="00613407"/>
    <w:rsid w:val="006134F4"/>
    <w:rsid w:val="00613542"/>
    <w:rsid w:val="0061370F"/>
    <w:rsid w:val="006137B6"/>
    <w:rsid w:val="00613B19"/>
    <w:rsid w:val="00613B36"/>
    <w:rsid w:val="00613BD1"/>
    <w:rsid w:val="00613C67"/>
    <w:rsid w:val="00613CCD"/>
    <w:rsid w:val="00613D86"/>
    <w:rsid w:val="00613DC2"/>
    <w:rsid w:val="00613DC9"/>
    <w:rsid w:val="00613DD4"/>
    <w:rsid w:val="00613E35"/>
    <w:rsid w:val="00613E63"/>
    <w:rsid w:val="00613FF9"/>
    <w:rsid w:val="00614010"/>
    <w:rsid w:val="0061407F"/>
    <w:rsid w:val="0061411B"/>
    <w:rsid w:val="0061438A"/>
    <w:rsid w:val="006145BA"/>
    <w:rsid w:val="0061463A"/>
    <w:rsid w:val="0061479C"/>
    <w:rsid w:val="006147E2"/>
    <w:rsid w:val="006148F5"/>
    <w:rsid w:val="006148FC"/>
    <w:rsid w:val="0061497C"/>
    <w:rsid w:val="00614A7C"/>
    <w:rsid w:val="00614A84"/>
    <w:rsid w:val="00614E57"/>
    <w:rsid w:val="00614ED1"/>
    <w:rsid w:val="0061501E"/>
    <w:rsid w:val="006150BE"/>
    <w:rsid w:val="006150E4"/>
    <w:rsid w:val="00615110"/>
    <w:rsid w:val="006153B0"/>
    <w:rsid w:val="0061566C"/>
    <w:rsid w:val="006157AF"/>
    <w:rsid w:val="0061589B"/>
    <w:rsid w:val="006158A2"/>
    <w:rsid w:val="00615929"/>
    <w:rsid w:val="006159D6"/>
    <w:rsid w:val="006159FB"/>
    <w:rsid w:val="00615A1B"/>
    <w:rsid w:val="00615C42"/>
    <w:rsid w:val="00615D20"/>
    <w:rsid w:val="00615DF9"/>
    <w:rsid w:val="00615EED"/>
    <w:rsid w:val="006161F0"/>
    <w:rsid w:val="00616330"/>
    <w:rsid w:val="0061654F"/>
    <w:rsid w:val="006165A6"/>
    <w:rsid w:val="00616630"/>
    <w:rsid w:val="006166A8"/>
    <w:rsid w:val="006166D0"/>
    <w:rsid w:val="00616898"/>
    <w:rsid w:val="006168B2"/>
    <w:rsid w:val="006168F9"/>
    <w:rsid w:val="00616AC7"/>
    <w:rsid w:val="00616BFA"/>
    <w:rsid w:val="00616CCF"/>
    <w:rsid w:val="00616DD9"/>
    <w:rsid w:val="00616DDD"/>
    <w:rsid w:val="00616E2A"/>
    <w:rsid w:val="00616E4A"/>
    <w:rsid w:val="00617202"/>
    <w:rsid w:val="00617235"/>
    <w:rsid w:val="006173B2"/>
    <w:rsid w:val="006173EA"/>
    <w:rsid w:val="00617564"/>
    <w:rsid w:val="00617702"/>
    <w:rsid w:val="0061772D"/>
    <w:rsid w:val="00617829"/>
    <w:rsid w:val="0061786E"/>
    <w:rsid w:val="006179CD"/>
    <w:rsid w:val="00617C2A"/>
    <w:rsid w:val="00617FB5"/>
    <w:rsid w:val="00620002"/>
    <w:rsid w:val="00620184"/>
    <w:rsid w:val="00620203"/>
    <w:rsid w:val="00620244"/>
    <w:rsid w:val="006202EC"/>
    <w:rsid w:val="00620361"/>
    <w:rsid w:val="006203AB"/>
    <w:rsid w:val="00620502"/>
    <w:rsid w:val="0062055E"/>
    <w:rsid w:val="00620737"/>
    <w:rsid w:val="0062084B"/>
    <w:rsid w:val="00620878"/>
    <w:rsid w:val="00620AE0"/>
    <w:rsid w:val="00620B94"/>
    <w:rsid w:val="00620F7E"/>
    <w:rsid w:val="00620F86"/>
    <w:rsid w:val="00621084"/>
    <w:rsid w:val="00621126"/>
    <w:rsid w:val="0062126A"/>
    <w:rsid w:val="0062132A"/>
    <w:rsid w:val="00621346"/>
    <w:rsid w:val="0062135E"/>
    <w:rsid w:val="00621559"/>
    <w:rsid w:val="00621632"/>
    <w:rsid w:val="0062166B"/>
    <w:rsid w:val="00621A5E"/>
    <w:rsid w:val="00621ABD"/>
    <w:rsid w:val="00621ADC"/>
    <w:rsid w:val="00621B1C"/>
    <w:rsid w:val="00621C90"/>
    <w:rsid w:val="00621E01"/>
    <w:rsid w:val="00621E8A"/>
    <w:rsid w:val="00621FD0"/>
    <w:rsid w:val="00622075"/>
    <w:rsid w:val="00622078"/>
    <w:rsid w:val="006220B2"/>
    <w:rsid w:val="006220BA"/>
    <w:rsid w:val="006220D0"/>
    <w:rsid w:val="00622111"/>
    <w:rsid w:val="0062214F"/>
    <w:rsid w:val="00622207"/>
    <w:rsid w:val="006222E4"/>
    <w:rsid w:val="006222F7"/>
    <w:rsid w:val="006223E8"/>
    <w:rsid w:val="0062264C"/>
    <w:rsid w:val="00622762"/>
    <w:rsid w:val="0062288E"/>
    <w:rsid w:val="00622934"/>
    <w:rsid w:val="006229DE"/>
    <w:rsid w:val="006229F8"/>
    <w:rsid w:val="00622A3C"/>
    <w:rsid w:val="00622B73"/>
    <w:rsid w:val="00622DC3"/>
    <w:rsid w:val="00622DD8"/>
    <w:rsid w:val="00622F88"/>
    <w:rsid w:val="00623133"/>
    <w:rsid w:val="0062314C"/>
    <w:rsid w:val="00623196"/>
    <w:rsid w:val="0062323A"/>
    <w:rsid w:val="006232C5"/>
    <w:rsid w:val="0062343C"/>
    <w:rsid w:val="006234B6"/>
    <w:rsid w:val="00623527"/>
    <w:rsid w:val="00623754"/>
    <w:rsid w:val="006237BA"/>
    <w:rsid w:val="00623AAB"/>
    <w:rsid w:val="00623B84"/>
    <w:rsid w:val="00623C29"/>
    <w:rsid w:val="00623EBE"/>
    <w:rsid w:val="00623F49"/>
    <w:rsid w:val="00623FB5"/>
    <w:rsid w:val="00623FD6"/>
    <w:rsid w:val="00624020"/>
    <w:rsid w:val="006240D8"/>
    <w:rsid w:val="006241EA"/>
    <w:rsid w:val="0062427B"/>
    <w:rsid w:val="0062428E"/>
    <w:rsid w:val="00624380"/>
    <w:rsid w:val="00624433"/>
    <w:rsid w:val="00624441"/>
    <w:rsid w:val="00624559"/>
    <w:rsid w:val="006245CE"/>
    <w:rsid w:val="006247B4"/>
    <w:rsid w:val="00624832"/>
    <w:rsid w:val="00624AC3"/>
    <w:rsid w:val="00624B1A"/>
    <w:rsid w:val="00624B92"/>
    <w:rsid w:val="00624E46"/>
    <w:rsid w:val="00624FBA"/>
    <w:rsid w:val="00625008"/>
    <w:rsid w:val="006250F2"/>
    <w:rsid w:val="00625286"/>
    <w:rsid w:val="0062528B"/>
    <w:rsid w:val="00625480"/>
    <w:rsid w:val="00625619"/>
    <w:rsid w:val="00625846"/>
    <w:rsid w:val="00625853"/>
    <w:rsid w:val="006258EC"/>
    <w:rsid w:val="00625B82"/>
    <w:rsid w:val="00625C33"/>
    <w:rsid w:val="00625CC2"/>
    <w:rsid w:val="00625CFD"/>
    <w:rsid w:val="00625D27"/>
    <w:rsid w:val="00625DDD"/>
    <w:rsid w:val="00625E10"/>
    <w:rsid w:val="00625E72"/>
    <w:rsid w:val="00625ED8"/>
    <w:rsid w:val="00625F01"/>
    <w:rsid w:val="0062616E"/>
    <w:rsid w:val="00626237"/>
    <w:rsid w:val="00626244"/>
    <w:rsid w:val="006262F8"/>
    <w:rsid w:val="0062631C"/>
    <w:rsid w:val="006263B5"/>
    <w:rsid w:val="00626480"/>
    <w:rsid w:val="006264DA"/>
    <w:rsid w:val="00626530"/>
    <w:rsid w:val="0062655A"/>
    <w:rsid w:val="006265F8"/>
    <w:rsid w:val="006266E8"/>
    <w:rsid w:val="0062675D"/>
    <w:rsid w:val="006267CD"/>
    <w:rsid w:val="006267D2"/>
    <w:rsid w:val="00626905"/>
    <w:rsid w:val="00626910"/>
    <w:rsid w:val="00626A0D"/>
    <w:rsid w:val="00626B6E"/>
    <w:rsid w:val="00626CA4"/>
    <w:rsid w:val="00626CA7"/>
    <w:rsid w:val="00626D70"/>
    <w:rsid w:val="00626D82"/>
    <w:rsid w:val="00626E31"/>
    <w:rsid w:val="006270D7"/>
    <w:rsid w:val="006271EA"/>
    <w:rsid w:val="00627220"/>
    <w:rsid w:val="006272C2"/>
    <w:rsid w:val="00627356"/>
    <w:rsid w:val="00627392"/>
    <w:rsid w:val="0062739C"/>
    <w:rsid w:val="00627510"/>
    <w:rsid w:val="0062752F"/>
    <w:rsid w:val="00627659"/>
    <w:rsid w:val="006276DE"/>
    <w:rsid w:val="0062780A"/>
    <w:rsid w:val="0062780F"/>
    <w:rsid w:val="00627829"/>
    <w:rsid w:val="00627836"/>
    <w:rsid w:val="0062783F"/>
    <w:rsid w:val="0062789B"/>
    <w:rsid w:val="00627A34"/>
    <w:rsid w:val="00627AAE"/>
    <w:rsid w:val="00627B34"/>
    <w:rsid w:val="00627B59"/>
    <w:rsid w:val="00627BFC"/>
    <w:rsid w:val="00627CD4"/>
    <w:rsid w:val="00627D81"/>
    <w:rsid w:val="00627EF7"/>
    <w:rsid w:val="00627F1E"/>
    <w:rsid w:val="0063005D"/>
    <w:rsid w:val="00630087"/>
    <w:rsid w:val="006300F1"/>
    <w:rsid w:val="006301E6"/>
    <w:rsid w:val="00630413"/>
    <w:rsid w:val="006304AE"/>
    <w:rsid w:val="0063061B"/>
    <w:rsid w:val="0063066F"/>
    <w:rsid w:val="006306B7"/>
    <w:rsid w:val="00630B13"/>
    <w:rsid w:val="00630C1E"/>
    <w:rsid w:val="00630CFD"/>
    <w:rsid w:val="00630E5F"/>
    <w:rsid w:val="0063111E"/>
    <w:rsid w:val="006312EF"/>
    <w:rsid w:val="006314ED"/>
    <w:rsid w:val="0063154C"/>
    <w:rsid w:val="0063160F"/>
    <w:rsid w:val="00631637"/>
    <w:rsid w:val="00631703"/>
    <w:rsid w:val="00631832"/>
    <w:rsid w:val="00631841"/>
    <w:rsid w:val="00631847"/>
    <w:rsid w:val="00631BC8"/>
    <w:rsid w:val="00631D40"/>
    <w:rsid w:val="00631D6A"/>
    <w:rsid w:val="006320E7"/>
    <w:rsid w:val="00632158"/>
    <w:rsid w:val="0063220B"/>
    <w:rsid w:val="00632290"/>
    <w:rsid w:val="00632368"/>
    <w:rsid w:val="006323F9"/>
    <w:rsid w:val="006325DC"/>
    <w:rsid w:val="0063264F"/>
    <w:rsid w:val="006326BB"/>
    <w:rsid w:val="006328D2"/>
    <w:rsid w:val="006329ED"/>
    <w:rsid w:val="00632A3E"/>
    <w:rsid w:val="00632B15"/>
    <w:rsid w:val="00632E47"/>
    <w:rsid w:val="00633004"/>
    <w:rsid w:val="0063313A"/>
    <w:rsid w:val="006331A7"/>
    <w:rsid w:val="006331ED"/>
    <w:rsid w:val="00633270"/>
    <w:rsid w:val="0063358B"/>
    <w:rsid w:val="00633601"/>
    <w:rsid w:val="00633657"/>
    <w:rsid w:val="0063374E"/>
    <w:rsid w:val="00633803"/>
    <w:rsid w:val="00633A80"/>
    <w:rsid w:val="00633B6A"/>
    <w:rsid w:val="00633B70"/>
    <w:rsid w:val="00633D9C"/>
    <w:rsid w:val="00633DB8"/>
    <w:rsid w:val="006340EB"/>
    <w:rsid w:val="006341B2"/>
    <w:rsid w:val="0063427B"/>
    <w:rsid w:val="006343F0"/>
    <w:rsid w:val="00634494"/>
    <w:rsid w:val="006344D4"/>
    <w:rsid w:val="006344EF"/>
    <w:rsid w:val="0063456D"/>
    <w:rsid w:val="00634640"/>
    <w:rsid w:val="006347E0"/>
    <w:rsid w:val="00634915"/>
    <w:rsid w:val="00634AB3"/>
    <w:rsid w:val="00634C3F"/>
    <w:rsid w:val="00634C78"/>
    <w:rsid w:val="00634C8B"/>
    <w:rsid w:val="00634D04"/>
    <w:rsid w:val="00634D05"/>
    <w:rsid w:val="00635084"/>
    <w:rsid w:val="0063513D"/>
    <w:rsid w:val="006353C2"/>
    <w:rsid w:val="00635427"/>
    <w:rsid w:val="0063547F"/>
    <w:rsid w:val="006354D9"/>
    <w:rsid w:val="006356F8"/>
    <w:rsid w:val="00635A32"/>
    <w:rsid w:val="00635A41"/>
    <w:rsid w:val="00635A8A"/>
    <w:rsid w:val="00635AA4"/>
    <w:rsid w:val="00635ACD"/>
    <w:rsid w:val="00635AE9"/>
    <w:rsid w:val="00635E08"/>
    <w:rsid w:val="00635F13"/>
    <w:rsid w:val="00635F25"/>
    <w:rsid w:val="00635FB0"/>
    <w:rsid w:val="00636067"/>
    <w:rsid w:val="00636209"/>
    <w:rsid w:val="00636289"/>
    <w:rsid w:val="006363CC"/>
    <w:rsid w:val="006365D4"/>
    <w:rsid w:val="0063667A"/>
    <w:rsid w:val="006366BF"/>
    <w:rsid w:val="00636810"/>
    <w:rsid w:val="00636C09"/>
    <w:rsid w:val="00636CFB"/>
    <w:rsid w:val="00636D0F"/>
    <w:rsid w:val="00636F0E"/>
    <w:rsid w:val="00636F13"/>
    <w:rsid w:val="00637003"/>
    <w:rsid w:val="00637220"/>
    <w:rsid w:val="00637223"/>
    <w:rsid w:val="00637285"/>
    <w:rsid w:val="006373B2"/>
    <w:rsid w:val="00637403"/>
    <w:rsid w:val="006374D2"/>
    <w:rsid w:val="0063771C"/>
    <w:rsid w:val="0063775C"/>
    <w:rsid w:val="00637843"/>
    <w:rsid w:val="0063785A"/>
    <w:rsid w:val="006379A4"/>
    <w:rsid w:val="00637A29"/>
    <w:rsid w:val="00637A2F"/>
    <w:rsid w:val="00637A4E"/>
    <w:rsid w:val="00637A72"/>
    <w:rsid w:val="00637AB4"/>
    <w:rsid w:val="00637B4C"/>
    <w:rsid w:val="00637B84"/>
    <w:rsid w:val="00637C4D"/>
    <w:rsid w:val="00637CA6"/>
    <w:rsid w:val="00637DB4"/>
    <w:rsid w:val="00637EFF"/>
    <w:rsid w:val="00637FE4"/>
    <w:rsid w:val="006402C3"/>
    <w:rsid w:val="006402E2"/>
    <w:rsid w:val="006402E7"/>
    <w:rsid w:val="00640306"/>
    <w:rsid w:val="0064033C"/>
    <w:rsid w:val="00640377"/>
    <w:rsid w:val="006403C8"/>
    <w:rsid w:val="00640409"/>
    <w:rsid w:val="00640561"/>
    <w:rsid w:val="006405C8"/>
    <w:rsid w:val="006407F9"/>
    <w:rsid w:val="00640878"/>
    <w:rsid w:val="00640883"/>
    <w:rsid w:val="00640980"/>
    <w:rsid w:val="006409AB"/>
    <w:rsid w:val="00640A74"/>
    <w:rsid w:val="00640B0A"/>
    <w:rsid w:val="00640CEB"/>
    <w:rsid w:val="00640E58"/>
    <w:rsid w:val="00640EFC"/>
    <w:rsid w:val="00640F38"/>
    <w:rsid w:val="00640F6D"/>
    <w:rsid w:val="00640FC1"/>
    <w:rsid w:val="00640FC9"/>
    <w:rsid w:val="0064103A"/>
    <w:rsid w:val="00641137"/>
    <w:rsid w:val="0064115E"/>
    <w:rsid w:val="00641215"/>
    <w:rsid w:val="0064133B"/>
    <w:rsid w:val="006413AB"/>
    <w:rsid w:val="0064143A"/>
    <w:rsid w:val="006414C5"/>
    <w:rsid w:val="006414F4"/>
    <w:rsid w:val="006414F8"/>
    <w:rsid w:val="00641602"/>
    <w:rsid w:val="00641937"/>
    <w:rsid w:val="006419A9"/>
    <w:rsid w:val="00641A0C"/>
    <w:rsid w:val="00641A9D"/>
    <w:rsid w:val="00641AB5"/>
    <w:rsid w:val="00641B1B"/>
    <w:rsid w:val="00641BAC"/>
    <w:rsid w:val="00641BD0"/>
    <w:rsid w:val="00641CB9"/>
    <w:rsid w:val="00641CEC"/>
    <w:rsid w:val="00641D36"/>
    <w:rsid w:val="00641E31"/>
    <w:rsid w:val="00641FE5"/>
    <w:rsid w:val="0064213A"/>
    <w:rsid w:val="0064214C"/>
    <w:rsid w:val="00642160"/>
    <w:rsid w:val="006421F7"/>
    <w:rsid w:val="006422DB"/>
    <w:rsid w:val="0064253F"/>
    <w:rsid w:val="0064256C"/>
    <w:rsid w:val="006425BA"/>
    <w:rsid w:val="006426CB"/>
    <w:rsid w:val="006426D9"/>
    <w:rsid w:val="00642716"/>
    <w:rsid w:val="0064294E"/>
    <w:rsid w:val="00642A22"/>
    <w:rsid w:val="00642A85"/>
    <w:rsid w:val="00642A86"/>
    <w:rsid w:val="00642A9D"/>
    <w:rsid w:val="00642B8F"/>
    <w:rsid w:val="00642BEB"/>
    <w:rsid w:val="00642BEC"/>
    <w:rsid w:val="00642C04"/>
    <w:rsid w:val="00642CA9"/>
    <w:rsid w:val="00642E3A"/>
    <w:rsid w:val="00642EA5"/>
    <w:rsid w:val="00642F25"/>
    <w:rsid w:val="00643039"/>
    <w:rsid w:val="006430AD"/>
    <w:rsid w:val="00643232"/>
    <w:rsid w:val="00643235"/>
    <w:rsid w:val="00643236"/>
    <w:rsid w:val="00643324"/>
    <w:rsid w:val="0064342A"/>
    <w:rsid w:val="006434CD"/>
    <w:rsid w:val="006434D1"/>
    <w:rsid w:val="00643560"/>
    <w:rsid w:val="006435A1"/>
    <w:rsid w:val="006435CE"/>
    <w:rsid w:val="0064379C"/>
    <w:rsid w:val="00643851"/>
    <w:rsid w:val="0064387F"/>
    <w:rsid w:val="0064394F"/>
    <w:rsid w:val="00643A40"/>
    <w:rsid w:val="00643A6C"/>
    <w:rsid w:val="00643BF2"/>
    <w:rsid w:val="00643D8A"/>
    <w:rsid w:val="00643D8B"/>
    <w:rsid w:val="00643F79"/>
    <w:rsid w:val="00643F9E"/>
    <w:rsid w:val="00643FB2"/>
    <w:rsid w:val="00644002"/>
    <w:rsid w:val="0064420C"/>
    <w:rsid w:val="00644379"/>
    <w:rsid w:val="00644473"/>
    <w:rsid w:val="00644524"/>
    <w:rsid w:val="0064454B"/>
    <w:rsid w:val="006445A1"/>
    <w:rsid w:val="006445BA"/>
    <w:rsid w:val="006445E5"/>
    <w:rsid w:val="00644627"/>
    <w:rsid w:val="0064466F"/>
    <w:rsid w:val="0064487B"/>
    <w:rsid w:val="00644A73"/>
    <w:rsid w:val="00644A99"/>
    <w:rsid w:val="00644AF1"/>
    <w:rsid w:val="00644B53"/>
    <w:rsid w:val="00644DD4"/>
    <w:rsid w:val="00644DFB"/>
    <w:rsid w:val="00644E12"/>
    <w:rsid w:val="00644E9F"/>
    <w:rsid w:val="0064503D"/>
    <w:rsid w:val="00645088"/>
    <w:rsid w:val="006451D3"/>
    <w:rsid w:val="00645260"/>
    <w:rsid w:val="006453DA"/>
    <w:rsid w:val="006454DB"/>
    <w:rsid w:val="0064563F"/>
    <w:rsid w:val="00645683"/>
    <w:rsid w:val="00645714"/>
    <w:rsid w:val="00645721"/>
    <w:rsid w:val="0064578A"/>
    <w:rsid w:val="006458EA"/>
    <w:rsid w:val="006459E1"/>
    <w:rsid w:val="00645A11"/>
    <w:rsid w:val="00645AF6"/>
    <w:rsid w:val="00645C54"/>
    <w:rsid w:val="00645DFB"/>
    <w:rsid w:val="00645E27"/>
    <w:rsid w:val="00645E6B"/>
    <w:rsid w:val="00645EBB"/>
    <w:rsid w:val="00645F26"/>
    <w:rsid w:val="006460BD"/>
    <w:rsid w:val="0064618C"/>
    <w:rsid w:val="0064619F"/>
    <w:rsid w:val="0064629C"/>
    <w:rsid w:val="006463C4"/>
    <w:rsid w:val="006463C8"/>
    <w:rsid w:val="00646494"/>
    <w:rsid w:val="006464D7"/>
    <w:rsid w:val="0064650B"/>
    <w:rsid w:val="006465F5"/>
    <w:rsid w:val="006466B8"/>
    <w:rsid w:val="0064671C"/>
    <w:rsid w:val="006467FE"/>
    <w:rsid w:val="006468C2"/>
    <w:rsid w:val="00646926"/>
    <w:rsid w:val="00646F54"/>
    <w:rsid w:val="00646FF9"/>
    <w:rsid w:val="00647085"/>
    <w:rsid w:val="006470A9"/>
    <w:rsid w:val="00647182"/>
    <w:rsid w:val="006471C4"/>
    <w:rsid w:val="006471C9"/>
    <w:rsid w:val="00647294"/>
    <w:rsid w:val="006472A8"/>
    <w:rsid w:val="006475B7"/>
    <w:rsid w:val="006476C2"/>
    <w:rsid w:val="00647716"/>
    <w:rsid w:val="00647819"/>
    <w:rsid w:val="00647AAF"/>
    <w:rsid w:val="00647CF1"/>
    <w:rsid w:val="00647E8E"/>
    <w:rsid w:val="00647EAB"/>
    <w:rsid w:val="00647ED3"/>
    <w:rsid w:val="00647F95"/>
    <w:rsid w:val="006500CA"/>
    <w:rsid w:val="00650252"/>
    <w:rsid w:val="0065040A"/>
    <w:rsid w:val="00650506"/>
    <w:rsid w:val="00650515"/>
    <w:rsid w:val="006505E0"/>
    <w:rsid w:val="006506F2"/>
    <w:rsid w:val="006508B5"/>
    <w:rsid w:val="00650939"/>
    <w:rsid w:val="00650B52"/>
    <w:rsid w:val="00650B71"/>
    <w:rsid w:val="00650B8D"/>
    <w:rsid w:val="00650BF4"/>
    <w:rsid w:val="00650C26"/>
    <w:rsid w:val="00650D66"/>
    <w:rsid w:val="00651028"/>
    <w:rsid w:val="00651093"/>
    <w:rsid w:val="006511FC"/>
    <w:rsid w:val="00651226"/>
    <w:rsid w:val="00651324"/>
    <w:rsid w:val="006513AA"/>
    <w:rsid w:val="006513D7"/>
    <w:rsid w:val="0065140B"/>
    <w:rsid w:val="00651499"/>
    <w:rsid w:val="0065152C"/>
    <w:rsid w:val="006515BC"/>
    <w:rsid w:val="00651767"/>
    <w:rsid w:val="006517A9"/>
    <w:rsid w:val="0065199E"/>
    <w:rsid w:val="00651B3D"/>
    <w:rsid w:val="00651BFB"/>
    <w:rsid w:val="00651C6F"/>
    <w:rsid w:val="00651D88"/>
    <w:rsid w:val="00651D8D"/>
    <w:rsid w:val="00651ED6"/>
    <w:rsid w:val="00651FFF"/>
    <w:rsid w:val="006520EE"/>
    <w:rsid w:val="0065216E"/>
    <w:rsid w:val="00652199"/>
    <w:rsid w:val="006522E8"/>
    <w:rsid w:val="006523E5"/>
    <w:rsid w:val="00652450"/>
    <w:rsid w:val="0065248B"/>
    <w:rsid w:val="00652782"/>
    <w:rsid w:val="00652933"/>
    <w:rsid w:val="00652949"/>
    <w:rsid w:val="00652C91"/>
    <w:rsid w:val="00652D15"/>
    <w:rsid w:val="00652D33"/>
    <w:rsid w:val="00652E7A"/>
    <w:rsid w:val="00652EB9"/>
    <w:rsid w:val="00653114"/>
    <w:rsid w:val="0065326E"/>
    <w:rsid w:val="00653303"/>
    <w:rsid w:val="0065337D"/>
    <w:rsid w:val="00653488"/>
    <w:rsid w:val="0065355D"/>
    <w:rsid w:val="006535B9"/>
    <w:rsid w:val="006535BC"/>
    <w:rsid w:val="006535C5"/>
    <w:rsid w:val="006535D7"/>
    <w:rsid w:val="006535E8"/>
    <w:rsid w:val="006535FD"/>
    <w:rsid w:val="00653851"/>
    <w:rsid w:val="00653A53"/>
    <w:rsid w:val="00653AF7"/>
    <w:rsid w:val="00653B22"/>
    <w:rsid w:val="00653D77"/>
    <w:rsid w:val="00653DF1"/>
    <w:rsid w:val="00653E57"/>
    <w:rsid w:val="00653F21"/>
    <w:rsid w:val="00653F6B"/>
    <w:rsid w:val="00653FBD"/>
    <w:rsid w:val="00654001"/>
    <w:rsid w:val="00654002"/>
    <w:rsid w:val="0065400A"/>
    <w:rsid w:val="00654081"/>
    <w:rsid w:val="0065416B"/>
    <w:rsid w:val="00654245"/>
    <w:rsid w:val="00654390"/>
    <w:rsid w:val="006543DE"/>
    <w:rsid w:val="006543DF"/>
    <w:rsid w:val="00654449"/>
    <w:rsid w:val="006544D6"/>
    <w:rsid w:val="00654516"/>
    <w:rsid w:val="0065454E"/>
    <w:rsid w:val="00654626"/>
    <w:rsid w:val="0065478A"/>
    <w:rsid w:val="006547BE"/>
    <w:rsid w:val="00654816"/>
    <w:rsid w:val="006548C9"/>
    <w:rsid w:val="006549A5"/>
    <w:rsid w:val="00654A0A"/>
    <w:rsid w:val="00654A89"/>
    <w:rsid w:val="00654F44"/>
    <w:rsid w:val="00654FBC"/>
    <w:rsid w:val="006550B3"/>
    <w:rsid w:val="0065513C"/>
    <w:rsid w:val="00655203"/>
    <w:rsid w:val="00655331"/>
    <w:rsid w:val="00655371"/>
    <w:rsid w:val="00655524"/>
    <w:rsid w:val="00655537"/>
    <w:rsid w:val="0065575A"/>
    <w:rsid w:val="006557A3"/>
    <w:rsid w:val="006558F9"/>
    <w:rsid w:val="00655B92"/>
    <w:rsid w:val="00655C6E"/>
    <w:rsid w:val="00655C81"/>
    <w:rsid w:val="00655CAD"/>
    <w:rsid w:val="00655D6E"/>
    <w:rsid w:val="00655D7C"/>
    <w:rsid w:val="00655FF9"/>
    <w:rsid w:val="006560AF"/>
    <w:rsid w:val="00656128"/>
    <w:rsid w:val="006561D5"/>
    <w:rsid w:val="006562E5"/>
    <w:rsid w:val="00656406"/>
    <w:rsid w:val="00656473"/>
    <w:rsid w:val="00656479"/>
    <w:rsid w:val="006564F9"/>
    <w:rsid w:val="00656711"/>
    <w:rsid w:val="006569E1"/>
    <w:rsid w:val="00656A66"/>
    <w:rsid w:val="00656AAB"/>
    <w:rsid w:val="00656C26"/>
    <w:rsid w:val="00656C71"/>
    <w:rsid w:val="00656CF4"/>
    <w:rsid w:val="00656D79"/>
    <w:rsid w:val="00656F16"/>
    <w:rsid w:val="00656F6C"/>
    <w:rsid w:val="00657004"/>
    <w:rsid w:val="00657021"/>
    <w:rsid w:val="00657029"/>
    <w:rsid w:val="00657094"/>
    <w:rsid w:val="00657229"/>
    <w:rsid w:val="00657345"/>
    <w:rsid w:val="0065747C"/>
    <w:rsid w:val="00657663"/>
    <w:rsid w:val="0065768D"/>
    <w:rsid w:val="006576FE"/>
    <w:rsid w:val="00657775"/>
    <w:rsid w:val="0065788B"/>
    <w:rsid w:val="006578D1"/>
    <w:rsid w:val="006578D3"/>
    <w:rsid w:val="006579E9"/>
    <w:rsid w:val="00657ACF"/>
    <w:rsid w:val="00657BC1"/>
    <w:rsid w:val="00660105"/>
    <w:rsid w:val="0066019D"/>
    <w:rsid w:val="00660295"/>
    <w:rsid w:val="006602AF"/>
    <w:rsid w:val="006602D1"/>
    <w:rsid w:val="0066030A"/>
    <w:rsid w:val="00660416"/>
    <w:rsid w:val="0066041D"/>
    <w:rsid w:val="006604AF"/>
    <w:rsid w:val="006604FD"/>
    <w:rsid w:val="0066071C"/>
    <w:rsid w:val="0066075F"/>
    <w:rsid w:val="00660999"/>
    <w:rsid w:val="00660A8A"/>
    <w:rsid w:val="00660B04"/>
    <w:rsid w:val="00660BE8"/>
    <w:rsid w:val="00660C7B"/>
    <w:rsid w:val="00660CED"/>
    <w:rsid w:val="00660D34"/>
    <w:rsid w:val="00660F93"/>
    <w:rsid w:val="00661087"/>
    <w:rsid w:val="00661115"/>
    <w:rsid w:val="0066133D"/>
    <w:rsid w:val="0066154A"/>
    <w:rsid w:val="006616C1"/>
    <w:rsid w:val="0066189C"/>
    <w:rsid w:val="006619CB"/>
    <w:rsid w:val="006619E0"/>
    <w:rsid w:val="00661B9E"/>
    <w:rsid w:val="00661BBC"/>
    <w:rsid w:val="00661D8B"/>
    <w:rsid w:val="00661ED7"/>
    <w:rsid w:val="00661F15"/>
    <w:rsid w:val="00661F45"/>
    <w:rsid w:val="0066203C"/>
    <w:rsid w:val="00662048"/>
    <w:rsid w:val="0066204F"/>
    <w:rsid w:val="006620BB"/>
    <w:rsid w:val="0066216E"/>
    <w:rsid w:val="00662179"/>
    <w:rsid w:val="00662180"/>
    <w:rsid w:val="0066218F"/>
    <w:rsid w:val="006621D6"/>
    <w:rsid w:val="0066238D"/>
    <w:rsid w:val="0066243B"/>
    <w:rsid w:val="006624A7"/>
    <w:rsid w:val="00662852"/>
    <w:rsid w:val="006629E8"/>
    <w:rsid w:val="006629FE"/>
    <w:rsid w:val="00662A32"/>
    <w:rsid w:val="00662A7C"/>
    <w:rsid w:val="00662B16"/>
    <w:rsid w:val="00662B7B"/>
    <w:rsid w:val="00662BA9"/>
    <w:rsid w:val="00662BF2"/>
    <w:rsid w:val="00662BFF"/>
    <w:rsid w:val="00662C82"/>
    <w:rsid w:val="00662DF8"/>
    <w:rsid w:val="00662E21"/>
    <w:rsid w:val="00662EFC"/>
    <w:rsid w:val="00662F4F"/>
    <w:rsid w:val="00662F7B"/>
    <w:rsid w:val="00663083"/>
    <w:rsid w:val="0066319D"/>
    <w:rsid w:val="00663262"/>
    <w:rsid w:val="0066334D"/>
    <w:rsid w:val="006634FF"/>
    <w:rsid w:val="006635A7"/>
    <w:rsid w:val="006635D1"/>
    <w:rsid w:val="006637A3"/>
    <w:rsid w:val="0066386A"/>
    <w:rsid w:val="0066392D"/>
    <w:rsid w:val="00663955"/>
    <w:rsid w:val="00663A24"/>
    <w:rsid w:val="00663B32"/>
    <w:rsid w:val="00663C0F"/>
    <w:rsid w:val="00663C7E"/>
    <w:rsid w:val="00663CA8"/>
    <w:rsid w:val="00663FCA"/>
    <w:rsid w:val="006640CB"/>
    <w:rsid w:val="00664260"/>
    <w:rsid w:val="00664301"/>
    <w:rsid w:val="0066431B"/>
    <w:rsid w:val="00664435"/>
    <w:rsid w:val="00664441"/>
    <w:rsid w:val="0066448E"/>
    <w:rsid w:val="0066460D"/>
    <w:rsid w:val="006646A4"/>
    <w:rsid w:val="006646C8"/>
    <w:rsid w:val="00664871"/>
    <w:rsid w:val="00664983"/>
    <w:rsid w:val="006649B2"/>
    <w:rsid w:val="00664A65"/>
    <w:rsid w:val="00664B14"/>
    <w:rsid w:val="00664B54"/>
    <w:rsid w:val="00664E48"/>
    <w:rsid w:val="00664E7A"/>
    <w:rsid w:val="00664F11"/>
    <w:rsid w:val="0066501D"/>
    <w:rsid w:val="006651BA"/>
    <w:rsid w:val="006651C4"/>
    <w:rsid w:val="006651E1"/>
    <w:rsid w:val="00665367"/>
    <w:rsid w:val="006654D5"/>
    <w:rsid w:val="006654E1"/>
    <w:rsid w:val="00665576"/>
    <w:rsid w:val="00665618"/>
    <w:rsid w:val="00665704"/>
    <w:rsid w:val="00665744"/>
    <w:rsid w:val="00665769"/>
    <w:rsid w:val="00665B13"/>
    <w:rsid w:val="00665B42"/>
    <w:rsid w:val="00665B79"/>
    <w:rsid w:val="00665DD9"/>
    <w:rsid w:val="00665E6B"/>
    <w:rsid w:val="00665EE4"/>
    <w:rsid w:val="0066607F"/>
    <w:rsid w:val="0066631C"/>
    <w:rsid w:val="0066640C"/>
    <w:rsid w:val="0066641B"/>
    <w:rsid w:val="0066641E"/>
    <w:rsid w:val="0066644F"/>
    <w:rsid w:val="006664C5"/>
    <w:rsid w:val="006664DD"/>
    <w:rsid w:val="00666553"/>
    <w:rsid w:val="006665B7"/>
    <w:rsid w:val="00666608"/>
    <w:rsid w:val="0066660A"/>
    <w:rsid w:val="0066663C"/>
    <w:rsid w:val="006666D0"/>
    <w:rsid w:val="006666F6"/>
    <w:rsid w:val="00666903"/>
    <w:rsid w:val="00666A2C"/>
    <w:rsid w:val="00666C43"/>
    <w:rsid w:val="00666C8C"/>
    <w:rsid w:val="00666D94"/>
    <w:rsid w:val="00666E03"/>
    <w:rsid w:val="00666E51"/>
    <w:rsid w:val="006671CB"/>
    <w:rsid w:val="00667558"/>
    <w:rsid w:val="006676FF"/>
    <w:rsid w:val="00667724"/>
    <w:rsid w:val="00667933"/>
    <w:rsid w:val="006679A0"/>
    <w:rsid w:val="006679D6"/>
    <w:rsid w:val="006679E7"/>
    <w:rsid w:val="00667A14"/>
    <w:rsid w:val="00667AD7"/>
    <w:rsid w:val="00667B40"/>
    <w:rsid w:val="00667B58"/>
    <w:rsid w:val="00667C0F"/>
    <w:rsid w:val="00667CC6"/>
    <w:rsid w:val="00667DAE"/>
    <w:rsid w:val="00667DC8"/>
    <w:rsid w:val="00667DCA"/>
    <w:rsid w:val="00667FB1"/>
    <w:rsid w:val="00667FB6"/>
    <w:rsid w:val="00670199"/>
    <w:rsid w:val="00670413"/>
    <w:rsid w:val="00670496"/>
    <w:rsid w:val="0067051D"/>
    <w:rsid w:val="006706DD"/>
    <w:rsid w:val="00670743"/>
    <w:rsid w:val="0067074A"/>
    <w:rsid w:val="006707BB"/>
    <w:rsid w:val="006707DB"/>
    <w:rsid w:val="006709E1"/>
    <w:rsid w:val="006709F1"/>
    <w:rsid w:val="006709F9"/>
    <w:rsid w:val="00670AF6"/>
    <w:rsid w:val="00670BBA"/>
    <w:rsid w:val="00670BBB"/>
    <w:rsid w:val="00670CD4"/>
    <w:rsid w:val="00670E5F"/>
    <w:rsid w:val="00671318"/>
    <w:rsid w:val="00671354"/>
    <w:rsid w:val="006713EC"/>
    <w:rsid w:val="0067166D"/>
    <w:rsid w:val="006718E5"/>
    <w:rsid w:val="00671A1E"/>
    <w:rsid w:val="00671A36"/>
    <w:rsid w:val="00671B0F"/>
    <w:rsid w:val="00671D17"/>
    <w:rsid w:val="00671D2A"/>
    <w:rsid w:val="00671D36"/>
    <w:rsid w:val="00671DDF"/>
    <w:rsid w:val="00671E91"/>
    <w:rsid w:val="00671EAF"/>
    <w:rsid w:val="00672040"/>
    <w:rsid w:val="006720CB"/>
    <w:rsid w:val="00672146"/>
    <w:rsid w:val="0067234E"/>
    <w:rsid w:val="00672375"/>
    <w:rsid w:val="006723D0"/>
    <w:rsid w:val="006723D9"/>
    <w:rsid w:val="00672474"/>
    <w:rsid w:val="00672508"/>
    <w:rsid w:val="0067250C"/>
    <w:rsid w:val="00672535"/>
    <w:rsid w:val="0067265B"/>
    <w:rsid w:val="006726E9"/>
    <w:rsid w:val="0067281E"/>
    <w:rsid w:val="006728CC"/>
    <w:rsid w:val="00672A34"/>
    <w:rsid w:val="00672A9E"/>
    <w:rsid w:val="00672B1C"/>
    <w:rsid w:val="00672B4B"/>
    <w:rsid w:val="00672B4C"/>
    <w:rsid w:val="00672BBB"/>
    <w:rsid w:val="00672C56"/>
    <w:rsid w:val="00672C7A"/>
    <w:rsid w:val="00672CFC"/>
    <w:rsid w:val="00672D01"/>
    <w:rsid w:val="00672EC3"/>
    <w:rsid w:val="00672F62"/>
    <w:rsid w:val="00672FAD"/>
    <w:rsid w:val="00673054"/>
    <w:rsid w:val="006731CA"/>
    <w:rsid w:val="00673342"/>
    <w:rsid w:val="0067334B"/>
    <w:rsid w:val="0067339A"/>
    <w:rsid w:val="0067380F"/>
    <w:rsid w:val="0067390B"/>
    <w:rsid w:val="0067393D"/>
    <w:rsid w:val="00673955"/>
    <w:rsid w:val="006739E5"/>
    <w:rsid w:val="00673CE0"/>
    <w:rsid w:val="00673D99"/>
    <w:rsid w:val="00673DB7"/>
    <w:rsid w:val="00673E75"/>
    <w:rsid w:val="00673E90"/>
    <w:rsid w:val="00673F27"/>
    <w:rsid w:val="00673FB4"/>
    <w:rsid w:val="0067407E"/>
    <w:rsid w:val="006740F7"/>
    <w:rsid w:val="00674258"/>
    <w:rsid w:val="0067440B"/>
    <w:rsid w:val="00674417"/>
    <w:rsid w:val="0067444F"/>
    <w:rsid w:val="00674523"/>
    <w:rsid w:val="0067454A"/>
    <w:rsid w:val="00674610"/>
    <w:rsid w:val="0067471A"/>
    <w:rsid w:val="00674A7D"/>
    <w:rsid w:val="00674CF9"/>
    <w:rsid w:val="00674D02"/>
    <w:rsid w:val="00674E18"/>
    <w:rsid w:val="00674E74"/>
    <w:rsid w:val="00674F18"/>
    <w:rsid w:val="006750D4"/>
    <w:rsid w:val="006751BA"/>
    <w:rsid w:val="00675221"/>
    <w:rsid w:val="00675233"/>
    <w:rsid w:val="00675251"/>
    <w:rsid w:val="00675382"/>
    <w:rsid w:val="006754FB"/>
    <w:rsid w:val="00675528"/>
    <w:rsid w:val="00675625"/>
    <w:rsid w:val="00675668"/>
    <w:rsid w:val="00675757"/>
    <w:rsid w:val="006757E6"/>
    <w:rsid w:val="00675839"/>
    <w:rsid w:val="0067583D"/>
    <w:rsid w:val="006759CF"/>
    <w:rsid w:val="00675A4C"/>
    <w:rsid w:val="00675A54"/>
    <w:rsid w:val="00675AA6"/>
    <w:rsid w:val="00675B0F"/>
    <w:rsid w:val="00675B3F"/>
    <w:rsid w:val="00675BB6"/>
    <w:rsid w:val="00675C1F"/>
    <w:rsid w:val="00675C93"/>
    <w:rsid w:val="00675D35"/>
    <w:rsid w:val="00675D43"/>
    <w:rsid w:val="00675DBD"/>
    <w:rsid w:val="00675E97"/>
    <w:rsid w:val="00675F9B"/>
    <w:rsid w:val="00676000"/>
    <w:rsid w:val="00676193"/>
    <w:rsid w:val="006761AC"/>
    <w:rsid w:val="00676226"/>
    <w:rsid w:val="0067635C"/>
    <w:rsid w:val="00676584"/>
    <w:rsid w:val="006765E7"/>
    <w:rsid w:val="00676663"/>
    <w:rsid w:val="006766EB"/>
    <w:rsid w:val="006767FB"/>
    <w:rsid w:val="0067685B"/>
    <w:rsid w:val="00676879"/>
    <w:rsid w:val="00676926"/>
    <w:rsid w:val="0067697B"/>
    <w:rsid w:val="00676A0C"/>
    <w:rsid w:val="00676A81"/>
    <w:rsid w:val="00676A90"/>
    <w:rsid w:val="00676AD3"/>
    <w:rsid w:val="00676B95"/>
    <w:rsid w:val="00676BCD"/>
    <w:rsid w:val="00676C6F"/>
    <w:rsid w:val="00676CFB"/>
    <w:rsid w:val="00676D8E"/>
    <w:rsid w:val="00676E58"/>
    <w:rsid w:val="00676E61"/>
    <w:rsid w:val="00676EC8"/>
    <w:rsid w:val="00676F09"/>
    <w:rsid w:val="00676F59"/>
    <w:rsid w:val="00676FAF"/>
    <w:rsid w:val="00676FD6"/>
    <w:rsid w:val="006772CA"/>
    <w:rsid w:val="00677599"/>
    <w:rsid w:val="00677629"/>
    <w:rsid w:val="00677658"/>
    <w:rsid w:val="00677720"/>
    <w:rsid w:val="00677839"/>
    <w:rsid w:val="0067788F"/>
    <w:rsid w:val="00677D09"/>
    <w:rsid w:val="00677D7A"/>
    <w:rsid w:val="00677E42"/>
    <w:rsid w:val="00677ED2"/>
    <w:rsid w:val="006800E7"/>
    <w:rsid w:val="006800E8"/>
    <w:rsid w:val="0068029B"/>
    <w:rsid w:val="006803C8"/>
    <w:rsid w:val="00680433"/>
    <w:rsid w:val="00680517"/>
    <w:rsid w:val="006805A3"/>
    <w:rsid w:val="00680633"/>
    <w:rsid w:val="006807E2"/>
    <w:rsid w:val="006809B4"/>
    <w:rsid w:val="006809BF"/>
    <w:rsid w:val="00680AF5"/>
    <w:rsid w:val="00680B45"/>
    <w:rsid w:val="00680D1D"/>
    <w:rsid w:val="00680F3C"/>
    <w:rsid w:val="00681087"/>
    <w:rsid w:val="006810F4"/>
    <w:rsid w:val="006812C2"/>
    <w:rsid w:val="006812F6"/>
    <w:rsid w:val="0068148F"/>
    <w:rsid w:val="00681505"/>
    <w:rsid w:val="00681532"/>
    <w:rsid w:val="00681535"/>
    <w:rsid w:val="00681586"/>
    <w:rsid w:val="00681716"/>
    <w:rsid w:val="0068181D"/>
    <w:rsid w:val="00681B9F"/>
    <w:rsid w:val="00681D18"/>
    <w:rsid w:val="00681E03"/>
    <w:rsid w:val="00681EF1"/>
    <w:rsid w:val="00681F99"/>
    <w:rsid w:val="00681FB1"/>
    <w:rsid w:val="00681FF5"/>
    <w:rsid w:val="00682004"/>
    <w:rsid w:val="00682130"/>
    <w:rsid w:val="0068236F"/>
    <w:rsid w:val="0068249C"/>
    <w:rsid w:val="0068265F"/>
    <w:rsid w:val="006826FA"/>
    <w:rsid w:val="0068289F"/>
    <w:rsid w:val="00682918"/>
    <w:rsid w:val="00682941"/>
    <w:rsid w:val="00682C61"/>
    <w:rsid w:val="00682E40"/>
    <w:rsid w:val="00683076"/>
    <w:rsid w:val="00683284"/>
    <w:rsid w:val="006837A7"/>
    <w:rsid w:val="006837E5"/>
    <w:rsid w:val="00683839"/>
    <w:rsid w:val="006838FA"/>
    <w:rsid w:val="006839CC"/>
    <w:rsid w:val="00683A12"/>
    <w:rsid w:val="00683AC1"/>
    <w:rsid w:val="00683B0E"/>
    <w:rsid w:val="00683B4A"/>
    <w:rsid w:val="00683C39"/>
    <w:rsid w:val="00683CC2"/>
    <w:rsid w:val="00683CD5"/>
    <w:rsid w:val="00683E1B"/>
    <w:rsid w:val="006840BD"/>
    <w:rsid w:val="00684149"/>
    <w:rsid w:val="0068424E"/>
    <w:rsid w:val="0068426C"/>
    <w:rsid w:val="006842E3"/>
    <w:rsid w:val="00684399"/>
    <w:rsid w:val="006843E8"/>
    <w:rsid w:val="00684649"/>
    <w:rsid w:val="006846C1"/>
    <w:rsid w:val="006847B2"/>
    <w:rsid w:val="006847B8"/>
    <w:rsid w:val="006848A6"/>
    <w:rsid w:val="006849F8"/>
    <w:rsid w:val="00684A3C"/>
    <w:rsid w:val="00684CD3"/>
    <w:rsid w:val="00684CE4"/>
    <w:rsid w:val="00684DFA"/>
    <w:rsid w:val="00684E22"/>
    <w:rsid w:val="00684EEA"/>
    <w:rsid w:val="00684FF7"/>
    <w:rsid w:val="006850EB"/>
    <w:rsid w:val="006851FB"/>
    <w:rsid w:val="0068523D"/>
    <w:rsid w:val="00685276"/>
    <w:rsid w:val="0068528E"/>
    <w:rsid w:val="006852E2"/>
    <w:rsid w:val="0068537B"/>
    <w:rsid w:val="0068556C"/>
    <w:rsid w:val="006856AA"/>
    <w:rsid w:val="0068570B"/>
    <w:rsid w:val="00685776"/>
    <w:rsid w:val="006859FD"/>
    <w:rsid w:val="00685A1B"/>
    <w:rsid w:val="00685B23"/>
    <w:rsid w:val="00685BCF"/>
    <w:rsid w:val="00685C76"/>
    <w:rsid w:val="00685CCC"/>
    <w:rsid w:val="00685D3B"/>
    <w:rsid w:val="00685D76"/>
    <w:rsid w:val="00685E5F"/>
    <w:rsid w:val="00685FEC"/>
    <w:rsid w:val="0068636B"/>
    <w:rsid w:val="006863AF"/>
    <w:rsid w:val="0068642B"/>
    <w:rsid w:val="0068649C"/>
    <w:rsid w:val="006865FC"/>
    <w:rsid w:val="00686702"/>
    <w:rsid w:val="006867F9"/>
    <w:rsid w:val="00686821"/>
    <w:rsid w:val="00686887"/>
    <w:rsid w:val="006869D4"/>
    <w:rsid w:val="00686B44"/>
    <w:rsid w:val="00686BF0"/>
    <w:rsid w:val="00686D1D"/>
    <w:rsid w:val="00686D1F"/>
    <w:rsid w:val="00686D3B"/>
    <w:rsid w:val="00686F32"/>
    <w:rsid w:val="0068703A"/>
    <w:rsid w:val="006870E0"/>
    <w:rsid w:val="006871AE"/>
    <w:rsid w:val="006872F7"/>
    <w:rsid w:val="00687319"/>
    <w:rsid w:val="00687653"/>
    <w:rsid w:val="006876D5"/>
    <w:rsid w:val="0068772C"/>
    <w:rsid w:val="006878FB"/>
    <w:rsid w:val="00687957"/>
    <w:rsid w:val="00687AE1"/>
    <w:rsid w:val="00687AFA"/>
    <w:rsid w:val="00687B2E"/>
    <w:rsid w:val="00687E6E"/>
    <w:rsid w:val="00687F8C"/>
    <w:rsid w:val="00687FB2"/>
    <w:rsid w:val="00687FC5"/>
    <w:rsid w:val="00687FF8"/>
    <w:rsid w:val="00690187"/>
    <w:rsid w:val="006901DB"/>
    <w:rsid w:val="0069021B"/>
    <w:rsid w:val="0069035C"/>
    <w:rsid w:val="00690563"/>
    <w:rsid w:val="0069064E"/>
    <w:rsid w:val="0069075C"/>
    <w:rsid w:val="00690813"/>
    <w:rsid w:val="00690A1D"/>
    <w:rsid w:val="00690AD1"/>
    <w:rsid w:val="00690BFC"/>
    <w:rsid w:val="00690C31"/>
    <w:rsid w:val="00690D40"/>
    <w:rsid w:val="00690E09"/>
    <w:rsid w:val="00690E56"/>
    <w:rsid w:val="00690EE7"/>
    <w:rsid w:val="00691099"/>
    <w:rsid w:val="0069136C"/>
    <w:rsid w:val="00691409"/>
    <w:rsid w:val="00691465"/>
    <w:rsid w:val="006915F4"/>
    <w:rsid w:val="00691833"/>
    <w:rsid w:val="006918B2"/>
    <w:rsid w:val="006918E7"/>
    <w:rsid w:val="00691965"/>
    <w:rsid w:val="00691968"/>
    <w:rsid w:val="00691BE4"/>
    <w:rsid w:val="00691DA1"/>
    <w:rsid w:val="00691EBC"/>
    <w:rsid w:val="00691F5E"/>
    <w:rsid w:val="00691FA5"/>
    <w:rsid w:val="006920D9"/>
    <w:rsid w:val="006920E2"/>
    <w:rsid w:val="0069214D"/>
    <w:rsid w:val="0069222A"/>
    <w:rsid w:val="00692250"/>
    <w:rsid w:val="006922D5"/>
    <w:rsid w:val="0069242E"/>
    <w:rsid w:val="006924DD"/>
    <w:rsid w:val="00692615"/>
    <w:rsid w:val="00692764"/>
    <w:rsid w:val="006928A3"/>
    <w:rsid w:val="00692ACB"/>
    <w:rsid w:val="00692B0E"/>
    <w:rsid w:val="00692C10"/>
    <w:rsid w:val="00692D44"/>
    <w:rsid w:val="00692F7C"/>
    <w:rsid w:val="00693175"/>
    <w:rsid w:val="00693184"/>
    <w:rsid w:val="00693240"/>
    <w:rsid w:val="00693282"/>
    <w:rsid w:val="0069343D"/>
    <w:rsid w:val="00693778"/>
    <w:rsid w:val="006938ED"/>
    <w:rsid w:val="00693A6E"/>
    <w:rsid w:val="00693FAE"/>
    <w:rsid w:val="00693FCA"/>
    <w:rsid w:val="0069405A"/>
    <w:rsid w:val="006942C8"/>
    <w:rsid w:val="006943F8"/>
    <w:rsid w:val="0069445B"/>
    <w:rsid w:val="0069448C"/>
    <w:rsid w:val="006944E1"/>
    <w:rsid w:val="0069451B"/>
    <w:rsid w:val="006946C8"/>
    <w:rsid w:val="006949D0"/>
    <w:rsid w:val="00694A21"/>
    <w:rsid w:val="00694B3E"/>
    <w:rsid w:val="00694B66"/>
    <w:rsid w:val="00694CBE"/>
    <w:rsid w:val="00694D38"/>
    <w:rsid w:val="00694D55"/>
    <w:rsid w:val="00694F8D"/>
    <w:rsid w:val="00694FCA"/>
    <w:rsid w:val="006950A3"/>
    <w:rsid w:val="0069513E"/>
    <w:rsid w:val="0069517D"/>
    <w:rsid w:val="006952B7"/>
    <w:rsid w:val="00695380"/>
    <w:rsid w:val="006954F4"/>
    <w:rsid w:val="00695561"/>
    <w:rsid w:val="00695610"/>
    <w:rsid w:val="00695731"/>
    <w:rsid w:val="00695814"/>
    <w:rsid w:val="00695A40"/>
    <w:rsid w:val="00695B85"/>
    <w:rsid w:val="00695C4A"/>
    <w:rsid w:val="00695C91"/>
    <w:rsid w:val="00695D68"/>
    <w:rsid w:val="00695FB6"/>
    <w:rsid w:val="0069617E"/>
    <w:rsid w:val="006961DD"/>
    <w:rsid w:val="00696572"/>
    <w:rsid w:val="00696584"/>
    <w:rsid w:val="0069664C"/>
    <w:rsid w:val="006966D4"/>
    <w:rsid w:val="00696737"/>
    <w:rsid w:val="00696864"/>
    <w:rsid w:val="0069689D"/>
    <w:rsid w:val="006969FE"/>
    <w:rsid w:val="00696A01"/>
    <w:rsid w:val="00696B09"/>
    <w:rsid w:val="00696B46"/>
    <w:rsid w:val="00696BE8"/>
    <w:rsid w:val="00696CED"/>
    <w:rsid w:val="00696D32"/>
    <w:rsid w:val="00696F55"/>
    <w:rsid w:val="00696FF0"/>
    <w:rsid w:val="00696FFA"/>
    <w:rsid w:val="0069711E"/>
    <w:rsid w:val="00697138"/>
    <w:rsid w:val="00697173"/>
    <w:rsid w:val="006971E2"/>
    <w:rsid w:val="006974A8"/>
    <w:rsid w:val="006974B4"/>
    <w:rsid w:val="0069765E"/>
    <w:rsid w:val="00697687"/>
    <w:rsid w:val="006976FF"/>
    <w:rsid w:val="00697707"/>
    <w:rsid w:val="00697748"/>
    <w:rsid w:val="006977C2"/>
    <w:rsid w:val="00697A0E"/>
    <w:rsid w:val="00697A7E"/>
    <w:rsid w:val="00697A88"/>
    <w:rsid w:val="00697AFC"/>
    <w:rsid w:val="00697B32"/>
    <w:rsid w:val="00697D4C"/>
    <w:rsid w:val="00697E70"/>
    <w:rsid w:val="00697E76"/>
    <w:rsid w:val="00697F9F"/>
    <w:rsid w:val="006A00A0"/>
    <w:rsid w:val="006A0156"/>
    <w:rsid w:val="006A015E"/>
    <w:rsid w:val="006A02FD"/>
    <w:rsid w:val="006A0368"/>
    <w:rsid w:val="006A04B4"/>
    <w:rsid w:val="006A0504"/>
    <w:rsid w:val="006A056C"/>
    <w:rsid w:val="006A0611"/>
    <w:rsid w:val="006A0645"/>
    <w:rsid w:val="006A0713"/>
    <w:rsid w:val="006A07D3"/>
    <w:rsid w:val="006A07EC"/>
    <w:rsid w:val="006A09A5"/>
    <w:rsid w:val="006A0A4E"/>
    <w:rsid w:val="006A0A6B"/>
    <w:rsid w:val="006A0C13"/>
    <w:rsid w:val="006A0D28"/>
    <w:rsid w:val="006A0E1C"/>
    <w:rsid w:val="006A0E35"/>
    <w:rsid w:val="006A0E45"/>
    <w:rsid w:val="006A0FEF"/>
    <w:rsid w:val="006A106A"/>
    <w:rsid w:val="006A1125"/>
    <w:rsid w:val="006A1197"/>
    <w:rsid w:val="006A1214"/>
    <w:rsid w:val="006A1314"/>
    <w:rsid w:val="006A1604"/>
    <w:rsid w:val="006A16CB"/>
    <w:rsid w:val="006A16D2"/>
    <w:rsid w:val="006A1737"/>
    <w:rsid w:val="006A1A2E"/>
    <w:rsid w:val="006A1A31"/>
    <w:rsid w:val="006A1AF3"/>
    <w:rsid w:val="006A1B3C"/>
    <w:rsid w:val="006A1BDD"/>
    <w:rsid w:val="006A1BFB"/>
    <w:rsid w:val="006A1BFC"/>
    <w:rsid w:val="006A1C88"/>
    <w:rsid w:val="006A1CD7"/>
    <w:rsid w:val="006A1DA7"/>
    <w:rsid w:val="006A1F8C"/>
    <w:rsid w:val="006A20CC"/>
    <w:rsid w:val="006A212B"/>
    <w:rsid w:val="006A2200"/>
    <w:rsid w:val="006A228B"/>
    <w:rsid w:val="006A229B"/>
    <w:rsid w:val="006A22AD"/>
    <w:rsid w:val="006A2314"/>
    <w:rsid w:val="006A2366"/>
    <w:rsid w:val="006A2374"/>
    <w:rsid w:val="006A2397"/>
    <w:rsid w:val="006A23F3"/>
    <w:rsid w:val="006A2483"/>
    <w:rsid w:val="006A288A"/>
    <w:rsid w:val="006A2912"/>
    <w:rsid w:val="006A2942"/>
    <w:rsid w:val="006A2A39"/>
    <w:rsid w:val="006A2B2E"/>
    <w:rsid w:val="006A2BE8"/>
    <w:rsid w:val="006A2E96"/>
    <w:rsid w:val="006A2FAB"/>
    <w:rsid w:val="006A2FE4"/>
    <w:rsid w:val="006A2FF9"/>
    <w:rsid w:val="006A303F"/>
    <w:rsid w:val="006A3375"/>
    <w:rsid w:val="006A342B"/>
    <w:rsid w:val="006A3506"/>
    <w:rsid w:val="006A352C"/>
    <w:rsid w:val="006A3537"/>
    <w:rsid w:val="006A35DD"/>
    <w:rsid w:val="006A36E3"/>
    <w:rsid w:val="006A3830"/>
    <w:rsid w:val="006A386E"/>
    <w:rsid w:val="006A38C9"/>
    <w:rsid w:val="006A3A13"/>
    <w:rsid w:val="006A3A86"/>
    <w:rsid w:val="006A3BE0"/>
    <w:rsid w:val="006A3CC6"/>
    <w:rsid w:val="006A3EB9"/>
    <w:rsid w:val="006A3F61"/>
    <w:rsid w:val="006A4067"/>
    <w:rsid w:val="006A4153"/>
    <w:rsid w:val="006A419B"/>
    <w:rsid w:val="006A41DD"/>
    <w:rsid w:val="006A4226"/>
    <w:rsid w:val="006A426D"/>
    <w:rsid w:val="006A4424"/>
    <w:rsid w:val="006A445A"/>
    <w:rsid w:val="006A44CD"/>
    <w:rsid w:val="006A44D1"/>
    <w:rsid w:val="006A45CB"/>
    <w:rsid w:val="006A45FF"/>
    <w:rsid w:val="006A4646"/>
    <w:rsid w:val="006A4656"/>
    <w:rsid w:val="006A4670"/>
    <w:rsid w:val="006A46A4"/>
    <w:rsid w:val="006A4722"/>
    <w:rsid w:val="006A4741"/>
    <w:rsid w:val="006A478C"/>
    <w:rsid w:val="006A487A"/>
    <w:rsid w:val="006A492F"/>
    <w:rsid w:val="006A4931"/>
    <w:rsid w:val="006A4AF1"/>
    <w:rsid w:val="006A4B82"/>
    <w:rsid w:val="006A4C06"/>
    <w:rsid w:val="006A4D2B"/>
    <w:rsid w:val="006A4D96"/>
    <w:rsid w:val="006A4E52"/>
    <w:rsid w:val="006A4E95"/>
    <w:rsid w:val="006A4EE3"/>
    <w:rsid w:val="006A52D6"/>
    <w:rsid w:val="006A5398"/>
    <w:rsid w:val="006A542B"/>
    <w:rsid w:val="006A54AF"/>
    <w:rsid w:val="006A54C9"/>
    <w:rsid w:val="006A54EE"/>
    <w:rsid w:val="006A576A"/>
    <w:rsid w:val="006A57BB"/>
    <w:rsid w:val="006A58CF"/>
    <w:rsid w:val="006A58F9"/>
    <w:rsid w:val="006A5B48"/>
    <w:rsid w:val="006A5B9F"/>
    <w:rsid w:val="006A5C15"/>
    <w:rsid w:val="006A5CFF"/>
    <w:rsid w:val="006A5FAD"/>
    <w:rsid w:val="006A5FF7"/>
    <w:rsid w:val="006A601D"/>
    <w:rsid w:val="006A6112"/>
    <w:rsid w:val="006A61AD"/>
    <w:rsid w:val="006A620D"/>
    <w:rsid w:val="006A63BB"/>
    <w:rsid w:val="006A6408"/>
    <w:rsid w:val="006A6473"/>
    <w:rsid w:val="006A64B8"/>
    <w:rsid w:val="006A64ED"/>
    <w:rsid w:val="006A650B"/>
    <w:rsid w:val="006A654C"/>
    <w:rsid w:val="006A659D"/>
    <w:rsid w:val="006A6671"/>
    <w:rsid w:val="006A679E"/>
    <w:rsid w:val="006A680A"/>
    <w:rsid w:val="006A685F"/>
    <w:rsid w:val="006A6A36"/>
    <w:rsid w:val="006A6B62"/>
    <w:rsid w:val="006A6B71"/>
    <w:rsid w:val="006A6DF3"/>
    <w:rsid w:val="006A6F6E"/>
    <w:rsid w:val="006A6F87"/>
    <w:rsid w:val="006A70DA"/>
    <w:rsid w:val="006A71A9"/>
    <w:rsid w:val="006A71F1"/>
    <w:rsid w:val="006A722E"/>
    <w:rsid w:val="006A7240"/>
    <w:rsid w:val="006A74B5"/>
    <w:rsid w:val="006A7643"/>
    <w:rsid w:val="006A77A1"/>
    <w:rsid w:val="006A77EB"/>
    <w:rsid w:val="006A77F2"/>
    <w:rsid w:val="006A7851"/>
    <w:rsid w:val="006A78D1"/>
    <w:rsid w:val="006A7C62"/>
    <w:rsid w:val="006A7FDF"/>
    <w:rsid w:val="006B0159"/>
    <w:rsid w:val="006B0289"/>
    <w:rsid w:val="006B0366"/>
    <w:rsid w:val="006B0378"/>
    <w:rsid w:val="006B0526"/>
    <w:rsid w:val="006B060E"/>
    <w:rsid w:val="006B0613"/>
    <w:rsid w:val="006B0735"/>
    <w:rsid w:val="006B088C"/>
    <w:rsid w:val="006B0951"/>
    <w:rsid w:val="006B0C31"/>
    <w:rsid w:val="006B0D94"/>
    <w:rsid w:val="006B0DFF"/>
    <w:rsid w:val="006B0E43"/>
    <w:rsid w:val="006B0E96"/>
    <w:rsid w:val="006B0E98"/>
    <w:rsid w:val="006B0F08"/>
    <w:rsid w:val="006B106D"/>
    <w:rsid w:val="006B1106"/>
    <w:rsid w:val="006B1341"/>
    <w:rsid w:val="006B13AE"/>
    <w:rsid w:val="006B1422"/>
    <w:rsid w:val="006B15CE"/>
    <w:rsid w:val="006B1619"/>
    <w:rsid w:val="006B1640"/>
    <w:rsid w:val="006B1840"/>
    <w:rsid w:val="006B18AC"/>
    <w:rsid w:val="006B198D"/>
    <w:rsid w:val="006B1A8B"/>
    <w:rsid w:val="006B1AEA"/>
    <w:rsid w:val="006B1B41"/>
    <w:rsid w:val="006B1B46"/>
    <w:rsid w:val="006B1B48"/>
    <w:rsid w:val="006B1BCC"/>
    <w:rsid w:val="006B1D30"/>
    <w:rsid w:val="006B1DB0"/>
    <w:rsid w:val="006B1E25"/>
    <w:rsid w:val="006B1E45"/>
    <w:rsid w:val="006B1EC4"/>
    <w:rsid w:val="006B1F1E"/>
    <w:rsid w:val="006B1F3E"/>
    <w:rsid w:val="006B2097"/>
    <w:rsid w:val="006B21A4"/>
    <w:rsid w:val="006B2221"/>
    <w:rsid w:val="006B22FD"/>
    <w:rsid w:val="006B2369"/>
    <w:rsid w:val="006B23A8"/>
    <w:rsid w:val="006B255F"/>
    <w:rsid w:val="006B28DA"/>
    <w:rsid w:val="006B29D9"/>
    <w:rsid w:val="006B2B67"/>
    <w:rsid w:val="006B2B73"/>
    <w:rsid w:val="006B2BD4"/>
    <w:rsid w:val="006B307E"/>
    <w:rsid w:val="006B3192"/>
    <w:rsid w:val="006B3207"/>
    <w:rsid w:val="006B3265"/>
    <w:rsid w:val="006B3362"/>
    <w:rsid w:val="006B3369"/>
    <w:rsid w:val="006B338A"/>
    <w:rsid w:val="006B3566"/>
    <w:rsid w:val="006B36A8"/>
    <w:rsid w:val="006B36C6"/>
    <w:rsid w:val="006B3716"/>
    <w:rsid w:val="006B3727"/>
    <w:rsid w:val="006B3746"/>
    <w:rsid w:val="006B376C"/>
    <w:rsid w:val="006B37DD"/>
    <w:rsid w:val="006B384F"/>
    <w:rsid w:val="006B38D5"/>
    <w:rsid w:val="006B3934"/>
    <w:rsid w:val="006B3962"/>
    <w:rsid w:val="006B3B74"/>
    <w:rsid w:val="006B3C1F"/>
    <w:rsid w:val="006B3D99"/>
    <w:rsid w:val="006B3E5A"/>
    <w:rsid w:val="006B4014"/>
    <w:rsid w:val="006B4155"/>
    <w:rsid w:val="006B4159"/>
    <w:rsid w:val="006B42FF"/>
    <w:rsid w:val="006B4382"/>
    <w:rsid w:val="006B44E0"/>
    <w:rsid w:val="006B469E"/>
    <w:rsid w:val="006B471C"/>
    <w:rsid w:val="006B4731"/>
    <w:rsid w:val="006B4765"/>
    <w:rsid w:val="006B4957"/>
    <w:rsid w:val="006B4975"/>
    <w:rsid w:val="006B4F10"/>
    <w:rsid w:val="006B4FF7"/>
    <w:rsid w:val="006B5123"/>
    <w:rsid w:val="006B521F"/>
    <w:rsid w:val="006B5380"/>
    <w:rsid w:val="006B5416"/>
    <w:rsid w:val="006B544D"/>
    <w:rsid w:val="006B5495"/>
    <w:rsid w:val="006B5527"/>
    <w:rsid w:val="006B5567"/>
    <w:rsid w:val="006B577A"/>
    <w:rsid w:val="006B59E9"/>
    <w:rsid w:val="006B5B60"/>
    <w:rsid w:val="006B5C45"/>
    <w:rsid w:val="006B5D08"/>
    <w:rsid w:val="006B5D16"/>
    <w:rsid w:val="006B5D66"/>
    <w:rsid w:val="006B5D8E"/>
    <w:rsid w:val="006B60A8"/>
    <w:rsid w:val="006B60D2"/>
    <w:rsid w:val="006B61B5"/>
    <w:rsid w:val="006B6284"/>
    <w:rsid w:val="006B6326"/>
    <w:rsid w:val="006B64CB"/>
    <w:rsid w:val="006B6882"/>
    <w:rsid w:val="006B68A6"/>
    <w:rsid w:val="006B68B4"/>
    <w:rsid w:val="006B6958"/>
    <w:rsid w:val="006B6A2D"/>
    <w:rsid w:val="006B6A38"/>
    <w:rsid w:val="006B6A52"/>
    <w:rsid w:val="006B6A89"/>
    <w:rsid w:val="006B6CAE"/>
    <w:rsid w:val="006B6D16"/>
    <w:rsid w:val="006B6DD0"/>
    <w:rsid w:val="006B6E57"/>
    <w:rsid w:val="006B6EDD"/>
    <w:rsid w:val="006B6F12"/>
    <w:rsid w:val="006B7095"/>
    <w:rsid w:val="006B733B"/>
    <w:rsid w:val="006B7411"/>
    <w:rsid w:val="006B7430"/>
    <w:rsid w:val="006B75AA"/>
    <w:rsid w:val="006B7631"/>
    <w:rsid w:val="006B7749"/>
    <w:rsid w:val="006B7855"/>
    <w:rsid w:val="006B78AB"/>
    <w:rsid w:val="006B7A08"/>
    <w:rsid w:val="006B7C37"/>
    <w:rsid w:val="006B7C3A"/>
    <w:rsid w:val="006B7C7C"/>
    <w:rsid w:val="006B7CFB"/>
    <w:rsid w:val="006B7F26"/>
    <w:rsid w:val="006B7FC9"/>
    <w:rsid w:val="006B7FE5"/>
    <w:rsid w:val="006C0093"/>
    <w:rsid w:val="006C01C4"/>
    <w:rsid w:val="006C02A4"/>
    <w:rsid w:val="006C043A"/>
    <w:rsid w:val="006C056B"/>
    <w:rsid w:val="006C08ED"/>
    <w:rsid w:val="006C09B1"/>
    <w:rsid w:val="006C0B1F"/>
    <w:rsid w:val="006C0B51"/>
    <w:rsid w:val="006C0B64"/>
    <w:rsid w:val="006C0B66"/>
    <w:rsid w:val="006C0BEB"/>
    <w:rsid w:val="006C0BFA"/>
    <w:rsid w:val="006C0C91"/>
    <w:rsid w:val="006C0DF8"/>
    <w:rsid w:val="006C0FC6"/>
    <w:rsid w:val="006C108A"/>
    <w:rsid w:val="006C1166"/>
    <w:rsid w:val="006C11FE"/>
    <w:rsid w:val="006C1214"/>
    <w:rsid w:val="006C1363"/>
    <w:rsid w:val="006C1438"/>
    <w:rsid w:val="006C14C7"/>
    <w:rsid w:val="006C14F0"/>
    <w:rsid w:val="006C15EE"/>
    <w:rsid w:val="006C1638"/>
    <w:rsid w:val="006C1896"/>
    <w:rsid w:val="006C19B5"/>
    <w:rsid w:val="006C1A0E"/>
    <w:rsid w:val="006C1AE7"/>
    <w:rsid w:val="006C1B43"/>
    <w:rsid w:val="006C1B91"/>
    <w:rsid w:val="006C1C58"/>
    <w:rsid w:val="006C1C67"/>
    <w:rsid w:val="006C1D73"/>
    <w:rsid w:val="006C1E3D"/>
    <w:rsid w:val="006C1EFE"/>
    <w:rsid w:val="006C1F17"/>
    <w:rsid w:val="006C1F1B"/>
    <w:rsid w:val="006C200C"/>
    <w:rsid w:val="006C2148"/>
    <w:rsid w:val="006C2316"/>
    <w:rsid w:val="006C23C1"/>
    <w:rsid w:val="006C257E"/>
    <w:rsid w:val="006C26E5"/>
    <w:rsid w:val="006C281A"/>
    <w:rsid w:val="006C28FB"/>
    <w:rsid w:val="006C2992"/>
    <w:rsid w:val="006C2ABB"/>
    <w:rsid w:val="006C2AE9"/>
    <w:rsid w:val="006C2AF2"/>
    <w:rsid w:val="006C2B5C"/>
    <w:rsid w:val="006C2BDC"/>
    <w:rsid w:val="006C2C67"/>
    <w:rsid w:val="006C2D84"/>
    <w:rsid w:val="006C31C5"/>
    <w:rsid w:val="006C3386"/>
    <w:rsid w:val="006C33B3"/>
    <w:rsid w:val="006C33C2"/>
    <w:rsid w:val="006C360F"/>
    <w:rsid w:val="006C3795"/>
    <w:rsid w:val="006C37B7"/>
    <w:rsid w:val="006C3932"/>
    <w:rsid w:val="006C3A03"/>
    <w:rsid w:val="006C3B74"/>
    <w:rsid w:val="006C3D6B"/>
    <w:rsid w:val="006C3DA7"/>
    <w:rsid w:val="006C3DBD"/>
    <w:rsid w:val="006C3E67"/>
    <w:rsid w:val="006C3EA6"/>
    <w:rsid w:val="006C3EC5"/>
    <w:rsid w:val="006C406F"/>
    <w:rsid w:val="006C410F"/>
    <w:rsid w:val="006C42A2"/>
    <w:rsid w:val="006C4385"/>
    <w:rsid w:val="006C43D7"/>
    <w:rsid w:val="006C44EF"/>
    <w:rsid w:val="006C4799"/>
    <w:rsid w:val="006C481A"/>
    <w:rsid w:val="006C49EA"/>
    <w:rsid w:val="006C4A40"/>
    <w:rsid w:val="006C4A5E"/>
    <w:rsid w:val="006C4AFF"/>
    <w:rsid w:val="006C4C3A"/>
    <w:rsid w:val="006C4C7E"/>
    <w:rsid w:val="006C4D26"/>
    <w:rsid w:val="006C4DBD"/>
    <w:rsid w:val="006C504B"/>
    <w:rsid w:val="006C50B6"/>
    <w:rsid w:val="006C521A"/>
    <w:rsid w:val="006C52C4"/>
    <w:rsid w:val="006C544B"/>
    <w:rsid w:val="006C545B"/>
    <w:rsid w:val="006C5464"/>
    <w:rsid w:val="006C5525"/>
    <w:rsid w:val="006C5556"/>
    <w:rsid w:val="006C588D"/>
    <w:rsid w:val="006C598D"/>
    <w:rsid w:val="006C59FC"/>
    <w:rsid w:val="006C5A72"/>
    <w:rsid w:val="006C5B2C"/>
    <w:rsid w:val="006C5C6D"/>
    <w:rsid w:val="006C5D46"/>
    <w:rsid w:val="006C6305"/>
    <w:rsid w:val="006C63BA"/>
    <w:rsid w:val="006C646C"/>
    <w:rsid w:val="006C64C0"/>
    <w:rsid w:val="006C651B"/>
    <w:rsid w:val="006C6572"/>
    <w:rsid w:val="006C657F"/>
    <w:rsid w:val="006C67D5"/>
    <w:rsid w:val="006C6827"/>
    <w:rsid w:val="006C682B"/>
    <w:rsid w:val="006C6934"/>
    <w:rsid w:val="006C698A"/>
    <w:rsid w:val="006C6D25"/>
    <w:rsid w:val="006C6D42"/>
    <w:rsid w:val="006C6F85"/>
    <w:rsid w:val="006C6FAF"/>
    <w:rsid w:val="006C7071"/>
    <w:rsid w:val="006C70A2"/>
    <w:rsid w:val="006C70BE"/>
    <w:rsid w:val="006C70CC"/>
    <w:rsid w:val="006C71C8"/>
    <w:rsid w:val="006C7357"/>
    <w:rsid w:val="006C74E8"/>
    <w:rsid w:val="006C764A"/>
    <w:rsid w:val="006C7679"/>
    <w:rsid w:val="006C7901"/>
    <w:rsid w:val="006C79A8"/>
    <w:rsid w:val="006C79BF"/>
    <w:rsid w:val="006C7A60"/>
    <w:rsid w:val="006C7D46"/>
    <w:rsid w:val="006C7EE0"/>
    <w:rsid w:val="006C7F76"/>
    <w:rsid w:val="006C7FA4"/>
    <w:rsid w:val="006D01B1"/>
    <w:rsid w:val="006D037D"/>
    <w:rsid w:val="006D03A4"/>
    <w:rsid w:val="006D048B"/>
    <w:rsid w:val="006D06AF"/>
    <w:rsid w:val="006D06D8"/>
    <w:rsid w:val="006D0882"/>
    <w:rsid w:val="006D0A80"/>
    <w:rsid w:val="006D0BC8"/>
    <w:rsid w:val="006D0CCE"/>
    <w:rsid w:val="006D0CED"/>
    <w:rsid w:val="006D0F42"/>
    <w:rsid w:val="006D10BB"/>
    <w:rsid w:val="006D10DC"/>
    <w:rsid w:val="006D1232"/>
    <w:rsid w:val="006D140A"/>
    <w:rsid w:val="006D14D6"/>
    <w:rsid w:val="006D1569"/>
    <w:rsid w:val="006D185E"/>
    <w:rsid w:val="006D1870"/>
    <w:rsid w:val="006D1932"/>
    <w:rsid w:val="006D1AC5"/>
    <w:rsid w:val="006D1B08"/>
    <w:rsid w:val="006D1C24"/>
    <w:rsid w:val="006D1C25"/>
    <w:rsid w:val="006D1C86"/>
    <w:rsid w:val="006D20E8"/>
    <w:rsid w:val="006D240A"/>
    <w:rsid w:val="006D2573"/>
    <w:rsid w:val="006D25C5"/>
    <w:rsid w:val="006D27F1"/>
    <w:rsid w:val="006D2882"/>
    <w:rsid w:val="006D29EA"/>
    <w:rsid w:val="006D2A52"/>
    <w:rsid w:val="006D2B4C"/>
    <w:rsid w:val="006D2B5C"/>
    <w:rsid w:val="006D2BE5"/>
    <w:rsid w:val="006D2D67"/>
    <w:rsid w:val="006D2D7C"/>
    <w:rsid w:val="006D2D8C"/>
    <w:rsid w:val="006D307C"/>
    <w:rsid w:val="006D313B"/>
    <w:rsid w:val="006D319A"/>
    <w:rsid w:val="006D3221"/>
    <w:rsid w:val="006D32D9"/>
    <w:rsid w:val="006D3486"/>
    <w:rsid w:val="006D34C9"/>
    <w:rsid w:val="006D35FA"/>
    <w:rsid w:val="006D3691"/>
    <w:rsid w:val="006D36D4"/>
    <w:rsid w:val="006D3716"/>
    <w:rsid w:val="006D3756"/>
    <w:rsid w:val="006D3972"/>
    <w:rsid w:val="006D3C4F"/>
    <w:rsid w:val="006D3D87"/>
    <w:rsid w:val="006D3DA9"/>
    <w:rsid w:val="006D3DB5"/>
    <w:rsid w:val="006D3E06"/>
    <w:rsid w:val="006D3F3E"/>
    <w:rsid w:val="006D3F5B"/>
    <w:rsid w:val="006D3F8E"/>
    <w:rsid w:val="006D3FCF"/>
    <w:rsid w:val="006D3FF1"/>
    <w:rsid w:val="006D3FF9"/>
    <w:rsid w:val="006D43C7"/>
    <w:rsid w:val="006D4410"/>
    <w:rsid w:val="006D44CA"/>
    <w:rsid w:val="006D4585"/>
    <w:rsid w:val="006D45EA"/>
    <w:rsid w:val="006D4658"/>
    <w:rsid w:val="006D48A7"/>
    <w:rsid w:val="006D4B90"/>
    <w:rsid w:val="006D4BF6"/>
    <w:rsid w:val="006D4C40"/>
    <w:rsid w:val="006D4CD0"/>
    <w:rsid w:val="006D4D0E"/>
    <w:rsid w:val="006D4DB6"/>
    <w:rsid w:val="006D4DD0"/>
    <w:rsid w:val="006D4E79"/>
    <w:rsid w:val="006D4EB3"/>
    <w:rsid w:val="006D500E"/>
    <w:rsid w:val="006D505E"/>
    <w:rsid w:val="006D50B7"/>
    <w:rsid w:val="006D519E"/>
    <w:rsid w:val="006D5602"/>
    <w:rsid w:val="006D57DC"/>
    <w:rsid w:val="006D585C"/>
    <w:rsid w:val="006D5885"/>
    <w:rsid w:val="006D588B"/>
    <w:rsid w:val="006D58CA"/>
    <w:rsid w:val="006D593F"/>
    <w:rsid w:val="006D59E6"/>
    <w:rsid w:val="006D59FC"/>
    <w:rsid w:val="006D5A71"/>
    <w:rsid w:val="006D5A7F"/>
    <w:rsid w:val="006D5AFF"/>
    <w:rsid w:val="006D5BBE"/>
    <w:rsid w:val="006D5E7C"/>
    <w:rsid w:val="006D5E8A"/>
    <w:rsid w:val="006D5F08"/>
    <w:rsid w:val="006D6079"/>
    <w:rsid w:val="006D60B9"/>
    <w:rsid w:val="006D6126"/>
    <w:rsid w:val="006D6166"/>
    <w:rsid w:val="006D61A3"/>
    <w:rsid w:val="006D61D3"/>
    <w:rsid w:val="006D6300"/>
    <w:rsid w:val="006D6336"/>
    <w:rsid w:val="006D6340"/>
    <w:rsid w:val="006D658A"/>
    <w:rsid w:val="006D6704"/>
    <w:rsid w:val="006D6743"/>
    <w:rsid w:val="006D6C0D"/>
    <w:rsid w:val="006D6C61"/>
    <w:rsid w:val="006D6CB4"/>
    <w:rsid w:val="006D6DE8"/>
    <w:rsid w:val="006D6F44"/>
    <w:rsid w:val="006D6FB7"/>
    <w:rsid w:val="006D7341"/>
    <w:rsid w:val="006D73E6"/>
    <w:rsid w:val="006D7469"/>
    <w:rsid w:val="006D74D7"/>
    <w:rsid w:val="006D757D"/>
    <w:rsid w:val="006D7606"/>
    <w:rsid w:val="006D77E4"/>
    <w:rsid w:val="006D787A"/>
    <w:rsid w:val="006D78C5"/>
    <w:rsid w:val="006D78E6"/>
    <w:rsid w:val="006D79A7"/>
    <w:rsid w:val="006D7A46"/>
    <w:rsid w:val="006D7A4F"/>
    <w:rsid w:val="006D7AAD"/>
    <w:rsid w:val="006D7BB6"/>
    <w:rsid w:val="006D7EFE"/>
    <w:rsid w:val="006D7FDC"/>
    <w:rsid w:val="006D7FE9"/>
    <w:rsid w:val="006D7FF2"/>
    <w:rsid w:val="006E0039"/>
    <w:rsid w:val="006E0052"/>
    <w:rsid w:val="006E00D5"/>
    <w:rsid w:val="006E00F1"/>
    <w:rsid w:val="006E0185"/>
    <w:rsid w:val="006E021B"/>
    <w:rsid w:val="006E0244"/>
    <w:rsid w:val="006E04A5"/>
    <w:rsid w:val="006E04C1"/>
    <w:rsid w:val="006E0514"/>
    <w:rsid w:val="006E0561"/>
    <w:rsid w:val="006E05D9"/>
    <w:rsid w:val="006E0678"/>
    <w:rsid w:val="006E06B3"/>
    <w:rsid w:val="006E0892"/>
    <w:rsid w:val="006E08AA"/>
    <w:rsid w:val="006E090E"/>
    <w:rsid w:val="006E093C"/>
    <w:rsid w:val="006E0A44"/>
    <w:rsid w:val="006E0B09"/>
    <w:rsid w:val="006E0BEE"/>
    <w:rsid w:val="006E0D04"/>
    <w:rsid w:val="006E0D49"/>
    <w:rsid w:val="006E106E"/>
    <w:rsid w:val="006E1164"/>
    <w:rsid w:val="006E1367"/>
    <w:rsid w:val="006E138B"/>
    <w:rsid w:val="006E13EE"/>
    <w:rsid w:val="006E1448"/>
    <w:rsid w:val="006E14F4"/>
    <w:rsid w:val="006E156F"/>
    <w:rsid w:val="006E1655"/>
    <w:rsid w:val="006E16D4"/>
    <w:rsid w:val="006E16F6"/>
    <w:rsid w:val="006E1821"/>
    <w:rsid w:val="006E184D"/>
    <w:rsid w:val="006E1911"/>
    <w:rsid w:val="006E197C"/>
    <w:rsid w:val="006E199A"/>
    <w:rsid w:val="006E1B5C"/>
    <w:rsid w:val="006E1B65"/>
    <w:rsid w:val="006E1EE4"/>
    <w:rsid w:val="006E1EED"/>
    <w:rsid w:val="006E1FE2"/>
    <w:rsid w:val="006E1FF9"/>
    <w:rsid w:val="006E215F"/>
    <w:rsid w:val="006E23CD"/>
    <w:rsid w:val="006E25B1"/>
    <w:rsid w:val="006E2603"/>
    <w:rsid w:val="006E266F"/>
    <w:rsid w:val="006E269B"/>
    <w:rsid w:val="006E271B"/>
    <w:rsid w:val="006E28E6"/>
    <w:rsid w:val="006E295F"/>
    <w:rsid w:val="006E2A17"/>
    <w:rsid w:val="006E2AE7"/>
    <w:rsid w:val="006E2BCB"/>
    <w:rsid w:val="006E2D3E"/>
    <w:rsid w:val="006E2D6E"/>
    <w:rsid w:val="006E2D7E"/>
    <w:rsid w:val="006E2DDB"/>
    <w:rsid w:val="006E2E51"/>
    <w:rsid w:val="006E2EB8"/>
    <w:rsid w:val="006E30E9"/>
    <w:rsid w:val="006E30F9"/>
    <w:rsid w:val="006E320D"/>
    <w:rsid w:val="006E3293"/>
    <w:rsid w:val="006E333D"/>
    <w:rsid w:val="006E33F7"/>
    <w:rsid w:val="006E348D"/>
    <w:rsid w:val="006E34B5"/>
    <w:rsid w:val="006E365B"/>
    <w:rsid w:val="006E36A0"/>
    <w:rsid w:val="006E3771"/>
    <w:rsid w:val="006E39D0"/>
    <w:rsid w:val="006E39FA"/>
    <w:rsid w:val="006E39FC"/>
    <w:rsid w:val="006E3AAF"/>
    <w:rsid w:val="006E3B58"/>
    <w:rsid w:val="006E3B5D"/>
    <w:rsid w:val="006E3CD2"/>
    <w:rsid w:val="006E3CF6"/>
    <w:rsid w:val="006E3D8B"/>
    <w:rsid w:val="006E3E3B"/>
    <w:rsid w:val="006E3FF4"/>
    <w:rsid w:val="006E414B"/>
    <w:rsid w:val="006E4227"/>
    <w:rsid w:val="006E4236"/>
    <w:rsid w:val="006E44ED"/>
    <w:rsid w:val="006E4554"/>
    <w:rsid w:val="006E45C0"/>
    <w:rsid w:val="006E4619"/>
    <w:rsid w:val="006E4625"/>
    <w:rsid w:val="006E472B"/>
    <w:rsid w:val="006E48EE"/>
    <w:rsid w:val="006E494B"/>
    <w:rsid w:val="006E4950"/>
    <w:rsid w:val="006E49DE"/>
    <w:rsid w:val="006E49E8"/>
    <w:rsid w:val="006E4C84"/>
    <w:rsid w:val="006E4ED7"/>
    <w:rsid w:val="006E507D"/>
    <w:rsid w:val="006E50B2"/>
    <w:rsid w:val="006E524F"/>
    <w:rsid w:val="006E53C2"/>
    <w:rsid w:val="006E542A"/>
    <w:rsid w:val="006E5493"/>
    <w:rsid w:val="006E5687"/>
    <w:rsid w:val="006E56A7"/>
    <w:rsid w:val="006E57A3"/>
    <w:rsid w:val="006E57B0"/>
    <w:rsid w:val="006E5802"/>
    <w:rsid w:val="006E5811"/>
    <w:rsid w:val="006E59B7"/>
    <w:rsid w:val="006E5B30"/>
    <w:rsid w:val="006E5BE8"/>
    <w:rsid w:val="006E5BED"/>
    <w:rsid w:val="006E5F0F"/>
    <w:rsid w:val="006E5F1F"/>
    <w:rsid w:val="006E5FF3"/>
    <w:rsid w:val="006E60F8"/>
    <w:rsid w:val="006E6119"/>
    <w:rsid w:val="006E645C"/>
    <w:rsid w:val="006E6555"/>
    <w:rsid w:val="006E6593"/>
    <w:rsid w:val="006E6621"/>
    <w:rsid w:val="006E668C"/>
    <w:rsid w:val="006E66D7"/>
    <w:rsid w:val="006E66F5"/>
    <w:rsid w:val="006E6784"/>
    <w:rsid w:val="006E683F"/>
    <w:rsid w:val="006E6A24"/>
    <w:rsid w:val="006E6AC8"/>
    <w:rsid w:val="006E6B83"/>
    <w:rsid w:val="006E6D34"/>
    <w:rsid w:val="006E6F9E"/>
    <w:rsid w:val="006E6FCF"/>
    <w:rsid w:val="006E7044"/>
    <w:rsid w:val="006E7046"/>
    <w:rsid w:val="006E714B"/>
    <w:rsid w:val="006E71A1"/>
    <w:rsid w:val="006E71F7"/>
    <w:rsid w:val="006E7226"/>
    <w:rsid w:val="006E727F"/>
    <w:rsid w:val="006E72CB"/>
    <w:rsid w:val="006E72E9"/>
    <w:rsid w:val="006E73D7"/>
    <w:rsid w:val="006E759D"/>
    <w:rsid w:val="006E786E"/>
    <w:rsid w:val="006E78B9"/>
    <w:rsid w:val="006E79A6"/>
    <w:rsid w:val="006E7A2B"/>
    <w:rsid w:val="006E7BA7"/>
    <w:rsid w:val="006E7C99"/>
    <w:rsid w:val="006E7D79"/>
    <w:rsid w:val="006E7DF0"/>
    <w:rsid w:val="006E7DF3"/>
    <w:rsid w:val="006F0002"/>
    <w:rsid w:val="006F00E9"/>
    <w:rsid w:val="006F010F"/>
    <w:rsid w:val="006F0288"/>
    <w:rsid w:val="006F0299"/>
    <w:rsid w:val="006F032E"/>
    <w:rsid w:val="006F0366"/>
    <w:rsid w:val="006F042D"/>
    <w:rsid w:val="006F04A9"/>
    <w:rsid w:val="006F0713"/>
    <w:rsid w:val="006F0757"/>
    <w:rsid w:val="006F0770"/>
    <w:rsid w:val="006F0925"/>
    <w:rsid w:val="006F098A"/>
    <w:rsid w:val="006F09BF"/>
    <w:rsid w:val="006F0B90"/>
    <w:rsid w:val="006F0BAA"/>
    <w:rsid w:val="006F11A7"/>
    <w:rsid w:val="006F1275"/>
    <w:rsid w:val="006F12C7"/>
    <w:rsid w:val="006F13A3"/>
    <w:rsid w:val="006F13EF"/>
    <w:rsid w:val="006F154E"/>
    <w:rsid w:val="006F1551"/>
    <w:rsid w:val="006F182E"/>
    <w:rsid w:val="006F1A87"/>
    <w:rsid w:val="006F1AA6"/>
    <w:rsid w:val="006F1AC8"/>
    <w:rsid w:val="006F1C53"/>
    <w:rsid w:val="006F1D46"/>
    <w:rsid w:val="006F1D6D"/>
    <w:rsid w:val="006F1E0E"/>
    <w:rsid w:val="006F1E21"/>
    <w:rsid w:val="006F20F8"/>
    <w:rsid w:val="006F2187"/>
    <w:rsid w:val="006F22CC"/>
    <w:rsid w:val="006F2386"/>
    <w:rsid w:val="006F2402"/>
    <w:rsid w:val="006F24AA"/>
    <w:rsid w:val="006F24C4"/>
    <w:rsid w:val="006F25CC"/>
    <w:rsid w:val="006F26C2"/>
    <w:rsid w:val="006F284A"/>
    <w:rsid w:val="006F285D"/>
    <w:rsid w:val="006F29A3"/>
    <w:rsid w:val="006F2A27"/>
    <w:rsid w:val="006F2AFC"/>
    <w:rsid w:val="006F2D1F"/>
    <w:rsid w:val="006F2E6E"/>
    <w:rsid w:val="006F2FE0"/>
    <w:rsid w:val="006F3033"/>
    <w:rsid w:val="006F3255"/>
    <w:rsid w:val="006F332E"/>
    <w:rsid w:val="006F3387"/>
    <w:rsid w:val="006F34C8"/>
    <w:rsid w:val="006F359A"/>
    <w:rsid w:val="006F3944"/>
    <w:rsid w:val="006F39CC"/>
    <w:rsid w:val="006F39D2"/>
    <w:rsid w:val="006F3ADD"/>
    <w:rsid w:val="006F3D08"/>
    <w:rsid w:val="006F3DD9"/>
    <w:rsid w:val="006F420C"/>
    <w:rsid w:val="006F4405"/>
    <w:rsid w:val="006F4433"/>
    <w:rsid w:val="006F44A5"/>
    <w:rsid w:val="006F44BF"/>
    <w:rsid w:val="006F4521"/>
    <w:rsid w:val="006F4526"/>
    <w:rsid w:val="006F453D"/>
    <w:rsid w:val="006F46B9"/>
    <w:rsid w:val="006F47C0"/>
    <w:rsid w:val="006F494C"/>
    <w:rsid w:val="006F4984"/>
    <w:rsid w:val="006F4A32"/>
    <w:rsid w:val="006F4A81"/>
    <w:rsid w:val="006F4B0C"/>
    <w:rsid w:val="006F4C8F"/>
    <w:rsid w:val="006F4E5D"/>
    <w:rsid w:val="006F4E81"/>
    <w:rsid w:val="006F526E"/>
    <w:rsid w:val="006F527B"/>
    <w:rsid w:val="006F5352"/>
    <w:rsid w:val="006F5468"/>
    <w:rsid w:val="006F5499"/>
    <w:rsid w:val="006F54AF"/>
    <w:rsid w:val="006F54DE"/>
    <w:rsid w:val="006F54FF"/>
    <w:rsid w:val="006F5521"/>
    <w:rsid w:val="006F5638"/>
    <w:rsid w:val="006F57AD"/>
    <w:rsid w:val="006F57FC"/>
    <w:rsid w:val="006F583A"/>
    <w:rsid w:val="006F5899"/>
    <w:rsid w:val="006F590F"/>
    <w:rsid w:val="006F598F"/>
    <w:rsid w:val="006F5C3D"/>
    <w:rsid w:val="006F5C6B"/>
    <w:rsid w:val="006F5C86"/>
    <w:rsid w:val="006F5C94"/>
    <w:rsid w:val="006F5E3C"/>
    <w:rsid w:val="006F5EED"/>
    <w:rsid w:val="006F5FDD"/>
    <w:rsid w:val="006F60A0"/>
    <w:rsid w:val="006F614D"/>
    <w:rsid w:val="006F6232"/>
    <w:rsid w:val="006F631B"/>
    <w:rsid w:val="006F63AF"/>
    <w:rsid w:val="006F63B8"/>
    <w:rsid w:val="006F650A"/>
    <w:rsid w:val="006F6586"/>
    <w:rsid w:val="006F65F1"/>
    <w:rsid w:val="006F677A"/>
    <w:rsid w:val="006F68C6"/>
    <w:rsid w:val="006F695E"/>
    <w:rsid w:val="006F699C"/>
    <w:rsid w:val="006F6A3A"/>
    <w:rsid w:val="006F6A41"/>
    <w:rsid w:val="006F6A5D"/>
    <w:rsid w:val="006F6ADB"/>
    <w:rsid w:val="006F6BD5"/>
    <w:rsid w:val="006F6BE8"/>
    <w:rsid w:val="006F6C6A"/>
    <w:rsid w:val="006F6F07"/>
    <w:rsid w:val="006F6F23"/>
    <w:rsid w:val="006F6FDA"/>
    <w:rsid w:val="006F705D"/>
    <w:rsid w:val="006F7271"/>
    <w:rsid w:val="006F73A3"/>
    <w:rsid w:val="006F74BC"/>
    <w:rsid w:val="006F7503"/>
    <w:rsid w:val="006F773E"/>
    <w:rsid w:val="006F7766"/>
    <w:rsid w:val="006F7894"/>
    <w:rsid w:val="006F7919"/>
    <w:rsid w:val="006F7A8F"/>
    <w:rsid w:val="006F7AC3"/>
    <w:rsid w:val="006F7B13"/>
    <w:rsid w:val="006F7BB2"/>
    <w:rsid w:val="006F7D7F"/>
    <w:rsid w:val="006F7E92"/>
    <w:rsid w:val="006F7EFC"/>
    <w:rsid w:val="006F7F5D"/>
    <w:rsid w:val="00700167"/>
    <w:rsid w:val="007002DB"/>
    <w:rsid w:val="00700309"/>
    <w:rsid w:val="00700350"/>
    <w:rsid w:val="0070037B"/>
    <w:rsid w:val="00700445"/>
    <w:rsid w:val="00700457"/>
    <w:rsid w:val="00700464"/>
    <w:rsid w:val="007004C6"/>
    <w:rsid w:val="00700846"/>
    <w:rsid w:val="00700B59"/>
    <w:rsid w:val="00700BF3"/>
    <w:rsid w:val="00700C04"/>
    <w:rsid w:val="00700C05"/>
    <w:rsid w:val="00700C65"/>
    <w:rsid w:val="00700CF8"/>
    <w:rsid w:val="00700D08"/>
    <w:rsid w:val="00700E4E"/>
    <w:rsid w:val="00700EE2"/>
    <w:rsid w:val="00700F19"/>
    <w:rsid w:val="00701080"/>
    <w:rsid w:val="00701129"/>
    <w:rsid w:val="0070124E"/>
    <w:rsid w:val="00701273"/>
    <w:rsid w:val="007013D1"/>
    <w:rsid w:val="00701403"/>
    <w:rsid w:val="007014F2"/>
    <w:rsid w:val="0070158D"/>
    <w:rsid w:val="00701591"/>
    <w:rsid w:val="00701674"/>
    <w:rsid w:val="007016CF"/>
    <w:rsid w:val="0070186B"/>
    <w:rsid w:val="007018BF"/>
    <w:rsid w:val="007019C4"/>
    <w:rsid w:val="00701B35"/>
    <w:rsid w:val="00701BFD"/>
    <w:rsid w:val="00701E06"/>
    <w:rsid w:val="00701E12"/>
    <w:rsid w:val="00701E3B"/>
    <w:rsid w:val="00701E8A"/>
    <w:rsid w:val="00701F8B"/>
    <w:rsid w:val="00702071"/>
    <w:rsid w:val="00702081"/>
    <w:rsid w:val="00702136"/>
    <w:rsid w:val="007021BD"/>
    <w:rsid w:val="0070226A"/>
    <w:rsid w:val="007022D3"/>
    <w:rsid w:val="0070254D"/>
    <w:rsid w:val="007026A8"/>
    <w:rsid w:val="007029C2"/>
    <w:rsid w:val="00702A58"/>
    <w:rsid w:val="00702AF0"/>
    <w:rsid w:val="00702CC3"/>
    <w:rsid w:val="00702D1E"/>
    <w:rsid w:val="00702DAC"/>
    <w:rsid w:val="00702E6B"/>
    <w:rsid w:val="00702F18"/>
    <w:rsid w:val="00702FFD"/>
    <w:rsid w:val="00703032"/>
    <w:rsid w:val="007031CE"/>
    <w:rsid w:val="0070320A"/>
    <w:rsid w:val="0070320D"/>
    <w:rsid w:val="0070340A"/>
    <w:rsid w:val="00703410"/>
    <w:rsid w:val="007034BA"/>
    <w:rsid w:val="00703504"/>
    <w:rsid w:val="00703533"/>
    <w:rsid w:val="007035DE"/>
    <w:rsid w:val="00703613"/>
    <w:rsid w:val="00703670"/>
    <w:rsid w:val="00703674"/>
    <w:rsid w:val="007037DE"/>
    <w:rsid w:val="007037E9"/>
    <w:rsid w:val="00703926"/>
    <w:rsid w:val="00703A0A"/>
    <w:rsid w:val="00703B29"/>
    <w:rsid w:val="00703B2E"/>
    <w:rsid w:val="00703BF9"/>
    <w:rsid w:val="00703C59"/>
    <w:rsid w:val="00703CCD"/>
    <w:rsid w:val="00703E1D"/>
    <w:rsid w:val="00703EC4"/>
    <w:rsid w:val="00703EE4"/>
    <w:rsid w:val="00704107"/>
    <w:rsid w:val="007041BF"/>
    <w:rsid w:val="007041C1"/>
    <w:rsid w:val="0070420C"/>
    <w:rsid w:val="007043EC"/>
    <w:rsid w:val="0070453B"/>
    <w:rsid w:val="0070485B"/>
    <w:rsid w:val="00704B09"/>
    <w:rsid w:val="00704B28"/>
    <w:rsid w:val="00704BF7"/>
    <w:rsid w:val="00704C6E"/>
    <w:rsid w:val="00704C75"/>
    <w:rsid w:val="00704DE6"/>
    <w:rsid w:val="00704E03"/>
    <w:rsid w:val="00704E26"/>
    <w:rsid w:val="00704E5B"/>
    <w:rsid w:val="00704E8F"/>
    <w:rsid w:val="00704EAA"/>
    <w:rsid w:val="00704F0D"/>
    <w:rsid w:val="00704F2A"/>
    <w:rsid w:val="00704FD0"/>
    <w:rsid w:val="00704FE1"/>
    <w:rsid w:val="00705025"/>
    <w:rsid w:val="0070511C"/>
    <w:rsid w:val="0070515B"/>
    <w:rsid w:val="00705174"/>
    <w:rsid w:val="00705314"/>
    <w:rsid w:val="007053E4"/>
    <w:rsid w:val="00705544"/>
    <w:rsid w:val="007056A8"/>
    <w:rsid w:val="00705767"/>
    <w:rsid w:val="007057C7"/>
    <w:rsid w:val="00705813"/>
    <w:rsid w:val="00705A0C"/>
    <w:rsid w:val="00705A23"/>
    <w:rsid w:val="00705A27"/>
    <w:rsid w:val="00705A3C"/>
    <w:rsid w:val="00705A95"/>
    <w:rsid w:val="00705B4D"/>
    <w:rsid w:val="00705C85"/>
    <w:rsid w:val="00705D4E"/>
    <w:rsid w:val="00705E8D"/>
    <w:rsid w:val="00705EC9"/>
    <w:rsid w:val="00705F83"/>
    <w:rsid w:val="00706019"/>
    <w:rsid w:val="00706127"/>
    <w:rsid w:val="0070618E"/>
    <w:rsid w:val="00706216"/>
    <w:rsid w:val="007063A2"/>
    <w:rsid w:val="007064BB"/>
    <w:rsid w:val="007064DA"/>
    <w:rsid w:val="007065C4"/>
    <w:rsid w:val="007065CB"/>
    <w:rsid w:val="007065D3"/>
    <w:rsid w:val="0070664C"/>
    <w:rsid w:val="007066A9"/>
    <w:rsid w:val="007066BB"/>
    <w:rsid w:val="007066FF"/>
    <w:rsid w:val="007067CA"/>
    <w:rsid w:val="0070685B"/>
    <w:rsid w:val="0070691F"/>
    <w:rsid w:val="00706A5C"/>
    <w:rsid w:val="00706A71"/>
    <w:rsid w:val="00706A73"/>
    <w:rsid w:val="00706ACA"/>
    <w:rsid w:val="00706B24"/>
    <w:rsid w:val="00706B4E"/>
    <w:rsid w:val="00706C21"/>
    <w:rsid w:val="00706C9E"/>
    <w:rsid w:val="00706CC9"/>
    <w:rsid w:val="00706D65"/>
    <w:rsid w:val="00707041"/>
    <w:rsid w:val="007071CA"/>
    <w:rsid w:val="00707239"/>
    <w:rsid w:val="00707280"/>
    <w:rsid w:val="00707286"/>
    <w:rsid w:val="00707292"/>
    <w:rsid w:val="00707425"/>
    <w:rsid w:val="007074DC"/>
    <w:rsid w:val="007074E8"/>
    <w:rsid w:val="00707553"/>
    <w:rsid w:val="00707595"/>
    <w:rsid w:val="00707815"/>
    <w:rsid w:val="00707879"/>
    <w:rsid w:val="007078D3"/>
    <w:rsid w:val="0070794A"/>
    <w:rsid w:val="00707969"/>
    <w:rsid w:val="00707991"/>
    <w:rsid w:val="00707B7A"/>
    <w:rsid w:val="00707BAD"/>
    <w:rsid w:val="00707BEC"/>
    <w:rsid w:val="00707E1E"/>
    <w:rsid w:val="00707FE7"/>
    <w:rsid w:val="0071000C"/>
    <w:rsid w:val="00710010"/>
    <w:rsid w:val="00710114"/>
    <w:rsid w:val="0071018C"/>
    <w:rsid w:val="00710250"/>
    <w:rsid w:val="00710302"/>
    <w:rsid w:val="0071042E"/>
    <w:rsid w:val="0071057F"/>
    <w:rsid w:val="0071058A"/>
    <w:rsid w:val="00710653"/>
    <w:rsid w:val="0071077C"/>
    <w:rsid w:val="00710949"/>
    <w:rsid w:val="00710B5E"/>
    <w:rsid w:val="00710C04"/>
    <w:rsid w:val="00710DD2"/>
    <w:rsid w:val="00710DF6"/>
    <w:rsid w:val="00710E14"/>
    <w:rsid w:val="00711013"/>
    <w:rsid w:val="0071107C"/>
    <w:rsid w:val="00711103"/>
    <w:rsid w:val="0071118A"/>
    <w:rsid w:val="00711264"/>
    <w:rsid w:val="00711290"/>
    <w:rsid w:val="0071129E"/>
    <w:rsid w:val="0071148F"/>
    <w:rsid w:val="00711539"/>
    <w:rsid w:val="007116D0"/>
    <w:rsid w:val="00711703"/>
    <w:rsid w:val="0071184E"/>
    <w:rsid w:val="007118FF"/>
    <w:rsid w:val="00711908"/>
    <w:rsid w:val="00711934"/>
    <w:rsid w:val="0071196D"/>
    <w:rsid w:val="00711CB7"/>
    <w:rsid w:val="00711D6F"/>
    <w:rsid w:val="00711D79"/>
    <w:rsid w:val="00711F26"/>
    <w:rsid w:val="0071207C"/>
    <w:rsid w:val="007121A8"/>
    <w:rsid w:val="00712204"/>
    <w:rsid w:val="007122DA"/>
    <w:rsid w:val="0071233F"/>
    <w:rsid w:val="00712478"/>
    <w:rsid w:val="007124EE"/>
    <w:rsid w:val="007124F4"/>
    <w:rsid w:val="00712535"/>
    <w:rsid w:val="00712602"/>
    <w:rsid w:val="00712708"/>
    <w:rsid w:val="007127A6"/>
    <w:rsid w:val="007127B3"/>
    <w:rsid w:val="007128BC"/>
    <w:rsid w:val="007128BD"/>
    <w:rsid w:val="00712923"/>
    <w:rsid w:val="00712A78"/>
    <w:rsid w:val="00712A9E"/>
    <w:rsid w:val="00712AC3"/>
    <w:rsid w:val="00712AD3"/>
    <w:rsid w:val="00712AFA"/>
    <w:rsid w:val="00712B76"/>
    <w:rsid w:val="00712B93"/>
    <w:rsid w:val="00712BCE"/>
    <w:rsid w:val="00712C5D"/>
    <w:rsid w:val="00712C66"/>
    <w:rsid w:val="00712C8C"/>
    <w:rsid w:val="00712CA5"/>
    <w:rsid w:val="00712DCD"/>
    <w:rsid w:val="00712E78"/>
    <w:rsid w:val="00712ED0"/>
    <w:rsid w:val="00712FD2"/>
    <w:rsid w:val="00712FEA"/>
    <w:rsid w:val="0071312A"/>
    <w:rsid w:val="0071317E"/>
    <w:rsid w:val="0071321D"/>
    <w:rsid w:val="00713332"/>
    <w:rsid w:val="0071344F"/>
    <w:rsid w:val="007135F0"/>
    <w:rsid w:val="0071367D"/>
    <w:rsid w:val="007136F6"/>
    <w:rsid w:val="00713710"/>
    <w:rsid w:val="00713745"/>
    <w:rsid w:val="007137FE"/>
    <w:rsid w:val="0071386A"/>
    <w:rsid w:val="00713898"/>
    <w:rsid w:val="00713925"/>
    <w:rsid w:val="00713926"/>
    <w:rsid w:val="00713945"/>
    <w:rsid w:val="00713AA9"/>
    <w:rsid w:val="00713B34"/>
    <w:rsid w:val="00713D49"/>
    <w:rsid w:val="00713E3E"/>
    <w:rsid w:val="007140C0"/>
    <w:rsid w:val="0071414A"/>
    <w:rsid w:val="0071423B"/>
    <w:rsid w:val="00714305"/>
    <w:rsid w:val="0071430A"/>
    <w:rsid w:val="00714399"/>
    <w:rsid w:val="007143CE"/>
    <w:rsid w:val="00714417"/>
    <w:rsid w:val="007144B8"/>
    <w:rsid w:val="00714586"/>
    <w:rsid w:val="0071458B"/>
    <w:rsid w:val="00714599"/>
    <w:rsid w:val="0071460E"/>
    <w:rsid w:val="007146D3"/>
    <w:rsid w:val="007147E4"/>
    <w:rsid w:val="00714A64"/>
    <w:rsid w:val="00714CC2"/>
    <w:rsid w:val="00714D55"/>
    <w:rsid w:val="00714E53"/>
    <w:rsid w:val="00714EB9"/>
    <w:rsid w:val="00714F6D"/>
    <w:rsid w:val="00714F9A"/>
    <w:rsid w:val="00714FF3"/>
    <w:rsid w:val="007150BF"/>
    <w:rsid w:val="007150F4"/>
    <w:rsid w:val="0071535F"/>
    <w:rsid w:val="00715430"/>
    <w:rsid w:val="007154E9"/>
    <w:rsid w:val="00715512"/>
    <w:rsid w:val="00715559"/>
    <w:rsid w:val="00715854"/>
    <w:rsid w:val="007158E9"/>
    <w:rsid w:val="007159C5"/>
    <w:rsid w:val="007159D4"/>
    <w:rsid w:val="00715ADD"/>
    <w:rsid w:val="00715B18"/>
    <w:rsid w:val="00715C93"/>
    <w:rsid w:val="00715CBF"/>
    <w:rsid w:val="00715DAB"/>
    <w:rsid w:val="00715ED0"/>
    <w:rsid w:val="00715F3D"/>
    <w:rsid w:val="00715F62"/>
    <w:rsid w:val="00716198"/>
    <w:rsid w:val="007161D6"/>
    <w:rsid w:val="0071621D"/>
    <w:rsid w:val="007162CE"/>
    <w:rsid w:val="0071632A"/>
    <w:rsid w:val="0071641D"/>
    <w:rsid w:val="0071649D"/>
    <w:rsid w:val="00716568"/>
    <w:rsid w:val="00716690"/>
    <w:rsid w:val="00716694"/>
    <w:rsid w:val="007166B7"/>
    <w:rsid w:val="007166D6"/>
    <w:rsid w:val="007166EB"/>
    <w:rsid w:val="00716707"/>
    <w:rsid w:val="00716746"/>
    <w:rsid w:val="00716760"/>
    <w:rsid w:val="00716767"/>
    <w:rsid w:val="00716777"/>
    <w:rsid w:val="007168B8"/>
    <w:rsid w:val="00716BF0"/>
    <w:rsid w:val="00716C71"/>
    <w:rsid w:val="00716D1E"/>
    <w:rsid w:val="00716D6C"/>
    <w:rsid w:val="00716E3B"/>
    <w:rsid w:val="00716F31"/>
    <w:rsid w:val="00717076"/>
    <w:rsid w:val="007172DC"/>
    <w:rsid w:val="00717371"/>
    <w:rsid w:val="0071760B"/>
    <w:rsid w:val="007176E9"/>
    <w:rsid w:val="00717716"/>
    <w:rsid w:val="00717812"/>
    <w:rsid w:val="00717923"/>
    <w:rsid w:val="00717A83"/>
    <w:rsid w:val="00717B5A"/>
    <w:rsid w:val="00717D98"/>
    <w:rsid w:val="00717DEB"/>
    <w:rsid w:val="00717E19"/>
    <w:rsid w:val="00717FD4"/>
    <w:rsid w:val="00717FD5"/>
    <w:rsid w:val="00720020"/>
    <w:rsid w:val="00720034"/>
    <w:rsid w:val="007200A0"/>
    <w:rsid w:val="00720142"/>
    <w:rsid w:val="007202E5"/>
    <w:rsid w:val="007203D8"/>
    <w:rsid w:val="00720472"/>
    <w:rsid w:val="00720637"/>
    <w:rsid w:val="007206A7"/>
    <w:rsid w:val="00720827"/>
    <w:rsid w:val="00720854"/>
    <w:rsid w:val="007209AF"/>
    <w:rsid w:val="00720A2B"/>
    <w:rsid w:val="00720B44"/>
    <w:rsid w:val="00720B7C"/>
    <w:rsid w:val="00720C1C"/>
    <w:rsid w:val="00720C71"/>
    <w:rsid w:val="00720CB9"/>
    <w:rsid w:val="00720EC0"/>
    <w:rsid w:val="00720EE3"/>
    <w:rsid w:val="00720F3B"/>
    <w:rsid w:val="00720F44"/>
    <w:rsid w:val="007210DF"/>
    <w:rsid w:val="007211C8"/>
    <w:rsid w:val="00721220"/>
    <w:rsid w:val="00721396"/>
    <w:rsid w:val="00721541"/>
    <w:rsid w:val="007218FF"/>
    <w:rsid w:val="00721A47"/>
    <w:rsid w:val="00721A56"/>
    <w:rsid w:val="00721A7C"/>
    <w:rsid w:val="00721B85"/>
    <w:rsid w:val="00721E9B"/>
    <w:rsid w:val="00721ED7"/>
    <w:rsid w:val="0072205A"/>
    <w:rsid w:val="0072205E"/>
    <w:rsid w:val="007223DA"/>
    <w:rsid w:val="00722429"/>
    <w:rsid w:val="00722579"/>
    <w:rsid w:val="00722580"/>
    <w:rsid w:val="00722590"/>
    <w:rsid w:val="007225BB"/>
    <w:rsid w:val="007225C3"/>
    <w:rsid w:val="0072267E"/>
    <w:rsid w:val="007226B1"/>
    <w:rsid w:val="0072270B"/>
    <w:rsid w:val="00722888"/>
    <w:rsid w:val="00722966"/>
    <w:rsid w:val="0072296D"/>
    <w:rsid w:val="00722E5D"/>
    <w:rsid w:val="00722E84"/>
    <w:rsid w:val="00722ECA"/>
    <w:rsid w:val="00722FA0"/>
    <w:rsid w:val="00722FDF"/>
    <w:rsid w:val="00722FF5"/>
    <w:rsid w:val="0072320F"/>
    <w:rsid w:val="00723231"/>
    <w:rsid w:val="0072328F"/>
    <w:rsid w:val="00723411"/>
    <w:rsid w:val="00723441"/>
    <w:rsid w:val="00723592"/>
    <w:rsid w:val="007235B5"/>
    <w:rsid w:val="00723824"/>
    <w:rsid w:val="0072386B"/>
    <w:rsid w:val="007238BA"/>
    <w:rsid w:val="007238E9"/>
    <w:rsid w:val="00723C7E"/>
    <w:rsid w:val="00723CB2"/>
    <w:rsid w:val="00723D1A"/>
    <w:rsid w:val="00723D9C"/>
    <w:rsid w:val="00723DF8"/>
    <w:rsid w:val="00723EDC"/>
    <w:rsid w:val="00723FAA"/>
    <w:rsid w:val="007240E5"/>
    <w:rsid w:val="007241F7"/>
    <w:rsid w:val="007242A5"/>
    <w:rsid w:val="007242F0"/>
    <w:rsid w:val="00724373"/>
    <w:rsid w:val="0072490E"/>
    <w:rsid w:val="007249E2"/>
    <w:rsid w:val="00724A1C"/>
    <w:rsid w:val="00724B07"/>
    <w:rsid w:val="00724BB3"/>
    <w:rsid w:val="00724BB8"/>
    <w:rsid w:val="00724BDF"/>
    <w:rsid w:val="00724BF9"/>
    <w:rsid w:val="00724C32"/>
    <w:rsid w:val="00724CB6"/>
    <w:rsid w:val="00724D6E"/>
    <w:rsid w:val="00724DC6"/>
    <w:rsid w:val="00724E3B"/>
    <w:rsid w:val="00724F90"/>
    <w:rsid w:val="00725220"/>
    <w:rsid w:val="007252D5"/>
    <w:rsid w:val="007253EB"/>
    <w:rsid w:val="0072545B"/>
    <w:rsid w:val="00725623"/>
    <w:rsid w:val="0072562D"/>
    <w:rsid w:val="007256DB"/>
    <w:rsid w:val="007256E6"/>
    <w:rsid w:val="007256F0"/>
    <w:rsid w:val="00725859"/>
    <w:rsid w:val="00725B0A"/>
    <w:rsid w:val="00725C19"/>
    <w:rsid w:val="00725D3A"/>
    <w:rsid w:val="00725D7E"/>
    <w:rsid w:val="00725FB1"/>
    <w:rsid w:val="007261FF"/>
    <w:rsid w:val="00726409"/>
    <w:rsid w:val="00726419"/>
    <w:rsid w:val="00726442"/>
    <w:rsid w:val="00726459"/>
    <w:rsid w:val="0072656C"/>
    <w:rsid w:val="00726579"/>
    <w:rsid w:val="00726587"/>
    <w:rsid w:val="00726661"/>
    <w:rsid w:val="007266B9"/>
    <w:rsid w:val="00726734"/>
    <w:rsid w:val="00726803"/>
    <w:rsid w:val="00726A1F"/>
    <w:rsid w:val="00726F56"/>
    <w:rsid w:val="00726FD9"/>
    <w:rsid w:val="0072706A"/>
    <w:rsid w:val="0072707C"/>
    <w:rsid w:val="007270BB"/>
    <w:rsid w:val="0072716D"/>
    <w:rsid w:val="00727173"/>
    <w:rsid w:val="0072722D"/>
    <w:rsid w:val="00727279"/>
    <w:rsid w:val="0072727A"/>
    <w:rsid w:val="007272D6"/>
    <w:rsid w:val="00727324"/>
    <w:rsid w:val="00727479"/>
    <w:rsid w:val="007275F2"/>
    <w:rsid w:val="007275F7"/>
    <w:rsid w:val="007277C4"/>
    <w:rsid w:val="007277DD"/>
    <w:rsid w:val="007277FB"/>
    <w:rsid w:val="00727818"/>
    <w:rsid w:val="0072784D"/>
    <w:rsid w:val="00727915"/>
    <w:rsid w:val="00727A90"/>
    <w:rsid w:val="00727B26"/>
    <w:rsid w:val="00727B31"/>
    <w:rsid w:val="00727B42"/>
    <w:rsid w:val="00727D4B"/>
    <w:rsid w:val="00727E5C"/>
    <w:rsid w:val="00727F2B"/>
    <w:rsid w:val="007300EA"/>
    <w:rsid w:val="00730368"/>
    <w:rsid w:val="007303CA"/>
    <w:rsid w:val="0073041B"/>
    <w:rsid w:val="007304A5"/>
    <w:rsid w:val="00730674"/>
    <w:rsid w:val="00730678"/>
    <w:rsid w:val="00730791"/>
    <w:rsid w:val="00730983"/>
    <w:rsid w:val="007309E3"/>
    <w:rsid w:val="00730A98"/>
    <w:rsid w:val="00730B02"/>
    <w:rsid w:val="00730B88"/>
    <w:rsid w:val="00730BB8"/>
    <w:rsid w:val="00730C45"/>
    <w:rsid w:val="00730DE5"/>
    <w:rsid w:val="00730E63"/>
    <w:rsid w:val="00730EA4"/>
    <w:rsid w:val="007311AF"/>
    <w:rsid w:val="00731207"/>
    <w:rsid w:val="0073130A"/>
    <w:rsid w:val="007313C0"/>
    <w:rsid w:val="007313EB"/>
    <w:rsid w:val="0073153C"/>
    <w:rsid w:val="007315E9"/>
    <w:rsid w:val="00731681"/>
    <w:rsid w:val="00731753"/>
    <w:rsid w:val="007317B5"/>
    <w:rsid w:val="00731849"/>
    <w:rsid w:val="00731911"/>
    <w:rsid w:val="00731927"/>
    <w:rsid w:val="00731A24"/>
    <w:rsid w:val="00731C90"/>
    <w:rsid w:val="00731D4A"/>
    <w:rsid w:val="00731D9B"/>
    <w:rsid w:val="00731DC7"/>
    <w:rsid w:val="00731E9B"/>
    <w:rsid w:val="00731EF8"/>
    <w:rsid w:val="00731FE8"/>
    <w:rsid w:val="00731FEE"/>
    <w:rsid w:val="00732063"/>
    <w:rsid w:val="00732144"/>
    <w:rsid w:val="0073221E"/>
    <w:rsid w:val="0073228B"/>
    <w:rsid w:val="0073236C"/>
    <w:rsid w:val="007323F9"/>
    <w:rsid w:val="0073277F"/>
    <w:rsid w:val="007327CD"/>
    <w:rsid w:val="00732AE1"/>
    <w:rsid w:val="00732BBB"/>
    <w:rsid w:val="00732C25"/>
    <w:rsid w:val="00733080"/>
    <w:rsid w:val="007330CC"/>
    <w:rsid w:val="00733120"/>
    <w:rsid w:val="00733139"/>
    <w:rsid w:val="00733247"/>
    <w:rsid w:val="0073331F"/>
    <w:rsid w:val="0073334F"/>
    <w:rsid w:val="00733403"/>
    <w:rsid w:val="00733478"/>
    <w:rsid w:val="00733497"/>
    <w:rsid w:val="007334B7"/>
    <w:rsid w:val="007336D0"/>
    <w:rsid w:val="0073376E"/>
    <w:rsid w:val="00733799"/>
    <w:rsid w:val="0073388F"/>
    <w:rsid w:val="00733BF2"/>
    <w:rsid w:val="00733C2F"/>
    <w:rsid w:val="00733D36"/>
    <w:rsid w:val="00733D58"/>
    <w:rsid w:val="00733E70"/>
    <w:rsid w:val="0073408F"/>
    <w:rsid w:val="0073428C"/>
    <w:rsid w:val="00734393"/>
    <w:rsid w:val="00734446"/>
    <w:rsid w:val="0073447C"/>
    <w:rsid w:val="00734639"/>
    <w:rsid w:val="00734670"/>
    <w:rsid w:val="007346A5"/>
    <w:rsid w:val="007346AD"/>
    <w:rsid w:val="00734750"/>
    <w:rsid w:val="007347ED"/>
    <w:rsid w:val="00734805"/>
    <w:rsid w:val="0073499A"/>
    <w:rsid w:val="00734A53"/>
    <w:rsid w:val="00734A7F"/>
    <w:rsid w:val="00734D0B"/>
    <w:rsid w:val="00734F6B"/>
    <w:rsid w:val="0073500C"/>
    <w:rsid w:val="007350F4"/>
    <w:rsid w:val="00735190"/>
    <w:rsid w:val="0073538A"/>
    <w:rsid w:val="00735476"/>
    <w:rsid w:val="0073576E"/>
    <w:rsid w:val="00735B88"/>
    <w:rsid w:val="00735BB1"/>
    <w:rsid w:val="00735E72"/>
    <w:rsid w:val="00735F31"/>
    <w:rsid w:val="00735F6B"/>
    <w:rsid w:val="00735F8F"/>
    <w:rsid w:val="0073609A"/>
    <w:rsid w:val="007361A0"/>
    <w:rsid w:val="0073622E"/>
    <w:rsid w:val="00736243"/>
    <w:rsid w:val="0073629C"/>
    <w:rsid w:val="0073642D"/>
    <w:rsid w:val="00736455"/>
    <w:rsid w:val="00736518"/>
    <w:rsid w:val="0073657D"/>
    <w:rsid w:val="007365D9"/>
    <w:rsid w:val="00736722"/>
    <w:rsid w:val="007367A5"/>
    <w:rsid w:val="0073690C"/>
    <w:rsid w:val="0073695E"/>
    <w:rsid w:val="00736A37"/>
    <w:rsid w:val="00736B8E"/>
    <w:rsid w:val="00736D58"/>
    <w:rsid w:val="00736E30"/>
    <w:rsid w:val="00736EA5"/>
    <w:rsid w:val="00736F48"/>
    <w:rsid w:val="00736FBB"/>
    <w:rsid w:val="00736FF4"/>
    <w:rsid w:val="0073702D"/>
    <w:rsid w:val="00737323"/>
    <w:rsid w:val="00737361"/>
    <w:rsid w:val="0073790A"/>
    <w:rsid w:val="00737A7A"/>
    <w:rsid w:val="00737AF9"/>
    <w:rsid w:val="00737BED"/>
    <w:rsid w:val="00737C10"/>
    <w:rsid w:val="00737C5E"/>
    <w:rsid w:val="00737D24"/>
    <w:rsid w:val="00737E17"/>
    <w:rsid w:val="00737E1C"/>
    <w:rsid w:val="0074009F"/>
    <w:rsid w:val="00740357"/>
    <w:rsid w:val="00740378"/>
    <w:rsid w:val="00740492"/>
    <w:rsid w:val="007405F4"/>
    <w:rsid w:val="0074065D"/>
    <w:rsid w:val="00740759"/>
    <w:rsid w:val="00740883"/>
    <w:rsid w:val="0074088E"/>
    <w:rsid w:val="00740968"/>
    <w:rsid w:val="00740A35"/>
    <w:rsid w:val="00740A85"/>
    <w:rsid w:val="00740B2C"/>
    <w:rsid w:val="00740B37"/>
    <w:rsid w:val="00740B89"/>
    <w:rsid w:val="00740BCE"/>
    <w:rsid w:val="00740DCE"/>
    <w:rsid w:val="00740FBB"/>
    <w:rsid w:val="00741089"/>
    <w:rsid w:val="0074111D"/>
    <w:rsid w:val="00741447"/>
    <w:rsid w:val="0074144A"/>
    <w:rsid w:val="0074151B"/>
    <w:rsid w:val="007415DF"/>
    <w:rsid w:val="00741618"/>
    <w:rsid w:val="00741628"/>
    <w:rsid w:val="007416C9"/>
    <w:rsid w:val="0074171E"/>
    <w:rsid w:val="00741806"/>
    <w:rsid w:val="00741999"/>
    <w:rsid w:val="00741ACF"/>
    <w:rsid w:val="00741B0A"/>
    <w:rsid w:val="00741B7D"/>
    <w:rsid w:val="00741C96"/>
    <w:rsid w:val="00741E43"/>
    <w:rsid w:val="00741F08"/>
    <w:rsid w:val="00741F25"/>
    <w:rsid w:val="00741F8B"/>
    <w:rsid w:val="0074203D"/>
    <w:rsid w:val="00742175"/>
    <w:rsid w:val="0074234B"/>
    <w:rsid w:val="0074245D"/>
    <w:rsid w:val="007426E5"/>
    <w:rsid w:val="00742747"/>
    <w:rsid w:val="00742867"/>
    <w:rsid w:val="007428D0"/>
    <w:rsid w:val="007429D8"/>
    <w:rsid w:val="00742CA4"/>
    <w:rsid w:val="00742CBD"/>
    <w:rsid w:val="00742DA3"/>
    <w:rsid w:val="00742E5B"/>
    <w:rsid w:val="00742E91"/>
    <w:rsid w:val="00742FC7"/>
    <w:rsid w:val="007431A6"/>
    <w:rsid w:val="0074325B"/>
    <w:rsid w:val="0074326D"/>
    <w:rsid w:val="007434DF"/>
    <w:rsid w:val="007435C2"/>
    <w:rsid w:val="0074360A"/>
    <w:rsid w:val="00743823"/>
    <w:rsid w:val="00743829"/>
    <w:rsid w:val="007438DC"/>
    <w:rsid w:val="007438E3"/>
    <w:rsid w:val="0074392B"/>
    <w:rsid w:val="00743936"/>
    <w:rsid w:val="00743B01"/>
    <w:rsid w:val="00743B0A"/>
    <w:rsid w:val="00743BEE"/>
    <w:rsid w:val="00743DEF"/>
    <w:rsid w:val="00743E6A"/>
    <w:rsid w:val="00743EF1"/>
    <w:rsid w:val="00743F13"/>
    <w:rsid w:val="00744111"/>
    <w:rsid w:val="0074415C"/>
    <w:rsid w:val="007441D0"/>
    <w:rsid w:val="00744249"/>
    <w:rsid w:val="00744498"/>
    <w:rsid w:val="00744531"/>
    <w:rsid w:val="00744560"/>
    <w:rsid w:val="0074460F"/>
    <w:rsid w:val="007446D0"/>
    <w:rsid w:val="00744740"/>
    <w:rsid w:val="00744938"/>
    <w:rsid w:val="00744A21"/>
    <w:rsid w:val="00744AB1"/>
    <w:rsid w:val="00744BF1"/>
    <w:rsid w:val="00744C1E"/>
    <w:rsid w:val="00744C71"/>
    <w:rsid w:val="00744EEA"/>
    <w:rsid w:val="00745014"/>
    <w:rsid w:val="00745021"/>
    <w:rsid w:val="0074509E"/>
    <w:rsid w:val="007450D0"/>
    <w:rsid w:val="007451FF"/>
    <w:rsid w:val="00745309"/>
    <w:rsid w:val="007453AC"/>
    <w:rsid w:val="007453F4"/>
    <w:rsid w:val="007453FC"/>
    <w:rsid w:val="0074542C"/>
    <w:rsid w:val="00745447"/>
    <w:rsid w:val="007454D6"/>
    <w:rsid w:val="00745526"/>
    <w:rsid w:val="0074559E"/>
    <w:rsid w:val="007455F1"/>
    <w:rsid w:val="0074565A"/>
    <w:rsid w:val="00745715"/>
    <w:rsid w:val="00745943"/>
    <w:rsid w:val="00745A78"/>
    <w:rsid w:val="00745B50"/>
    <w:rsid w:val="00745C12"/>
    <w:rsid w:val="00745EB2"/>
    <w:rsid w:val="00745F19"/>
    <w:rsid w:val="00746029"/>
    <w:rsid w:val="00746104"/>
    <w:rsid w:val="0074614D"/>
    <w:rsid w:val="0074614E"/>
    <w:rsid w:val="007462A3"/>
    <w:rsid w:val="007462D2"/>
    <w:rsid w:val="007463E2"/>
    <w:rsid w:val="007463F1"/>
    <w:rsid w:val="007464C6"/>
    <w:rsid w:val="00746518"/>
    <w:rsid w:val="00746674"/>
    <w:rsid w:val="007468C9"/>
    <w:rsid w:val="00746984"/>
    <w:rsid w:val="00746A2E"/>
    <w:rsid w:val="00746C4F"/>
    <w:rsid w:val="00746E71"/>
    <w:rsid w:val="00746F35"/>
    <w:rsid w:val="007470CB"/>
    <w:rsid w:val="007471D9"/>
    <w:rsid w:val="007471E8"/>
    <w:rsid w:val="00747230"/>
    <w:rsid w:val="007472B3"/>
    <w:rsid w:val="007472C5"/>
    <w:rsid w:val="007473D6"/>
    <w:rsid w:val="007473E7"/>
    <w:rsid w:val="00747440"/>
    <w:rsid w:val="00747468"/>
    <w:rsid w:val="007474A6"/>
    <w:rsid w:val="007474A9"/>
    <w:rsid w:val="007474CB"/>
    <w:rsid w:val="007475C8"/>
    <w:rsid w:val="007476BC"/>
    <w:rsid w:val="007478E4"/>
    <w:rsid w:val="007478EA"/>
    <w:rsid w:val="00747A21"/>
    <w:rsid w:val="00747AC4"/>
    <w:rsid w:val="00747C41"/>
    <w:rsid w:val="00747CCA"/>
    <w:rsid w:val="00747D50"/>
    <w:rsid w:val="00747D60"/>
    <w:rsid w:val="00747DD1"/>
    <w:rsid w:val="00747DDC"/>
    <w:rsid w:val="00747E14"/>
    <w:rsid w:val="00747E19"/>
    <w:rsid w:val="00750024"/>
    <w:rsid w:val="00750052"/>
    <w:rsid w:val="00750069"/>
    <w:rsid w:val="0075009C"/>
    <w:rsid w:val="00750104"/>
    <w:rsid w:val="00750179"/>
    <w:rsid w:val="007502F2"/>
    <w:rsid w:val="00750637"/>
    <w:rsid w:val="007506D0"/>
    <w:rsid w:val="00750725"/>
    <w:rsid w:val="00750748"/>
    <w:rsid w:val="00750793"/>
    <w:rsid w:val="0075084D"/>
    <w:rsid w:val="00750A61"/>
    <w:rsid w:val="00750A86"/>
    <w:rsid w:val="00750AF2"/>
    <w:rsid w:val="00750B11"/>
    <w:rsid w:val="00750D02"/>
    <w:rsid w:val="00750D0F"/>
    <w:rsid w:val="00750D9C"/>
    <w:rsid w:val="00750D9D"/>
    <w:rsid w:val="00750E66"/>
    <w:rsid w:val="00750EE3"/>
    <w:rsid w:val="00750F9D"/>
    <w:rsid w:val="00750FBA"/>
    <w:rsid w:val="00751048"/>
    <w:rsid w:val="00751106"/>
    <w:rsid w:val="00751307"/>
    <w:rsid w:val="007513D7"/>
    <w:rsid w:val="007515C7"/>
    <w:rsid w:val="00751660"/>
    <w:rsid w:val="0075175D"/>
    <w:rsid w:val="0075176D"/>
    <w:rsid w:val="0075192E"/>
    <w:rsid w:val="00751A48"/>
    <w:rsid w:val="00751B0B"/>
    <w:rsid w:val="00751B11"/>
    <w:rsid w:val="00751BBE"/>
    <w:rsid w:val="00751BE6"/>
    <w:rsid w:val="00751CFA"/>
    <w:rsid w:val="00751F7E"/>
    <w:rsid w:val="0075203A"/>
    <w:rsid w:val="0075209B"/>
    <w:rsid w:val="00752179"/>
    <w:rsid w:val="0075233A"/>
    <w:rsid w:val="0075234E"/>
    <w:rsid w:val="00752378"/>
    <w:rsid w:val="00752619"/>
    <w:rsid w:val="00752738"/>
    <w:rsid w:val="00752747"/>
    <w:rsid w:val="007527A9"/>
    <w:rsid w:val="00752814"/>
    <w:rsid w:val="00752863"/>
    <w:rsid w:val="00752946"/>
    <w:rsid w:val="007529B8"/>
    <w:rsid w:val="00752A07"/>
    <w:rsid w:val="00752A41"/>
    <w:rsid w:val="00752B98"/>
    <w:rsid w:val="00752C06"/>
    <w:rsid w:val="00752C3D"/>
    <w:rsid w:val="00752DED"/>
    <w:rsid w:val="00752DEE"/>
    <w:rsid w:val="00752EEA"/>
    <w:rsid w:val="00753069"/>
    <w:rsid w:val="00753145"/>
    <w:rsid w:val="00753221"/>
    <w:rsid w:val="007532CB"/>
    <w:rsid w:val="0075342B"/>
    <w:rsid w:val="00753538"/>
    <w:rsid w:val="007535E4"/>
    <w:rsid w:val="007535F7"/>
    <w:rsid w:val="0075362B"/>
    <w:rsid w:val="00753748"/>
    <w:rsid w:val="0075376D"/>
    <w:rsid w:val="007537B0"/>
    <w:rsid w:val="007537BC"/>
    <w:rsid w:val="00753821"/>
    <w:rsid w:val="00753B22"/>
    <w:rsid w:val="00753C04"/>
    <w:rsid w:val="00753D5B"/>
    <w:rsid w:val="00753F27"/>
    <w:rsid w:val="00753F40"/>
    <w:rsid w:val="00754001"/>
    <w:rsid w:val="00754078"/>
    <w:rsid w:val="007540C5"/>
    <w:rsid w:val="0075422A"/>
    <w:rsid w:val="0075424F"/>
    <w:rsid w:val="00754259"/>
    <w:rsid w:val="007542EE"/>
    <w:rsid w:val="0075435E"/>
    <w:rsid w:val="0075453C"/>
    <w:rsid w:val="00754593"/>
    <w:rsid w:val="00754613"/>
    <w:rsid w:val="00754700"/>
    <w:rsid w:val="007547DC"/>
    <w:rsid w:val="00754872"/>
    <w:rsid w:val="00754900"/>
    <w:rsid w:val="00754937"/>
    <w:rsid w:val="00754A21"/>
    <w:rsid w:val="00754B26"/>
    <w:rsid w:val="00754B3A"/>
    <w:rsid w:val="00754B77"/>
    <w:rsid w:val="00754BE6"/>
    <w:rsid w:val="00754C72"/>
    <w:rsid w:val="00754C7F"/>
    <w:rsid w:val="00754CF9"/>
    <w:rsid w:val="00754D48"/>
    <w:rsid w:val="00754DAD"/>
    <w:rsid w:val="00754DB0"/>
    <w:rsid w:val="00754DBE"/>
    <w:rsid w:val="00754F96"/>
    <w:rsid w:val="00755007"/>
    <w:rsid w:val="0075507A"/>
    <w:rsid w:val="007550B1"/>
    <w:rsid w:val="007551A7"/>
    <w:rsid w:val="00755324"/>
    <w:rsid w:val="007553DA"/>
    <w:rsid w:val="00755514"/>
    <w:rsid w:val="007555E9"/>
    <w:rsid w:val="007556A9"/>
    <w:rsid w:val="007556B6"/>
    <w:rsid w:val="0075571C"/>
    <w:rsid w:val="0075572B"/>
    <w:rsid w:val="007557F0"/>
    <w:rsid w:val="00755822"/>
    <w:rsid w:val="0075582F"/>
    <w:rsid w:val="00755AF5"/>
    <w:rsid w:val="00755B06"/>
    <w:rsid w:val="00755BE3"/>
    <w:rsid w:val="00755BF1"/>
    <w:rsid w:val="00755C3D"/>
    <w:rsid w:val="00755C51"/>
    <w:rsid w:val="00755C6D"/>
    <w:rsid w:val="00755CC0"/>
    <w:rsid w:val="00755DA6"/>
    <w:rsid w:val="00755DDB"/>
    <w:rsid w:val="00755E14"/>
    <w:rsid w:val="00755E22"/>
    <w:rsid w:val="00755E73"/>
    <w:rsid w:val="00755FCE"/>
    <w:rsid w:val="00756175"/>
    <w:rsid w:val="00756188"/>
    <w:rsid w:val="007562BC"/>
    <w:rsid w:val="0075642D"/>
    <w:rsid w:val="00756456"/>
    <w:rsid w:val="00756532"/>
    <w:rsid w:val="007566A1"/>
    <w:rsid w:val="0075691B"/>
    <w:rsid w:val="007569C3"/>
    <w:rsid w:val="00756A96"/>
    <w:rsid w:val="00756AD0"/>
    <w:rsid w:val="00756AFE"/>
    <w:rsid w:val="00756C3F"/>
    <w:rsid w:val="00756D40"/>
    <w:rsid w:val="00756E7A"/>
    <w:rsid w:val="00756E9F"/>
    <w:rsid w:val="00756ED9"/>
    <w:rsid w:val="00756EEC"/>
    <w:rsid w:val="00756EF5"/>
    <w:rsid w:val="00756FA9"/>
    <w:rsid w:val="00756FE9"/>
    <w:rsid w:val="007570A9"/>
    <w:rsid w:val="00757180"/>
    <w:rsid w:val="007571A6"/>
    <w:rsid w:val="0075720E"/>
    <w:rsid w:val="00757322"/>
    <w:rsid w:val="00757349"/>
    <w:rsid w:val="00757382"/>
    <w:rsid w:val="00757498"/>
    <w:rsid w:val="007574E4"/>
    <w:rsid w:val="0075756F"/>
    <w:rsid w:val="00757660"/>
    <w:rsid w:val="007576DE"/>
    <w:rsid w:val="00757845"/>
    <w:rsid w:val="00757895"/>
    <w:rsid w:val="007579DD"/>
    <w:rsid w:val="00757C2F"/>
    <w:rsid w:val="00757D80"/>
    <w:rsid w:val="00757F15"/>
    <w:rsid w:val="00760430"/>
    <w:rsid w:val="007604DB"/>
    <w:rsid w:val="0076051E"/>
    <w:rsid w:val="007607AE"/>
    <w:rsid w:val="007608C4"/>
    <w:rsid w:val="00760956"/>
    <w:rsid w:val="00760B47"/>
    <w:rsid w:val="00760C0E"/>
    <w:rsid w:val="00760CDD"/>
    <w:rsid w:val="00760E01"/>
    <w:rsid w:val="00760F0B"/>
    <w:rsid w:val="00760F10"/>
    <w:rsid w:val="00760F17"/>
    <w:rsid w:val="007611A5"/>
    <w:rsid w:val="0076134D"/>
    <w:rsid w:val="007613C2"/>
    <w:rsid w:val="00761525"/>
    <w:rsid w:val="0076176C"/>
    <w:rsid w:val="00761837"/>
    <w:rsid w:val="00761889"/>
    <w:rsid w:val="007619F4"/>
    <w:rsid w:val="00761AF9"/>
    <w:rsid w:val="00761B2D"/>
    <w:rsid w:val="00761B8F"/>
    <w:rsid w:val="00761C81"/>
    <w:rsid w:val="00761F6F"/>
    <w:rsid w:val="00762087"/>
    <w:rsid w:val="007620F6"/>
    <w:rsid w:val="00762136"/>
    <w:rsid w:val="00762193"/>
    <w:rsid w:val="00762228"/>
    <w:rsid w:val="0076227C"/>
    <w:rsid w:val="0076230A"/>
    <w:rsid w:val="00762332"/>
    <w:rsid w:val="00762429"/>
    <w:rsid w:val="007624FC"/>
    <w:rsid w:val="00762733"/>
    <w:rsid w:val="00762851"/>
    <w:rsid w:val="00762904"/>
    <w:rsid w:val="0076291A"/>
    <w:rsid w:val="0076293C"/>
    <w:rsid w:val="007629BE"/>
    <w:rsid w:val="007629BF"/>
    <w:rsid w:val="007629D0"/>
    <w:rsid w:val="007629E3"/>
    <w:rsid w:val="00762A05"/>
    <w:rsid w:val="00762A36"/>
    <w:rsid w:val="00762A8B"/>
    <w:rsid w:val="00762BDD"/>
    <w:rsid w:val="00762D1C"/>
    <w:rsid w:val="00762D62"/>
    <w:rsid w:val="00762DE1"/>
    <w:rsid w:val="00762E2A"/>
    <w:rsid w:val="007630B8"/>
    <w:rsid w:val="0076341D"/>
    <w:rsid w:val="00763428"/>
    <w:rsid w:val="007634B4"/>
    <w:rsid w:val="007635D5"/>
    <w:rsid w:val="007635E5"/>
    <w:rsid w:val="0076365F"/>
    <w:rsid w:val="00763798"/>
    <w:rsid w:val="00763A0E"/>
    <w:rsid w:val="00763A3D"/>
    <w:rsid w:val="00763CBD"/>
    <w:rsid w:val="00763D66"/>
    <w:rsid w:val="00763F12"/>
    <w:rsid w:val="00763FF7"/>
    <w:rsid w:val="007640CE"/>
    <w:rsid w:val="00764107"/>
    <w:rsid w:val="007641AA"/>
    <w:rsid w:val="00764226"/>
    <w:rsid w:val="00764355"/>
    <w:rsid w:val="00764398"/>
    <w:rsid w:val="0076444F"/>
    <w:rsid w:val="007644D2"/>
    <w:rsid w:val="007644DB"/>
    <w:rsid w:val="007645C2"/>
    <w:rsid w:val="00764607"/>
    <w:rsid w:val="00764812"/>
    <w:rsid w:val="00764858"/>
    <w:rsid w:val="00764B2E"/>
    <w:rsid w:val="00764B42"/>
    <w:rsid w:val="00764CAE"/>
    <w:rsid w:val="00764E25"/>
    <w:rsid w:val="00764E70"/>
    <w:rsid w:val="00764FCE"/>
    <w:rsid w:val="00765014"/>
    <w:rsid w:val="0076509E"/>
    <w:rsid w:val="0076547A"/>
    <w:rsid w:val="007654EE"/>
    <w:rsid w:val="007655ED"/>
    <w:rsid w:val="00765623"/>
    <w:rsid w:val="007656BB"/>
    <w:rsid w:val="0076570B"/>
    <w:rsid w:val="00765729"/>
    <w:rsid w:val="007657C7"/>
    <w:rsid w:val="00765977"/>
    <w:rsid w:val="0076598D"/>
    <w:rsid w:val="00765A5F"/>
    <w:rsid w:val="00765A84"/>
    <w:rsid w:val="00765B8E"/>
    <w:rsid w:val="00765B96"/>
    <w:rsid w:val="00765BB8"/>
    <w:rsid w:val="00765C12"/>
    <w:rsid w:val="00765D4F"/>
    <w:rsid w:val="00765DC3"/>
    <w:rsid w:val="00765E88"/>
    <w:rsid w:val="00765EB3"/>
    <w:rsid w:val="00765ED2"/>
    <w:rsid w:val="007660AF"/>
    <w:rsid w:val="007661B7"/>
    <w:rsid w:val="007662BE"/>
    <w:rsid w:val="0076630B"/>
    <w:rsid w:val="0076634C"/>
    <w:rsid w:val="007663A2"/>
    <w:rsid w:val="0076671E"/>
    <w:rsid w:val="007667F0"/>
    <w:rsid w:val="0076688A"/>
    <w:rsid w:val="007668D2"/>
    <w:rsid w:val="00766985"/>
    <w:rsid w:val="007669F5"/>
    <w:rsid w:val="00766B2F"/>
    <w:rsid w:val="00766B40"/>
    <w:rsid w:val="00766BD7"/>
    <w:rsid w:val="00766C5F"/>
    <w:rsid w:val="00766C88"/>
    <w:rsid w:val="00766D36"/>
    <w:rsid w:val="00766D58"/>
    <w:rsid w:val="00766D78"/>
    <w:rsid w:val="00766E8F"/>
    <w:rsid w:val="00766EF6"/>
    <w:rsid w:val="00766FBE"/>
    <w:rsid w:val="007670CF"/>
    <w:rsid w:val="0076737F"/>
    <w:rsid w:val="0076752B"/>
    <w:rsid w:val="007676AA"/>
    <w:rsid w:val="007676C5"/>
    <w:rsid w:val="00767848"/>
    <w:rsid w:val="00767861"/>
    <w:rsid w:val="00767891"/>
    <w:rsid w:val="00767A9C"/>
    <w:rsid w:val="00767B46"/>
    <w:rsid w:val="00767C2C"/>
    <w:rsid w:val="00767CFE"/>
    <w:rsid w:val="00767DCF"/>
    <w:rsid w:val="00767E34"/>
    <w:rsid w:val="007700E1"/>
    <w:rsid w:val="0077033E"/>
    <w:rsid w:val="007704AB"/>
    <w:rsid w:val="00770585"/>
    <w:rsid w:val="0077063F"/>
    <w:rsid w:val="0077066D"/>
    <w:rsid w:val="007707A3"/>
    <w:rsid w:val="00770A3B"/>
    <w:rsid w:val="00770A61"/>
    <w:rsid w:val="00770B0C"/>
    <w:rsid w:val="00770B1D"/>
    <w:rsid w:val="00770CAC"/>
    <w:rsid w:val="00770CDE"/>
    <w:rsid w:val="00770D23"/>
    <w:rsid w:val="00770EFC"/>
    <w:rsid w:val="00770F32"/>
    <w:rsid w:val="00770FEE"/>
    <w:rsid w:val="0077107D"/>
    <w:rsid w:val="007710A8"/>
    <w:rsid w:val="007710F8"/>
    <w:rsid w:val="0077110A"/>
    <w:rsid w:val="00771129"/>
    <w:rsid w:val="00771164"/>
    <w:rsid w:val="00771167"/>
    <w:rsid w:val="0077117E"/>
    <w:rsid w:val="007711E5"/>
    <w:rsid w:val="0077135B"/>
    <w:rsid w:val="00771446"/>
    <w:rsid w:val="0077144D"/>
    <w:rsid w:val="00771486"/>
    <w:rsid w:val="007714B7"/>
    <w:rsid w:val="007714CE"/>
    <w:rsid w:val="007715BF"/>
    <w:rsid w:val="00771685"/>
    <w:rsid w:val="00771708"/>
    <w:rsid w:val="0077170C"/>
    <w:rsid w:val="00771759"/>
    <w:rsid w:val="00771777"/>
    <w:rsid w:val="00771846"/>
    <w:rsid w:val="007718B2"/>
    <w:rsid w:val="007719FB"/>
    <w:rsid w:val="00771A8F"/>
    <w:rsid w:val="00771C04"/>
    <w:rsid w:val="00771E17"/>
    <w:rsid w:val="00771E83"/>
    <w:rsid w:val="00771EC4"/>
    <w:rsid w:val="00771FED"/>
    <w:rsid w:val="0077200D"/>
    <w:rsid w:val="00772158"/>
    <w:rsid w:val="00772244"/>
    <w:rsid w:val="007722A5"/>
    <w:rsid w:val="0077238B"/>
    <w:rsid w:val="007723D5"/>
    <w:rsid w:val="0077250B"/>
    <w:rsid w:val="007725E8"/>
    <w:rsid w:val="00772632"/>
    <w:rsid w:val="0077263C"/>
    <w:rsid w:val="0077265F"/>
    <w:rsid w:val="007726CD"/>
    <w:rsid w:val="0077273F"/>
    <w:rsid w:val="00772900"/>
    <w:rsid w:val="0077290B"/>
    <w:rsid w:val="0077299D"/>
    <w:rsid w:val="00772AC8"/>
    <w:rsid w:val="00772BD0"/>
    <w:rsid w:val="00772C3E"/>
    <w:rsid w:val="00772C8B"/>
    <w:rsid w:val="00772D84"/>
    <w:rsid w:val="00772DAC"/>
    <w:rsid w:val="00772F22"/>
    <w:rsid w:val="00772F86"/>
    <w:rsid w:val="00772FBA"/>
    <w:rsid w:val="0077310F"/>
    <w:rsid w:val="0077327B"/>
    <w:rsid w:val="00773334"/>
    <w:rsid w:val="00773351"/>
    <w:rsid w:val="00773499"/>
    <w:rsid w:val="00773620"/>
    <w:rsid w:val="0077363F"/>
    <w:rsid w:val="007736C3"/>
    <w:rsid w:val="007737C5"/>
    <w:rsid w:val="0077381D"/>
    <w:rsid w:val="0077382D"/>
    <w:rsid w:val="00773B17"/>
    <w:rsid w:val="00773C1E"/>
    <w:rsid w:val="00773C55"/>
    <w:rsid w:val="00773DAF"/>
    <w:rsid w:val="00773E57"/>
    <w:rsid w:val="00773EEF"/>
    <w:rsid w:val="00773FB6"/>
    <w:rsid w:val="00773FD6"/>
    <w:rsid w:val="00773FFB"/>
    <w:rsid w:val="007740A1"/>
    <w:rsid w:val="0077428C"/>
    <w:rsid w:val="00774488"/>
    <w:rsid w:val="00774588"/>
    <w:rsid w:val="00774643"/>
    <w:rsid w:val="007746E5"/>
    <w:rsid w:val="00774816"/>
    <w:rsid w:val="0077486D"/>
    <w:rsid w:val="0077495B"/>
    <w:rsid w:val="00774AF3"/>
    <w:rsid w:val="00774AF4"/>
    <w:rsid w:val="00774BE9"/>
    <w:rsid w:val="00774D44"/>
    <w:rsid w:val="00774DCB"/>
    <w:rsid w:val="00774DD2"/>
    <w:rsid w:val="00774E6E"/>
    <w:rsid w:val="00774EA7"/>
    <w:rsid w:val="00774F1D"/>
    <w:rsid w:val="00774F73"/>
    <w:rsid w:val="00775021"/>
    <w:rsid w:val="0077503D"/>
    <w:rsid w:val="00775071"/>
    <w:rsid w:val="007750A6"/>
    <w:rsid w:val="007750C2"/>
    <w:rsid w:val="00775142"/>
    <w:rsid w:val="007751C5"/>
    <w:rsid w:val="007751E4"/>
    <w:rsid w:val="00775214"/>
    <w:rsid w:val="007753A7"/>
    <w:rsid w:val="0077544A"/>
    <w:rsid w:val="00775809"/>
    <w:rsid w:val="007758B0"/>
    <w:rsid w:val="0077590C"/>
    <w:rsid w:val="00775993"/>
    <w:rsid w:val="00775A5D"/>
    <w:rsid w:val="00775AAF"/>
    <w:rsid w:val="00775B21"/>
    <w:rsid w:val="00775B54"/>
    <w:rsid w:val="00775BB9"/>
    <w:rsid w:val="00775C7C"/>
    <w:rsid w:val="00775D3E"/>
    <w:rsid w:val="00775DA9"/>
    <w:rsid w:val="00775E2E"/>
    <w:rsid w:val="00775E7C"/>
    <w:rsid w:val="00775EEF"/>
    <w:rsid w:val="007761EE"/>
    <w:rsid w:val="007761F6"/>
    <w:rsid w:val="00776200"/>
    <w:rsid w:val="007762F9"/>
    <w:rsid w:val="00776390"/>
    <w:rsid w:val="0077641D"/>
    <w:rsid w:val="00776524"/>
    <w:rsid w:val="00776676"/>
    <w:rsid w:val="0077672C"/>
    <w:rsid w:val="00776732"/>
    <w:rsid w:val="0077677D"/>
    <w:rsid w:val="007767F6"/>
    <w:rsid w:val="007768CE"/>
    <w:rsid w:val="00776987"/>
    <w:rsid w:val="007769A1"/>
    <w:rsid w:val="007769A2"/>
    <w:rsid w:val="00776A9D"/>
    <w:rsid w:val="00776B85"/>
    <w:rsid w:val="00776C0E"/>
    <w:rsid w:val="00776CC0"/>
    <w:rsid w:val="00776D2C"/>
    <w:rsid w:val="00776E2E"/>
    <w:rsid w:val="00776EAD"/>
    <w:rsid w:val="00777005"/>
    <w:rsid w:val="007770D7"/>
    <w:rsid w:val="007770FE"/>
    <w:rsid w:val="00777231"/>
    <w:rsid w:val="007773D8"/>
    <w:rsid w:val="0077745C"/>
    <w:rsid w:val="0077753E"/>
    <w:rsid w:val="0077755B"/>
    <w:rsid w:val="0077756F"/>
    <w:rsid w:val="00777750"/>
    <w:rsid w:val="00777764"/>
    <w:rsid w:val="00777921"/>
    <w:rsid w:val="00777AE9"/>
    <w:rsid w:val="00777B77"/>
    <w:rsid w:val="00777B99"/>
    <w:rsid w:val="00777C9C"/>
    <w:rsid w:val="00777D19"/>
    <w:rsid w:val="00777DDD"/>
    <w:rsid w:val="00777DFA"/>
    <w:rsid w:val="00777FA7"/>
    <w:rsid w:val="00777FA8"/>
    <w:rsid w:val="0078004B"/>
    <w:rsid w:val="0078010A"/>
    <w:rsid w:val="0078029B"/>
    <w:rsid w:val="00780412"/>
    <w:rsid w:val="00780886"/>
    <w:rsid w:val="00780AA5"/>
    <w:rsid w:val="00780B0F"/>
    <w:rsid w:val="00780B7A"/>
    <w:rsid w:val="00780BD0"/>
    <w:rsid w:val="00780BFD"/>
    <w:rsid w:val="00780E2F"/>
    <w:rsid w:val="00780E4F"/>
    <w:rsid w:val="00780E6C"/>
    <w:rsid w:val="00780F2D"/>
    <w:rsid w:val="00780F41"/>
    <w:rsid w:val="00780F64"/>
    <w:rsid w:val="007810B2"/>
    <w:rsid w:val="00781134"/>
    <w:rsid w:val="00781270"/>
    <w:rsid w:val="007813E8"/>
    <w:rsid w:val="007814FE"/>
    <w:rsid w:val="00781786"/>
    <w:rsid w:val="00781A19"/>
    <w:rsid w:val="00781A71"/>
    <w:rsid w:val="00781B5C"/>
    <w:rsid w:val="00781BDF"/>
    <w:rsid w:val="00781C34"/>
    <w:rsid w:val="00781C63"/>
    <w:rsid w:val="00781C81"/>
    <w:rsid w:val="00781EF3"/>
    <w:rsid w:val="00782018"/>
    <w:rsid w:val="007821FE"/>
    <w:rsid w:val="007823D3"/>
    <w:rsid w:val="007825A5"/>
    <w:rsid w:val="007827AC"/>
    <w:rsid w:val="007827F5"/>
    <w:rsid w:val="0078281E"/>
    <w:rsid w:val="00782C47"/>
    <w:rsid w:val="00782CDC"/>
    <w:rsid w:val="00782D2B"/>
    <w:rsid w:val="00782E19"/>
    <w:rsid w:val="00782E53"/>
    <w:rsid w:val="00782F30"/>
    <w:rsid w:val="00782F62"/>
    <w:rsid w:val="007830A8"/>
    <w:rsid w:val="007831F6"/>
    <w:rsid w:val="0078361B"/>
    <w:rsid w:val="00783737"/>
    <w:rsid w:val="00783851"/>
    <w:rsid w:val="007838EF"/>
    <w:rsid w:val="00783AB2"/>
    <w:rsid w:val="00783AD3"/>
    <w:rsid w:val="00783C32"/>
    <w:rsid w:val="00783C89"/>
    <w:rsid w:val="00783D6C"/>
    <w:rsid w:val="00783F9F"/>
    <w:rsid w:val="00783FDA"/>
    <w:rsid w:val="00784122"/>
    <w:rsid w:val="0078421A"/>
    <w:rsid w:val="0078430C"/>
    <w:rsid w:val="00784314"/>
    <w:rsid w:val="007843D1"/>
    <w:rsid w:val="007844B2"/>
    <w:rsid w:val="00784591"/>
    <w:rsid w:val="007845CB"/>
    <w:rsid w:val="007847DB"/>
    <w:rsid w:val="0078482F"/>
    <w:rsid w:val="0078484A"/>
    <w:rsid w:val="00784914"/>
    <w:rsid w:val="00784AB1"/>
    <w:rsid w:val="00784B52"/>
    <w:rsid w:val="00784C62"/>
    <w:rsid w:val="00784CB3"/>
    <w:rsid w:val="00784CE4"/>
    <w:rsid w:val="00784F68"/>
    <w:rsid w:val="007850DB"/>
    <w:rsid w:val="007851E1"/>
    <w:rsid w:val="00785281"/>
    <w:rsid w:val="007852AF"/>
    <w:rsid w:val="00785409"/>
    <w:rsid w:val="0078540C"/>
    <w:rsid w:val="0078542B"/>
    <w:rsid w:val="007854E8"/>
    <w:rsid w:val="00785518"/>
    <w:rsid w:val="0078551B"/>
    <w:rsid w:val="007855FA"/>
    <w:rsid w:val="0078563E"/>
    <w:rsid w:val="00785654"/>
    <w:rsid w:val="0078571F"/>
    <w:rsid w:val="0078597B"/>
    <w:rsid w:val="007859C2"/>
    <w:rsid w:val="007859C9"/>
    <w:rsid w:val="00785A69"/>
    <w:rsid w:val="00785A75"/>
    <w:rsid w:val="00785AA3"/>
    <w:rsid w:val="00785ADD"/>
    <w:rsid w:val="00785BB8"/>
    <w:rsid w:val="00785C20"/>
    <w:rsid w:val="00785C8D"/>
    <w:rsid w:val="00785CD2"/>
    <w:rsid w:val="00785CFB"/>
    <w:rsid w:val="00785DD1"/>
    <w:rsid w:val="00785EC9"/>
    <w:rsid w:val="00785ED7"/>
    <w:rsid w:val="007861E3"/>
    <w:rsid w:val="00786519"/>
    <w:rsid w:val="007867DD"/>
    <w:rsid w:val="007867E2"/>
    <w:rsid w:val="0078685F"/>
    <w:rsid w:val="007868B4"/>
    <w:rsid w:val="0078692A"/>
    <w:rsid w:val="0078692B"/>
    <w:rsid w:val="00786B0E"/>
    <w:rsid w:val="00786D70"/>
    <w:rsid w:val="00786DF4"/>
    <w:rsid w:val="00786EF0"/>
    <w:rsid w:val="00786FAA"/>
    <w:rsid w:val="00786FC8"/>
    <w:rsid w:val="00787105"/>
    <w:rsid w:val="0078713B"/>
    <w:rsid w:val="007871EB"/>
    <w:rsid w:val="0078735A"/>
    <w:rsid w:val="007873DC"/>
    <w:rsid w:val="00787581"/>
    <w:rsid w:val="0078772D"/>
    <w:rsid w:val="00787762"/>
    <w:rsid w:val="00787793"/>
    <w:rsid w:val="007879B8"/>
    <w:rsid w:val="007879C9"/>
    <w:rsid w:val="00787A05"/>
    <w:rsid w:val="00787A2D"/>
    <w:rsid w:val="00787AE0"/>
    <w:rsid w:val="00787D4E"/>
    <w:rsid w:val="00787D57"/>
    <w:rsid w:val="00787ECA"/>
    <w:rsid w:val="00787EE7"/>
    <w:rsid w:val="00787F65"/>
    <w:rsid w:val="0079010F"/>
    <w:rsid w:val="0079012C"/>
    <w:rsid w:val="00790217"/>
    <w:rsid w:val="0079023C"/>
    <w:rsid w:val="007902C2"/>
    <w:rsid w:val="007902D2"/>
    <w:rsid w:val="007902D5"/>
    <w:rsid w:val="007902F5"/>
    <w:rsid w:val="00790405"/>
    <w:rsid w:val="0079074A"/>
    <w:rsid w:val="007907E4"/>
    <w:rsid w:val="0079080B"/>
    <w:rsid w:val="007909FF"/>
    <w:rsid w:val="00790A18"/>
    <w:rsid w:val="00790AE4"/>
    <w:rsid w:val="00790BC7"/>
    <w:rsid w:val="00790C25"/>
    <w:rsid w:val="00790DC4"/>
    <w:rsid w:val="00790F8E"/>
    <w:rsid w:val="00790F90"/>
    <w:rsid w:val="00790FFD"/>
    <w:rsid w:val="00791026"/>
    <w:rsid w:val="0079119F"/>
    <w:rsid w:val="007911F5"/>
    <w:rsid w:val="007912A3"/>
    <w:rsid w:val="007913B4"/>
    <w:rsid w:val="007915D3"/>
    <w:rsid w:val="007918F5"/>
    <w:rsid w:val="00791AE0"/>
    <w:rsid w:val="0079203C"/>
    <w:rsid w:val="00792162"/>
    <w:rsid w:val="0079241D"/>
    <w:rsid w:val="00792438"/>
    <w:rsid w:val="0079255A"/>
    <w:rsid w:val="007926CF"/>
    <w:rsid w:val="007926ED"/>
    <w:rsid w:val="0079286C"/>
    <w:rsid w:val="00792A10"/>
    <w:rsid w:val="00792A17"/>
    <w:rsid w:val="00792A59"/>
    <w:rsid w:val="00792C25"/>
    <w:rsid w:val="00792F98"/>
    <w:rsid w:val="0079315E"/>
    <w:rsid w:val="007932CD"/>
    <w:rsid w:val="007932FE"/>
    <w:rsid w:val="007934D5"/>
    <w:rsid w:val="007934F2"/>
    <w:rsid w:val="007935F9"/>
    <w:rsid w:val="00793629"/>
    <w:rsid w:val="00793696"/>
    <w:rsid w:val="007936AC"/>
    <w:rsid w:val="0079373F"/>
    <w:rsid w:val="007937BC"/>
    <w:rsid w:val="00793800"/>
    <w:rsid w:val="00793978"/>
    <w:rsid w:val="00793A93"/>
    <w:rsid w:val="00793AD6"/>
    <w:rsid w:val="00793B71"/>
    <w:rsid w:val="00793C47"/>
    <w:rsid w:val="00793D00"/>
    <w:rsid w:val="00793D63"/>
    <w:rsid w:val="00793E5C"/>
    <w:rsid w:val="00793E5F"/>
    <w:rsid w:val="00794069"/>
    <w:rsid w:val="00794100"/>
    <w:rsid w:val="0079425F"/>
    <w:rsid w:val="00794284"/>
    <w:rsid w:val="00794299"/>
    <w:rsid w:val="007943B5"/>
    <w:rsid w:val="0079458F"/>
    <w:rsid w:val="00794672"/>
    <w:rsid w:val="007948D4"/>
    <w:rsid w:val="00794919"/>
    <w:rsid w:val="00794A61"/>
    <w:rsid w:val="00794B5D"/>
    <w:rsid w:val="00794BC1"/>
    <w:rsid w:val="00794D43"/>
    <w:rsid w:val="00795201"/>
    <w:rsid w:val="0079524E"/>
    <w:rsid w:val="00795318"/>
    <w:rsid w:val="00795401"/>
    <w:rsid w:val="007954A3"/>
    <w:rsid w:val="0079558A"/>
    <w:rsid w:val="0079573C"/>
    <w:rsid w:val="00795787"/>
    <w:rsid w:val="007957CF"/>
    <w:rsid w:val="0079590F"/>
    <w:rsid w:val="0079597A"/>
    <w:rsid w:val="007959A2"/>
    <w:rsid w:val="00795A14"/>
    <w:rsid w:val="00795A75"/>
    <w:rsid w:val="00795AC0"/>
    <w:rsid w:val="00795B78"/>
    <w:rsid w:val="00795C08"/>
    <w:rsid w:val="00795C13"/>
    <w:rsid w:val="00795DD6"/>
    <w:rsid w:val="00795E89"/>
    <w:rsid w:val="00795F6F"/>
    <w:rsid w:val="00795F9D"/>
    <w:rsid w:val="0079631A"/>
    <w:rsid w:val="007963C2"/>
    <w:rsid w:val="00796581"/>
    <w:rsid w:val="00796751"/>
    <w:rsid w:val="00796760"/>
    <w:rsid w:val="00796761"/>
    <w:rsid w:val="00796999"/>
    <w:rsid w:val="007969C3"/>
    <w:rsid w:val="00796A40"/>
    <w:rsid w:val="00796AEF"/>
    <w:rsid w:val="00796B5A"/>
    <w:rsid w:val="00796D49"/>
    <w:rsid w:val="00796DBB"/>
    <w:rsid w:val="00796EA1"/>
    <w:rsid w:val="00796FFC"/>
    <w:rsid w:val="00797133"/>
    <w:rsid w:val="0079717A"/>
    <w:rsid w:val="00797335"/>
    <w:rsid w:val="007973AE"/>
    <w:rsid w:val="007975AA"/>
    <w:rsid w:val="007975F5"/>
    <w:rsid w:val="00797743"/>
    <w:rsid w:val="0079784D"/>
    <w:rsid w:val="00797A44"/>
    <w:rsid w:val="00797A9E"/>
    <w:rsid w:val="00797B39"/>
    <w:rsid w:val="00797C1D"/>
    <w:rsid w:val="00797C40"/>
    <w:rsid w:val="00797E1A"/>
    <w:rsid w:val="00797E2B"/>
    <w:rsid w:val="00797F7B"/>
    <w:rsid w:val="00797FB6"/>
    <w:rsid w:val="00797FE6"/>
    <w:rsid w:val="007A00BB"/>
    <w:rsid w:val="007A01C8"/>
    <w:rsid w:val="007A01F6"/>
    <w:rsid w:val="007A029E"/>
    <w:rsid w:val="007A02AB"/>
    <w:rsid w:val="007A02B1"/>
    <w:rsid w:val="007A034E"/>
    <w:rsid w:val="007A04DA"/>
    <w:rsid w:val="007A060B"/>
    <w:rsid w:val="007A0721"/>
    <w:rsid w:val="007A07BF"/>
    <w:rsid w:val="007A07D3"/>
    <w:rsid w:val="007A0806"/>
    <w:rsid w:val="007A0A56"/>
    <w:rsid w:val="007A0AA3"/>
    <w:rsid w:val="007A0D24"/>
    <w:rsid w:val="007A0E45"/>
    <w:rsid w:val="007A0EDE"/>
    <w:rsid w:val="007A0F1F"/>
    <w:rsid w:val="007A0F3F"/>
    <w:rsid w:val="007A0F97"/>
    <w:rsid w:val="007A10A5"/>
    <w:rsid w:val="007A10CA"/>
    <w:rsid w:val="007A14AA"/>
    <w:rsid w:val="007A1521"/>
    <w:rsid w:val="007A1648"/>
    <w:rsid w:val="007A1836"/>
    <w:rsid w:val="007A18AD"/>
    <w:rsid w:val="007A18B6"/>
    <w:rsid w:val="007A18E5"/>
    <w:rsid w:val="007A1BA4"/>
    <w:rsid w:val="007A1BED"/>
    <w:rsid w:val="007A1D8B"/>
    <w:rsid w:val="007A1DB9"/>
    <w:rsid w:val="007A1F37"/>
    <w:rsid w:val="007A1F77"/>
    <w:rsid w:val="007A2065"/>
    <w:rsid w:val="007A20F7"/>
    <w:rsid w:val="007A22D7"/>
    <w:rsid w:val="007A2436"/>
    <w:rsid w:val="007A24B9"/>
    <w:rsid w:val="007A256A"/>
    <w:rsid w:val="007A2577"/>
    <w:rsid w:val="007A2606"/>
    <w:rsid w:val="007A26EE"/>
    <w:rsid w:val="007A2755"/>
    <w:rsid w:val="007A2820"/>
    <w:rsid w:val="007A29FE"/>
    <w:rsid w:val="007A2A82"/>
    <w:rsid w:val="007A2AF3"/>
    <w:rsid w:val="007A2B88"/>
    <w:rsid w:val="007A2D9C"/>
    <w:rsid w:val="007A2F01"/>
    <w:rsid w:val="007A2F3E"/>
    <w:rsid w:val="007A2FB0"/>
    <w:rsid w:val="007A30DD"/>
    <w:rsid w:val="007A3282"/>
    <w:rsid w:val="007A32BE"/>
    <w:rsid w:val="007A3358"/>
    <w:rsid w:val="007A33AF"/>
    <w:rsid w:val="007A35E6"/>
    <w:rsid w:val="007A36A3"/>
    <w:rsid w:val="007A36A7"/>
    <w:rsid w:val="007A380B"/>
    <w:rsid w:val="007A38F0"/>
    <w:rsid w:val="007A39D3"/>
    <w:rsid w:val="007A3A9B"/>
    <w:rsid w:val="007A3B0C"/>
    <w:rsid w:val="007A3B28"/>
    <w:rsid w:val="007A3BBE"/>
    <w:rsid w:val="007A3CE7"/>
    <w:rsid w:val="007A3D11"/>
    <w:rsid w:val="007A3D3B"/>
    <w:rsid w:val="007A3E17"/>
    <w:rsid w:val="007A3F2E"/>
    <w:rsid w:val="007A3F97"/>
    <w:rsid w:val="007A42C5"/>
    <w:rsid w:val="007A4416"/>
    <w:rsid w:val="007A449B"/>
    <w:rsid w:val="007A4505"/>
    <w:rsid w:val="007A45FB"/>
    <w:rsid w:val="007A4694"/>
    <w:rsid w:val="007A46BC"/>
    <w:rsid w:val="007A47FB"/>
    <w:rsid w:val="007A47FD"/>
    <w:rsid w:val="007A4842"/>
    <w:rsid w:val="007A4A52"/>
    <w:rsid w:val="007A4B4A"/>
    <w:rsid w:val="007A4CFB"/>
    <w:rsid w:val="007A4D1C"/>
    <w:rsid w:val="007A4D9D"/>
    <w:rsid w:val="007A4DC1"/>
    <w:rsid w:val="007A4DE8"/>
    <w:rsid w:val="007A4E35"/>
    <w:rsid w:val="007A503B"/>
    <w:rsid w:val="007A50EB"/>
    <w:rsid w:val="007A53F0"/>
    <w:rsid w:val="007A542E"/>
    <w:rsid w:val="007A5594"/>
    <w:rsid w:val="007A55EC"/>
    <w:rsid w:val="007A5662"/>
    <w:rsid w:val="007A5930"/>
    <w:rsid w:val="007A59A2"/>
    <w:rsid w:val="007A59E3"/>
    <w:rsid w:val="007A5BC4"/>
    <w:rsid w:val="007A5C31"/>
    <w:rsid w:val="007A5D3A"/>
    <w:rsid w:val="007A5F69"/>
    <w:rsid w:val="007A601F"/>
    <w:rsid w:val="007A6042"/>
    <w:rsid w:val="007A60E5"/>
    <w:rsid w:val="007A6178"/>
    <w:rsid w:val="007A618D"/>
    <w:rsid w:val="007A6738"/>
    <w:rsid w:val="007A692B"/>
    <w:rsid w:val="007A6964"/>
    <w:rsid w:val="007A6A78"/>
    <w:rsid w:val="007A6AE7"/>
    <w:rsid w:val="007A6BBD"/>
    <w:rsid w:val="007A6BC5"/>
    <w:rsid w:val="007A6CE6"/>
    <w:rsid w:val="007A6CEF"/>
    <w:rsid w:val="007A6D0C"/>
    <w:rsid w:val="007A6D5E"/>
    <w:rsid w:val="007A6E3A"/>
    <w:rsid w:val="007A6EAB"/>
    <w:rsid w:val="007A6F22"/>
    <w:rsid w:val="007A6F2F"/>
    <w:rsid w:val="007A6F3B"/>
    <w:rsid w:val="007A7037"/>
    <w:rsid w:val="007A7099"/>
    <w:rsid w:val="007A7135"/>
    <w:rsid w:val="007A71FC"/>
    <w:rsid w:val="007A72B7"/>
    <w:rsid w:val="007A7453"/>
    <w:rsid w:val="007A749C"/>
    <w:rsid w:val="007A760C"/>
    <w:rsid w:val="007A763F"/>
    <w:rsid w:val="007A769D"/>
    <w:rsid w:val="007A7761"/>
    <w:rsid w:val="007A77C0"/>
    <w:rsid w:val="007A780C"/>
    <w:rsid w:val="007A7887"/>
    <w:rsid w:val="007A7896"/>
    <w:rsid w:val="007A78A6"/>
    <w:rsid w:val="007A7978"/>
    <w:rsid w:val="007A79DB"/>
    <w:rsid w:val="007A7AE4"/>
    <w:rsid w:val="007A7BED"/>
    <w:rsid w:val="007A7BF8"/>
    <w:rsid w:val="007A7FE5"/>
    <w:rsid w:val="007B0056"/>
    <w:rsid w:val="007B005C"/>
    <w:rsid w:val="007B0250"/>
    <w:rsid w:val="007B02AB"/>
    <w:rsid w:val="007B030F"/>
    <w:rsid w:val="007B0382"/>
    <w:rsid w:val="007B0387"/>
    <w:rsid w:val="007B0473"/>
    <w:rsid w:val="007B07B7"/>
    <w:rsid w:val="007B09AB"/>
    <w:rsid w:val="007B09D2"/>
    <w:rsid w:val="007B0A3C"/>
    <w:rsid w:val="007B0B12"/>
    <w:rsid w:val="007B0BA0"/>
    <w:rsid w:val="007B0CAB"/>
    <w:rsid w:val="007B0D40"/>
    <w:rsid w:val="007B0E11"/>
    <w:rsid w:val="007B0E8B"/>
    <w:rsid w:val="007B0E95"/>
    <w:rsid w:val="007B0ED4"/>
    <w:rsid w:val="007B0F05"/>
    <w:rsid w:val="007B0FBE"/>
    <w:rsid w:val="007B10C4"/>
    <w:rsid w:val="007B110E"/>
    <w:rsid w:val="007B1126"/>
    <w:rsid w:val="007B1384"/>
    <w:rsid w:val="007B13E0"/>
    <w:rsid w:val="007B13EA"/>
    <w:rsid w:val="007B1447"/>
    <w:rsid w:val="007B1655"/>
    <w:rsid w:val="007B17FD"/>
    <w:rsid w:val="007B1894"/>
    <w:rsid w:val="007B18B7"/>
    <w:rsid w:val="007B18C2"/>
    <w:rsid w:val="007B1ACD"/>
    <w:rsid w:val="007B1B7D"/>
    <w:rsid w:val="007B1C4D"/>
    <w:rsid w:val="007B1D7A"/>
    <w:rsid w:val="007B1E8F"/>
    <w:rsid w:val="007B1FEE"/>
    <w:rsid w:val="007B2014"/>
    <w:rsid w:val="007B210D"/>
    <w:rsid w:val="007B2198"/>
    <w:rsid w:val="007B22D5"/>
    <w:rsid w:val="007B2316"/>
    <w:rsid w:val="007B234C"/>
    <w:rsid w:val="007B2387"/>
    <w:rsid w:val="007B24BD"/>
    <w:rsid w:val="007B2817"/>
    <w:rsid w:val="007B2A4D"/>
    <w:rsid w:val="007B2AB6"/>
    <w:rsid w:val="007B2B04"/>
    <w:rsid w:val="007B2C10"/>
    <w:rsid w:val="007B2C76"/>
    <w:rsid w:val="007B2C90"/>
    <w:rsid w:val="007B2CF0"/>
    <w:rsid w:val="007B2D7D"/>
    <w:rsid w:val="007B2DD1"/>
    <w:rsid w:val="007B2E35"/>
    <w:rsid w:val="007B2EAD"/>
    <w:rsid w:val="007B2EC8"/>
    <w:rsid w:val="007B2EE9"/>
    <w:rsid w:val="007B305C"/>
    <w:rsid w:val="007B3650"/>
    <w:rsid w:val="007B37E8"/>
    <w:rsid w:val="007B38E8"/>
    <w:rsid w:val="007B3BAF"/>
    <w:rsid w:val="007B3C2C"/>
    <w:rsid w:val="007B3C6E"/>
    <w:rsid w:val="007B3DE9"/>
    <w:rsid w:val="007B3DFB"/>
    <w:rsid w:val="007B3E74"/>
    <w:rsid w:val="007B3F6D"/>
    <w:rsid w:val="007B421D"/>
    <w:rsid w:val="007B4390"/>
    <w:rsid w:val="007B45D6"/>
    <w:rsid w:val="007B45D7"/>
    <w:rsid w:val="007B463C"/>
    <w:rsid w:val="007B4838"/>
    <w:rsid w:val="007B485E"/>
    <w:rsid w:val="007B4893"/>
    <w:rsid w:val="007B497F"/>
    <w:rsid w:val="007B49F4"/>
    <w:rsid w:val="007B4C8C"/>
    <w:rsid w:val="007B4E98"/>
    <w:rsid w:val="007B4EFA"/>
    <w:rsid w:val="007B4EFB"/>
    <w:rsid w:val="007B4F4E"/>
    <w:rsid w:val="007B4F66"/>
    <w:rsid w:val="007B4FCD"/>
    <w:rsid w:val="007B4FE3"/>
    <w:rsid w:val="007B5167"/>
    <w:rsid w:val="007B522C"/>
    <w:rsid w:val="007B530C"/>
    <w:rsid w:val="007B5402"/>
    <w:rsid w:val="007B57E7"/>
    <w:rsid w:val="007B588F"/>
    <w:rsid w:val="007B5BB5"/>
    <w:rsid w:val="007B5C59"/>
    <w:rsid w:val="007B5E6F"/>
    <w:rsid w:val="007B5EB5"/>
    <w:rsid w:val="007B5F5A"/>
    <w:rsid w:val="007B608B"/>
    <w:rsid w:val="007B6183"/>
    <w:rsid w:val="007B6300"/>
    <w:rsid w:val="007B634B"/>
    <w:rsid w:val="007B643B"/>
    <w:rsid w:val="007B65B1"/>
    <w:rsid w:val="007B65C8"/>
    <w:rsid w:val="007B66D2"/>
    <w:rsid w:val="007B66FA"/>
    <w:rsid w:val="007B67A2"/>
    <w:rsid w:val="007B6896"/>
    <w:rsid w:val="007B69B6"/>
    <w:rsid w:val="007B69DB"/>
    <w:rsid w:val="007B6C8B"/>
    <w:rsid w:val="007B6D05"/>
    <w:rsid w:val="007B6DF2"/>
    <w:rsid w:val="007B6E21"/>
    <w:rsid w:val="007B6EFC"/>
    <w:rsid w:val="007B6F54"/>
    <w:rsid w:val="007B7086"/>
    <w:rsid w:val="007B7175"/>
    <w:rsid w:val="007B722B"/>
    <w:rsid w:val="007B723A"/>
    <w:rsid w:val="007B7438"/>
    <w:rsid w:val="007B7477"/>
    <w:rsid w:val="007B749E"/>
    <w:rsid w:val="007B751E"/>
    <w:rsid w:val="007B75BF"/>
    <w:rsid w:val="007B7694"/>
    <w:rsid w:val="007B7802"/>
    <w:rsid w:val="007B78D8"/>
    <w:rsid w:val="007B793F"/>
    <w:rsid w:val="007B79B9"/>
    <w:rsid w:val="007B7A1A"/>
    <w:rsid w:val="007B7A79"/>
    <w:rsid w:val="007B7D49"/>
    <w:rsid w:val="007B7D95"/>
    <w:rsid w:val="007B7DE8"/>
    <w:rsid w:val="007B7ECB"/>
    <w:rsid w:val="007B7F7B"/>
    <w:rsid w:val="007B7FDC"/>
    <w:rsid w:val="007C0078"/>
    <w:rsid w:val="007C0501"/>
    <w:rsid w:val="007C0604"/>
    <w:rsid w:val="007C0623"/>
    <w:rsid w:val="007C0698"/>
    <w:rsid w:val="007C08DA"/>
    <w:rsid w:val="007C092F"/>
    <w:rsid w:val="007C0AC7"/>
    <w:rsid w:val="007C0B11"/>
    <w:rsid w:val="007C0B41"/>
    <w:rsid w:val="007C0D56"/>
    <w:rsid w:val="007C0F77"/>
    <w:rsid w:val="007C0FD2"/>
    <w:rsid w:val="007C10F6"/>
    <w:rsid w:val="007C111D"/>
    <w:rsid w:val="007C1142"/>
    <w:rsid w:val="007C1178"/>
    <w:rsid w:val="007C1183"/>
    <w:rsid w:val="007C1213"/>
    <w:rsid w:val="007C1536"/>
    <w:rsid w:val="007C1555"/>
    <w:rsid w:val="007C167F"/>
    <w:rsid w:val="007C169E"/>
    <w:rsid w:val="007C16A7"/>
    <w:rsid w:val="007C170F"/>
    <w:rsid w:val="007C1716"/>
    <w:rsid w:val="007C181D"/>
    <w:rsid w:val="007C185C"/>
    <w:rsid w:val="007C1916"/>
    <w:rsid w:val="007C19F0"/>
    <w:rsid w:val="007C1F9B"/>
    <w:rsid w:val="007C1FC1"/>
    <w:rsid w:val="007C2086"/>
    <w:rsid w:val="007C2160"/>
    <w:rsid w:val="007C220A"/>
    <w:rsid w:val="007C2233"/>
    <w:rsid w:val="007C233C"/>
    <w:rsid w:val="007C23CF"/>
    <w:rsid w:val="007C24B4"/>
    <w:rsid w:val="007C2530"/>
    <w:rsid w:val="007C2559"/>
    <w:rsid w:val="007C2637"/>
    <w:rsid w:val="007C265F"/>
    <w:rsid w:val="007C26E8"/>
    <w:rsid w:val="007C2715"/>
    <w:rsid w:val="007C281A"/>
    <w:rsid w:val="007C28B2"/>
    <w:rsid w:val="007C29E9"/>
    <w:rsid w:val="007C2A2E"/>
    <w:rsid w:val="007C2A6E"/>
    <w:rsid w:val="007C2AAC"/>
    <w:rsid w:val="007C2EB8"/>
    <w:rsid w:val="007C2F96"/>
    <w:rsid w:val="007C30AF"/>
    <w:rsid w:val="007C30E5"/>
    <w:rsid w:val="007C3120"/>
    <w:rsid w:val="007C320A"/>
    <w:rsid w:val="007C3337"/>
    <w:rsid w:val="007C336C"/>
    <w:rsid w:val="007C3428"/>
    <w:rsid w:val="007C3545"/>
    <w:rsid w:val="007C3812"/>
    <w:rsid w:val="007C389F"/>
    <w:rsid w:val="007C38B3"/>
    <w:rsid w:val="007C3983"/>
    <w:rsid w:val="007C3AB7"/>
    <w:rsid w:val="007C3B66"/>
    <w:rsid w:val="007C3DC8"/>
    <w:rsid w:val="007C3DDC"/>
    <w:rsid w:val="007C3E1F"/>
    <w:rsid w:val="007C3ED7"/>
    <w:rsid w:val="007C3F6D"/>
    <w:rsid w:val="007C3FE0"/>
    <w:rsid w:val="007C4078"/>
    <w:rsid w:val="007C41C9"/>
    <w:rsid w:val="007C4323"/>
    <w:rsid w:val="007C4432"/>
    <w:rsid w:val="007C456C"/>
    <w:rsid w:val="007C4635"/>
    <w:rsid w:val="007C465D"/>
    <w:rsid w:val="007C4688"/>
    <w:rsid w:val="007C4725"/>
    <w:rsid w:val="007C4811"/>
    <w:rsid w:val="007C482C"/>
    <w:rsid w:val="007C488C"/>
    <w:rsid w:val="007C4A65"/>
    <w:rsid w:val="007C4C5B"/>
    <w:rsid w:val="007C4EFB"/>
    <w:rsid w:val="007C50B9"/>
    <w:rsid w:val="007C51F3"/>
    <w:rsid w:val="007C5311"/>
    <w:rsid w:val="007C5745"/>
    <w:rsid w:val="007C576B"/>
    <w:rsid w:val="007C5807"/>
    <w:rsid w:val="007C5817"/>
    <w:rsid w:val="007C5A4D"/>
    <w:rsid w:val="007C5AA5"/>
    <w:rsid w:val="007C5C85"/>
    <w:rsid w:val="007C5F03"/>
    <w:rsid w:val="007C5F2C"/>
    <w:rsid w:val="007C5F97"/>
    <w:rsid w:val="007C619C"/>
    <w:rsid w:val="007C6229"/>
    <w:rsid w:val="007C62AC"/>
    <w:rsid w:val="007C6382"/>
    <w:rsid w:val="007C63FB"/>
    <w:rsid w:val="007C645F"/>
    <w:rsid w:val="007C67CA"/>
    <w:rsid w:val="007C6804"/>
    <w:rsid w:val="007C6873"/>
    <w:rsid w:val="007C68D6"/>
    <w:rsid w:val="007C690D"/>
    <w:rsid w:val="007C695B"/>
    <w:rsid w:val="007C6983"/>
    <w:rsid w:val="007C69B8"/>
    <w:rsid w:val="007C6AB6"/>
    <w:rsid w:val="007C6B2E"/>
    <w:rsid w:val="007C6B6A"/>
    <w:rsid w:val="007C6DCF"/>
    <w:rsid w:val="007C6F06"/>
    <w:rsid w:val="007C7098"/>
    <w:rsid w:val="007C71ED"/>
    <w:rsid w:val="007C735D"/>
    <w:rsid w:val="007C73CC"/>
    <w:rsid w:val="007C7545"/>
    <w:rsid w:val="007C7720"/>
    <w:rsid w:val="007C77D2"/>
    <w:rsid w:val="007C7826"/>
    <w:rsid w:val="007C788A"/>
    <w:rsid w:val="007C7899"/>
    <w:rsid w:val="007C7A4A"/>
    <w:rsid w:val="007C7BA5"/>
    <w:rsid w:val="007C7C72"/>
    <w:rsid w:val="007C7D35"/>
    <w:rsid w:val="007C7D86"/>
    <w:rsid w:val="007C7EB8"/>
    <w:rsid w:val="007D0035"/>
    <w:rsid w:val="007D012C"/>
    <w:rsid w:val="007D040D"/>
    <w:rsid w:val="007D0528"/>
    <w:rsid w:val="007D05BE"/>
    <w:rsid w:val="007D0611"/>
    <w:rsid w:val="007D0760"/>
    <w:rsid w:val="007D083E"/>
    <w:rsid w:val="007D0860"/>
    <w:rsid w:val="007D0A75"/>
    <w:rsid w:val="007D0C2E"/>
    <w:rsid w:val="007D0D34"/>
    <w:rsid w:val="007D1025"/>
    <w:rsid w:val="007D10B3"/>
    <w:rsid w:val="007D1160"/>
    <w:rsid w:val="007D12A5"/>
    <w:rsid w:val="007D139C"/>
    <w:rsid w:val="007D13AD"/>
    <w:rsid w:val="007D13CB"/>
    <w:rsid w:val="007D149D"/>
    <w:rsid w:val="007D15D6"/>
    <w:rsid w:val="007D1723"/>
    <w:rsid w:val="007D18EF"/>
    <w:rsid w:val="007D1A18"/>
    <w:rsid w:val="007D1A1D"/>
    <w:rsid w:val="007D1B5C"/>
    <w:rsid w:val="007D1B84"/>
    <w:rsid w:val="007D1BE4"/>
    <w:rsid w:val="007D1BEA"/>
    <w:rsid w:val="007D1C8D"/>
    <w:rsid w:val="007D1CC0"/>
    <w:rsid w:val="007D1DF3"/>
    <w:rsid w:val="007D1E9E"/>
    <w:rsid w:val="007D1F56"/>
    <w:rsid w:val="007D1F8C"/>
    <w:rsid w:val="007D20FC"/>
    <w:rsid w:val="007D21DE"/>
    <w:rsid w:val="007D2387"/>
    <w:rsid w:val="007D2584"/>
    <w:rsid w:val="007D25B9"/>
    <w:rsid w:val="007D2758"/>
    <w:rsid w:val="007D278D"/>
    <w:rsid w:val="007D27AB"/>
    <w:rsid w:val="007D289F"/>
    <w:rsid w:val="007D29C3"/>
    <w:rsid w:val="007D29F3"/>
    <w:rsid w:val="007D2A3F"/>
    <w:rsid w:val="007D2AFB"/>
    <w:rsid w:val="007D2C11"/>
    <w:rsid w:val="007D2FC9"/>
    <w:rsid w:val="007D301C"/>
    <w:rsid w:val="007D3022"/>
    <w:rsid w:val="007D309B"/>
    <w:rsid w:val="007D30AD"/>
    <w:rsid w:val="007D3189"/>
    <w:rsid w:val="007D3325"/>
    <w:rsid w:val="007D3382"/>
    <w:rsid w:val="007D339B"/>
    <w:rsid w:val="007D33ED"/>
    <w:rsid w:val="007D34B7"/>
    <w:rsid w:val="007D360C"/>
    <w:rsid w:val="007D362D"/>
    <w:rsid w:val="007D36F9"/>
    <w:rsid w:val="007D3732"/>
    <w:rsid w:val="007D373F"/>
    <w:rsid w:val="007D378E"/>
    <w:rsid w:val="007D3872"/>
    <w:rsid w:val="007D3878"/>
    <w:rsid w:val="007D38AE"/>
    <w:rsid w:val="007D39B3"/>
    <w:rsid w:val="007D3B67"/>
    <w:rsid w:val="007D3C7E"/>
    <w:rsid w:val="007D3CC8"/>
    <w:rsid w:val="007D3D5A"/>
    <w:rsid w:val="007D3F10"/>
    <w:rsid w:val="007D4066"/>
    <w:rsid w:val="007D406B"/>
    <w:rsid w:val="007D40FD"/>
    <w:rsid w:val="007D4309"/>
    <w:rsid w:val="007D4338"/>
    <w:rsid w:val="007D4683"/>
    <w:rsid w:val="007D46B6"/>
    <w:rsid w:val="007D47A6"/>
    <w:rsid w:val="007D47B8"/>
    <w:rsid w:val="007D47DB"/>
    <w:rsid w:val="007D4896"/>
    <w:rsid w:val="007D4A66"/>
    <w:rsid w:val="007D4B36"/>
    <w:rsid w:val="007D4CCD"/>
    <w:rsid w:val="007D4E10"/>
    <w:rsid w:val="007D4F32"/>
    <w:rsid w:val="007D4F52"/>
    <w:rsid w:val="007D500A"/>
    <w:rsid w:val="007D5141"/>
    <w:rsid w:val="007D53F9"/>
    <w:rsid w:val="007D54DB"/>
    <w:rsid w:val="007D54E0"/>
    <w:rsid w:val="007D5593"/>
    <w:rsid w:val="007D55C5"/>
    <w:rsid w:val="007D5606"/>
    <w:rsid w:val="007D575D"/>
    <w:rsid w:val="007D578F"/>
    <w:rsid w:val="007D5827"/>
    <w:rsid w:val="007D5A26"/>
    <w:rsid w:val="007D5AC0"/>
    <w:rsid w:val="007D5BF6"/>
    <w:rsid w:val="007D5D6B"/>
    <w:rsid w:val="007D5E44"/>
    <w:rsid w:val="007D5F24"/>
    <w:rsid w:val="007D5F4F"/>
    <w:rsid w:val="007D6028"/>
    <w:rsid w:val="007D6103"/>
    <w:rsid w:val="007D613B"/>
    <w:rsid w:val="007D614A"/>
    <w:rsid w:val="007D6197"/>
    <w:rsid w:val="007D61E7"/>
    <w:rsid w:val="007D6469"/>
    <w:rsid w:val="007D6542"/>
    <w:rsid w:val="007D668D"/>
    <w:rsid w:val="007D6718"/>
    <w:rsid w:val="007D6996"/>
    <w:rsid w:val="007D699D"/>
    <w:rsid w:val="007D6DF3"/>
    <w:rsid w:val="007D6E80"/>
    <w:rsid w:val="007D7043"/>
    <w:rsid w:val="007D7054"/>
    <w:rsid w:val="007D7497"/>
    <w:rsid w:val="007D7499"/>
    <w:rsid w:val="007D7549"/>
    <w:rsid w:val="007D75DC"/>
    <w:rsid w:val="007D7839"/>
    <w:rsid w:val="007D7973"/>
    <w:rsid w:val="007D7A9D"/>
    <w:rsid w:val="007D7B4A"/>
    <w:rsid w:val="007D7B4D"/>
    <w:rsid w:val="007D7CD4"/>
    <w:rsid w:val="007D7CE6"/>
    <w:rsid w:val="007D7E81"/>
    <w:rsid w:val="007D7FD5"/>
    <w:rsid w:val="007E0147"/>
    <w:rsid w:val="007E024B"/>
    <w:rsid w:val="007E02BF"/>
    <w:rsid w:val="007E03B6"/>
    <w:rsid w:val="007E0447"/>
    <w:rsid w:val="007E0630"/>
    <w:rsid w:val="007E087C"/>
    <w:rsid w:val="007E089B"/>
    <w:rsid w:val="007E08BC"/>
    <w:rsid w:val="007E08F7"/>
    <w:rsid w:val="007E09E7"/>
    <w:rsid w:val="007E0A0F"/>
    <w:rsid w:val="007E0A5E"/>
    <w:rsid w:val="007E0BAC"/>
    <w:rsid w:val="007E0BBF"/>
    <w:rsid w:val="007E0CB4"/>
    <w:rsid w:val="007E0E52"/>
    <w:rsid w:val="007E1022"/>
    <w:rsid w:val="007E103D"/>
    <w:rsid w:val="007E1173"/>
    <w:rsid w:val="007E1244"/>
    <w:rsid w:val="007E1443"/>
    <w:rsid w:val="007E15AA"/>
    <w:rsid w:val="007E1600"/>
    <w:rsid w:val="007E160A"/>
    <w:rsid w:val="007E167B"/>
    <w:rsid w:val="007E16B4"/>
    <w:rsid w:val="007E16E3"/>
    <w:rsid w:val="007E1731"/>
    <w:rsid w:val="007E1780"/>
    <w:rsid w:val="007E1782"/>
    <w:rsid w:val="007E1B96"/>
    <w:rsid w:val="007E1BD4"/>
    <w:rsid w:val="007E1DC9"/>
    <w:rsid w:val="007E1EBC"/>
    <w:rsid w:val="007E1F35"/>
    <w:rsid w:val="007E1FA6"/>
    <w:rsid w:val="007E1FBD"/>
    <w:rsid w:val="007E20A4"/>
    <w:rsid w:val="007E20C1"/>
    <w:rsid w:val="007E21E0"/>
    <w:rsid w:val="007E21EF"/>
    <w:rsid w:val="007E22A3"/>
    <w:rsid w:val="007E23A7"/>
    <w:rsid w:val="007E2593"/>
    <w:rsid w:val="007E25C7"/>
    <w:rsid w:val="007E2664"/>
    <w:rsid w:val="007E2755"/>
    <w:rsid w:val="007E2885"/>
    <w:rsid w:val="007E2AB4"/>
    <w:rsid w:val="007E2AC4"/>
    <w:rsid w:val="007E2ACA"/>
    <w:rsid w:val="007E2D27"/>
    <w:rsid w:val="007E2DBF"/>
    <w:rsid w:val="007E2ED0"/>
    <w:rsid w:val="007E2ED5"/>
    <w:rsid w:val="007E2F6B"/>
    <w:rsid w:val="007E2FA0"/>
    <w:rsid w:val="007E30E6"/>
    <w:rsid w:val="007E3193"/>
    <w:rsid w:val="007E3216"/>
    <w:rsid w:val="007E3233"/>
    <w:rsid w:val="007E32BD"/>
    <w:rsid w:val="007E338F"/>
    <w:rsid w:val="007E35A4"/>
    <w:rsid w:val="007E38A4"/>
    <w:rsid w:val="007E38FC"/>
    <w:rsid w:val="007E3969"/>
    <w:rsid w:val="007E3A21"/>
    <w:rsid w:val="007E3A3B"/>
    <w:rsid w:val="007E3A93"/>
    <w:rsid w:val="007E3B3C"/>
    <w:rsid w:val="007E3BCF"/>
    <w:rsid w:val="007E3CD6"/>
    <w:rsid w:val="007E3DFB"/>
    <w:rsid w:val="007E3E1E"/>
    <w:rsid w:val="007E3E64"/>
    <w:rsid w:val="007E3FC5"/>
    <w:rsid w:val="007E403E"/>
    <w:rsid w:val="007E4268"/>
    <w:rsid w:val="007E4271"/>
    <w:rsid w:val="007E42B4"/>
    <w:rsid w:val="007E4412"/>
    <w:rsid w:val="007E44B7"/>
    <w:rsid w:val="007E46FF"/>
    <w:rsid w:val="007E492A"/>
    <w:rsid w:val="007E499D"/>
    <w:rsid w:val="007E49C1"/>
    <w:rsid w:val="007E49CC"/>
    <w:rsid w:val="007E4A4F"/>
    <w:rsid w:val="007E4D7D"/>
    <w:rsid w:val="007E4E5D"/>
    <w:rsid w:val="007E4EE5"/>
    <w:rsid w:val="007E4F02"/>
    <w:rsid w:val="007E4F86"/>
    <w:rsid w:val="007E4F98"/>
    <w:rsid w:val="007E52BC"/>
    <w:rsid w:val="007E530D"/>
    <w:rsid w:val="007E5343"/>
    <w:rsid w:val="007E54E6"/>
    <w:rsid w:val="007E57AC"/>
    <w:rsid w:val="007E5927"/>
    <w:rsid w:val="007E5A1C"/>
    <w:rsid w:val="007E5AF5"/>
    <w:rsid w:val="007E5B4C"/>
    <w:rsid w:val="007E5D8E"/>
    <w:rsid w:val="007E5FD7"/>
    <w:rsid w:val="007E60C4"/>
    <w:rsid w:val="007E6268"/>
    <w:rsid w:val="007E6277"/>
    <w:rsid w:val="007E62EA"/>
    <w:rsid w:val="007E6397"/>
    <w:rsid w:val="007E6428"/>
    <w:rsid w:val="007E6457"/>
    <w:rsid w:val="007E64B8"/>
    <w:rsid w:val="007E6620"/>
    <w:rsid w:val="007E68D9"/>
    <w:rsid w:val="007E6927"/>
    <w:rsid w:val="007E69F3"/>
    <w:rsid w:val="007E6A0A"/>
    <w:rsid w:val="007E6B36"/>
    <w:rsid w:val="007E6BBF"/>
    <w:rsid w:val="007E6D61"/>
    <w:rsid w:val="007E6EFA"/>
    <w:rsid w:val="007E6FD8"/>
    <w:rsid w:val="007E7027"/>
    <w:rsid w:val="007E7087"/>
    <w:rsid w:val="007E70FC"/>
    <w:rsid w:val="007E7514"/>
    <w:rsid w:val="007E76FE"/>
    <w:rsid w:val="007E7768"/>
    <w:rsid w:val="007E77C4"/>
    <w:rsid w:val="007E780C"/>
    <w:rsid w:val="007E7931"/>
    <w:rsid w:val="007E798A"/>
    <w:rsid w:val="007E79C8"/>
    <w:rsid w:val="007E7B0A"/>
    <w:rsid w:val="007E7B0B"/>
    <w:rsid w:val="007E7B6D"/>
    <w:rsid w:val="007E7B80"/>
    <w:rsid w:val="007E7BEB"/>
    <w:rsid w:val="007E7C65"/>
    <w:rsid w:val="007E7D38"/>
    <w:rsid w:val="007E7D76"/>
    <w:rsid w:val="007E7DDB"/>
    <w:rsid w:val="007E7F0E"/>
    <w:rsid w:val="007E7FA3"/>
    <w:rsid w:val="007F02C3"/>
    <w:rsid w:val="007F03D3"/>
    <w:rsid w:val="007F0465"/>
    <w:rsid w:val="007F04C5"/>
    <w:rsid w:val="007F053B"/>
    <w:rsid w:val="007F064B"/>
    <w:rsid w:val="007F0688"/>
    <w:rsid w:val="007F06D1"/>
    <w:rsid w:val="007F0895"/>
    <w:rsid w:val="007F08C5"/>
    <w:rsid w:val="007F0952"/>
    <w:rsid w:val="007F0B9A"/>
    <w:rsid w:val="007F0BE8"/>
    <w:rsid w:val="007F0D65"/>
    <w:rsid w:val="007F0EF4"/>
    <w:rsid w:val="007F0F19"/>
    <w:rsid w:val="007F0F3A"/>
    <w:rsid w:val="007F0FF1"/>
    <w:rsid w:val="007F11FA"/>
    <w:rsid w:val="007F1322"/>
    <w:rsid w:val="007F15B6"/>
    <w:rsid w:val="007F16A9"/>
    <w:rsid w:val="007F16DB"/>
    <w:rsid w:val="007F1727"/>
    <w:rsid w:val="007F1762"/>
    <w:rsid w:val="007F180F"/>
    <w:rsid w:val="007F1893"/>
    <w:rsid w:val="007F1930"/>
    <w:rsid w:val="007F1AE6"/>
    <w:rsid w:val="007F1B10"/>
    <w:rsid w:val="007F1B51"/>
    <w:rsid w:val="007F1CAC"/>
    <w:rsid w:val="007F1D8A"/>
    <w:rsid w:val="007F1ECE"/>
    <w:rsid w:val="007F1EE8"/>
    <w:rsid w:val="007F2035"/>
    <w:rsid w:val="007F20D0"/>
    <w:rsid w:val="007F212E"/>
    <w:rsid w:val="007F2188"/>
    <w:rsid w:val="007F222E"/>
    <w:rsid w:val="007F2288"/>
    <w:rsid w:val="007F22D4"/>
    <w:rsid w:val="007F233D"/>
    <w:rsid w:val="007F2385"/>
    <w:rsid w:val="007F23CA"/>
    <w:rsid w:val="007F23F8"/>
    <w:rsid w:val="007F2735"/>
    <w:rsid w:val="007F2A10"/>
    <w:rsid w:val="007F2A68"/>
    <w:rsid w:val="007F2AE8"/>
    <w:rsid w:val="007F2BB5"/>
    <w:rsid w:val="007F2BE6"/>
    <w:rsid w:val="007F2C21"/>
    <w:rsid w:val="007F2F3E"/>
    <w:rsid w:val="007F2FB1"/>
    <w:rsid w:val="007F306A"/>
    <w:rsid w:val="007F309A"/>
    <w:rsid w:val="007F328D"/>
    <w:rsid w:val="007F33EC"/>
    <w:rsid w:val="007F3569"/>
    <w:rsid w:val="007F3690"/>
    <w:rsid w:val="007F390A"/>
    <w:rsid w:val="007F39A9"/>
    <w:rsid w:val="007F39D7"/>
    <w:rsid w:val="007F3B0E"/>
    <w:rsid w:val="007F3B97"/>
    <w:rsid w:val="007F3BD1"/>
    <w:rsid w:val="007F3C3B"/>
    <w:rsid w:val="007F3C53"/>
    <w:rsid w:val="007F3D2F"/>
    <w:rsid w:val="007F3E67"/>
    <w:rsid w:val="007F3F69"/>
    <w:rsid w:val="007F4043"/>
    <w:rsid w:val="007F419C"/>
    <w:rsid w:val="007F433F"/>
    <w:rsid w:val="007F444F"/>
    <w:rsid w:val="007F44CE"/>
    <w:rsid w:val="007F46F8"/>
    <w:rsid w:val="007F4B5A"/>
    <w:rsid w:val="007F4BB8"/>
    <w:rsid w:val="007F4D29"/>
    <w:rsid w:val="007F4D46"/>
    <w:rsid w:val="007F4EF1"/>
    <w:rsid w:val="007F4FFB"/>
    <w:rsid w:val="007F5134"/>
    <w:rsid w:val="007F51AA"/>
    <w:rsid w:val="007F51D8"/>
    <w:rsid w:val="007F5257"/>
    <w:rsid w:val="007F5333"/>
    <w:rsid w:val="007F5357"/>
    <w:rsid w:val="007F5457"/>
    <w:rsid w:val="007F54EA"/>
    <w:rsid w:val="007F5570"/>
    <w:rsid w:val="007F5652"/>
    <w:rsid w:val="007F5679"/>
    <w:rsid w:val="007F5787"/>
    <w:rsid w:val="007F583B"/>
    <w:rsid w:val="007F59B4"/>
    <w:rsid w:val="007F59BD"/>
    <w:rsid w:val="007F5AFB"/>
    <w:rsid w:val="007F5BB4"/>
    <w:rsid w:val="007F5CDF"/>
    <w:rsid w:val="007F5E67"/>
    <w:rsid w:val="007F6113"/>
    <w:rsid w:val="007F618B"/>
    <w:rsid w:val="007F6234"/>
    <w:rsid w:val="007F62D5"/>
    <w:rsid w:val="007F62DF"/>
    <w:rsid w:val="007F634E"/>
    <w:rsid w:val="007F63F0"/>
    <w:rsid w:val="007F6403"/>
    <w:rsid w:val="007F6434"/>
    <w:rsid w:val="007F6531"/>
    <w:rsid w:val="007F6610"/>
    <w:rsid w:val="007F6631"/>
    <w:rsid w:val="007F67F3"/>
    <w:rsid w:val="007F6824"/>
    <w:rsid w:val="007F6962"/>
    <w:rsid w:val="007F69DA"/>
    <w:rsid w:val="007F6DBF"/>
    <w:rsid w:val="007F6DDF"/>
    <w:rsid w:val="007F6E95"/>
    <w:rsid w:val="007F6F94"/>
    <w:rsid w:val="007F703B"/>
    <w:rsid w:val="007F7463"/>
    <w:rsid w:val="007F755C"/>
    <w:rsid w:val="007F765D"/>
    <w:rsid w:val="007F794E"/>
    <w:rsid w:val="007F7A6C"/>
    <w:rsid w:val="007F7A70"/>
    <w:rsid w:val="007F7B5E"/>
    <w:rsid w:val="007F7BA6"/>
    <w:rsid w:val="007F7BC5"/>
    <w:rsid w:val="007F7CB0"/>
    <w:rsid w:val="007F7D2D"/>
    <w:rsid w:val="007F7D93"/>
    <w:rsid w:val="007F7E2D"/>
    <w:rsid w:val="007F7EBF"/>
    <w:rsid w:val="007F7ECE"/>
    <w:rsid w:val="007F7EE2"/>
    <w:rsid w:val="007F7F11"/>
    <w:rsid w:val="007F7F54"/>
    <w:rsid w:val="007F7FA4"/>
    <w:rsid w:val="008001DB"/>
    <w:rsid w:val="0080022C"/>
    <w:rsid w:val="0080044A"/>
    <w:rsid w:val="00800522"/>
    <w:rsid w:val="008005FC"/>
    <w:rsid w:val="0080067C"/>
    <w:rsid w:val="008006E6"/>
    <w:rsid w:val="0080078F"/>
    <w:rsid w:val="00800792"/>
    <w:rsid w:val="0080079B"/>
    <w:rsid w:val="0080081A"/>
    <w:rsid w:val="0080097E"/>
    <w:rsid w:val="008009D1"/>
    <w:rsid w:val="008009DA"/>
    <w:rsid w:val="00800A07"/>
    <w:rsid w:val="00800A27"/>
    <w:rsid w:val="00800B74"/>
    <w:rsid w:val="00800C31"/>
    <w:rsid w:val="00800DF3"/>
    <w:rsid w:val="00800E76"/>
    <w:rsid w:val="00800E83"/>
    <w:rsid w:val="00800F98"/>
    <w:rsid w:val="008010F7"/>
    <w:rsid w:val="0080110C"/>
    <w:rsid w:val="00801406"/>
    <w:rsid w:val="0080141F"/>
    <w:rsid w:val="00801889"/>
    <w:rsid w:val="00801A82"/>
    <w:rsid w:val="00801B63"/>
    <w:rsid w:val="00801E50"/>
    <w:rsid w:val="00801F10"/>
    <w:rsid w:val="00802011"/>
    <w:rsid w:val="00802055"/>
    <w:rsid w:val="0080205E"/>
    <w:rsid w:val="008020A3"/>
    <w:rsid w:val="00802177"/>
    <w:rsid w:val="0080217E"/>
    <w:rsid w:val="008021D6"/>
    <w:rsid w:val="00802215"/>
    <w:rsid w:val="0080222F"/>
    <w:rsid w:val="00802310"/>
    <w:rsid w:val="00802368"/>
    <w:rsid w:val="008023CA"/>
    <w:rsid w:val="008023EA"/>
    <w:rsid w:val="0080240A"/>
    <w:rsid w:val="0080247F"/>
    <w:rsid w:val="008024BA"/>
    <w:rsid w:val="008025CF"/>
    <w:rsid w:val="008025E2"/>
    <w:rsid w:val="008026EA"/>
    <w:rsid w:val="00802A67"/>
    <w:rsid w:val="00802B52"/>
    <w:rsid w:val="00802C27"/>
    <w:rsid w:val="00802C59"/>
    <w:rsid w:val="00802D85"/>
    <w:rsid w:val="00802D88"/>
    <w:rsid w:val="00802E39"/>
    <w:rsid w:val="00802E6D"/>
    <w:rsid w:val="00802F58"/>
    <w:rsid w:val="00802FD7"/>
    <w:rsid w:val="00803179"/>
    <w:rsid w:val="0080332F"/>
    <w:rsid w:val="00803460"/>
    <w:rsid w:val="008034B6"/>
    <w:rsid w:val="0080355A"/>
    <w:rsid w:val="0080362E"/>
    <w:rsid w:val="008036A7"/>
    <w:rsid w:val="008037BC"/>
    <w:rsid w:val="008037EC"/>
    <w:rsid w:val="00803975"/>
    <w:rsid w:val="0080398F"/>
    <w:rsid w:val="00803A26"/>
    <w:rsid w:val="00803D3C"/>
    <w:rsid w:val="00803D84"/>
    <w:rsid w:val="00803E84"/>
    <w:rsid w:val="00803ED0"/>
    <w:rsid w:val="00804099"/>
    <w:rsid w:val="008041CA"/>
    <w:rsid w:val="008042A8"/>
    <w:rsid w:val="008042F8"/>
    <w:rsid w:val="00804307"/>
    <w:rsid w:val="00804402"/>
    <w:rsid w:val="0080443A"/>
    <w:rsid w:val="0080444B"/>
    <w:rsid w:val="00804770"/>
    <w:rsid w:val="008047B9"/>
    <w:rsid w:val="00804801"/>
    <w:rsid w:val="00804A16"/>
    <w:rsid w:val="00804A74"/>
    <w:rsid w:val="00804B2A"/>
    <w:rsid w:val="00804B85"/>
    <w:rsid w:val="00804E72"/>
    <w:rsid w:val="00804F6A"/>
    <w:rsid w:val="00804F90"/>
    <w:rsid w:val="008050A9"/>
    <w:rsid w:val="00805266"/>
    <w:rsid w:val="00805315"/>
    <w:rsid w:val="0080537A"/>
    <w:rsid w:val="00805420"/>
    <w:rsid w:val="008054E0"/>
    <w:rsid w:val="00805546"/>
    <w:rsid w:val="008055F3"/>
    <w:rsid w:val="008056A3"/>
    <w:rsid w:val="008057CB"/>
    <w:rsid w:val="0080582A"/>
    <w:rsid w:val="00805881"/>
    <w:rsid w:val="00805989"/>
    <w:rsid w:val="00805A99"/>
    <w:rsid w:val="00805C6D"/>
    <w:rsid w:val="00805C72"/>
    <w:rsid w:val="00805D16"/>
    <w:rsid w:val="00805D3E"/>
    <w:rsid w:val="00805E62"/>
    <w:rsid w:val="00805F2B"/>
    <w:rsid w:val="00805F57"/>
    <w:rsid w:val="00805FDC"/>
    <w:rsid w:val="00806081"/>
    <w:rsid w:val="008060BD"/>
    <w:rsid w:val="008060F9"/>
    <w:rsid w:val="008061B7"/>
    <w:rsid w:val="00806357"/>
    <w:rsid w:val="008063AC"/>
    <w:rsid w:val="00806477"/>
    <w:rsid w:val="0080647C"/>
    <w:rsid w:val="0080665F"/>
    <w:rsid w:val="0080671E"/>
    <w:rsid w:val="00806897"/>
    <w:rsid w:val="00806B4A"/>
    <w:rsid w:val="00806BFF"/>
    <w:rsid w:val="00806F0C"/>
    <w:rsid w:val="00806FF7"/>
    <w:rsid w:val="008070BF"/>
    <w:rsid w:val="00807159"/>
    <w:rsid w:val="00807329"/>
    <w:rsid w:val="0080738D"/>
    <w:rsid w:val="0080744E"/>
    <w:rsid w:val="00807791"/>
    <w:rsid w:val="00807AD6"/>
    <w:rsid w:val="00807BD7"/>
    <w:rsid w:val="00807CF7"/>
    <w:rsid w:val="00807DD7"/>
    <w:rsid w:val="00807DD9"/>
    <w:rsid w:val="00807E6B"/>
    <w:rsid w:val="00807E87"/>
    <w:rsid w:val="00807F9B"/>
    <w:rsid w:val="00807FC1"/>
    <w:rsid w:val="0081002B"/>
    <w:rsid w:val="008100E1"/>
    <w:rsid w:val="008100E6"/>
    <w:rsid w:val="0081028C"/>
    <w:rsid w:val="00810568"/>
    <w:rsid w:val="0081059D"/>
    <w:rsid w:val="008105EA"/>
    <w:rsid w:val="00810623"/>
    <w:rsid w:val="00810707"/>
    <w:rsid w:val="008107CF"/>
    <w:rsid w:val="0081095C"/>
    <w:rsid w:val="00810A00"/>
    <w:rsid w:val="00810A94"/>
    <w:rsid w:val="00810BDF"/>
    <w:rsid w:val="00810D5A"/>
    <w:rsid w:val="00810E7B"/>
    <w:rsid w:val="00810F5A"/>
    <w:rsid w:val="00811262"/>
    <w:rsid w:val="0081151A"/>
    <w:rsid w:val="0081162D"/>
    <w:rsid w:val="0081171E"/>
    <w:rsid w:val="0081180A"/>
    <w:rsid w:val="0081180F"/>
    <w:rsid w:val="00811880"/>
    <w:rsid w:val="00811B1F"/>
    <w:rsid w:val="00811BDE"/>
    <w:rsid w:val="00811C04"/>
    <w:rsid w:val="00811EA8"/>
    <w:rsid w:val="00811ED4"/>
    <w:rsid w:val="00811F76"/>
    <w:rsid w:val="00812119"/>
    <w:rsid w:val="00812127"/>
    <w:rsid w:val="00812130"/>
    <w:rsid w:val="00812275"/>
    <w:rsid w:val="008122BF"/>
    <w:rsid w:val="00812363"/>
    <w:rsid w:val="008123E9"/>
    <w:rsid w:val="0081247E"/>
    <w:rsid w:val="00812499"/>
    <w:rsid w:val="00812514"/>
    <w:rsid w:val="0081252B"/>
    <w:rsid w:val="00812563"/>
    <w:rsid w:val="00812706"/>
    <w:rsid w:val="0081284E"/>
    <w:rsid w:val="0081298C"/>
    <w:rsid w:val="00812CF7"/>
    <w:rsid w:val="00812E31"/>
    <w:rsid w:val="00812E37"/>
    <w:rsid w:val="00812E94"/>
    <w:rsid w:val="00812F20"/>
    <w:rsid w:val="00812F2D"/>
    <w:rsid w:val="00812FA9"/>
    <w:rsid w:val="00812FB1"/>
    <w:rsid w:val="00813175"/>
    <w:rsid w:val="00813194"/>
    <w:rsid w:val="008131A9"/>
    <w:rsid w:val="0081327F"/>
    <w:rsid w:val="008133A4"/>
    <w:rsid w:val="008133BF"/>
    <w:rsid w:val="008134FD"/>
    <w:rsid w:val="00813565"/>
    <w:rsid w:val="008135C8"/>
    <w:rsid w:val="008135C9"/>
    <w:rsid w:val="00813739"/>
    <w:rsid w:val="00813B70"/>
    <w:rsid w:val="00813C0C"/>
    <w:rsid w:val="00813C39"/>
    <w:rsid w:val="00813C42"/>
    <w:rsid w:val="00813EC7"/>
    <w:rsid w:val="00814216"/>
    <w:rsid w:val="008142E9"/>
    <w:rsid w:val="008144EA"/>
    <w:rsid w:val="008145E6"/>
    <w:rsid w:val="0081468D"/>
    <w:rsid w:val="008146E5"/>
    <w:rsid w:val="00814979"/>
    <w:rsid w:val="00814A91"/>
    <w:rsid w:val="00814B83"/>
    <w:rsid w:val="00814EE5"/>
    <w:rsid w:val="00814FFF"/>
    <w:rsid w:val="008150A6"/>
    <w:rsid w:val="008150EE"/>
    <w:rsid w:val="00815166"/>
    <w:rsid w:val="00815293"/>
    <w:rsid w:val="0081533E"/>
    <w:rsid w:val="00815443"/>
    <w:rsid w:val="008154DF"/>
    <w:rsid w:val="008155FC"/>
    <w:rsid w:val="00815687"/>
    <w:rsid w:val="008156C6"/>
    <w:rsid w:val="008156DA"/>
    <w:rsid w:val="0081580E"/>
    <w:rsid w:val="0081598A"/>
    <w:rsid w:val="008159B5"/>
    <w:rsid w:val="00815D7F"/>
    <w:rsid w:val="00815E81"/>
    <w:rsid w:val="00815EBE"/>
    <w:rsid w:val="00815F90"/>
    <w:rsid w:val="00816112"/>
    <w:rsid w:val="00816192"/>
    <w:rsid w:val="00816201"/>
    <w:rsid w:val="00816237"/>
    <w:rsid w:val="0081649C"/>
    <w:rsid w:val="008164DB"/>
    <w:rsid w:val="008164F8"/>
    <w:rsid w:val="008167D5"/>
    <w:rsid w:val="00816895"/>
    <w:rsid w:val="00816A31"/>
    <w:rsid w:val="00816B14"/>
    <w:rsid w:val="00816B8D"/>
    <w:rsid w:val="00816BC7"/>
    <w:rsid w:val="00816CAA"/>
    <w:rsid w:val="00816D91"/>
    <w:rsid w:val="00816ECC"/>
    <w:rsid w:val="00817002"/>
    <w:rsid w:val="00817015"/>
    <w:rsid w:val="0081708B"/>
    <w:rsid w:val="00817090"/>
    <w:rsid w:val="008171FB"/>
    <w:rsid w:val="008172FE"/>
    <w:rsid w:val="0081730F"/>
    <w:rsid w:val="00817341"/>
    <w:rsid w:val="0081737C"/>
    <w:rsid w:val="008173EF"/>
    <w:rsid w:val="00817518"/>
    <w:rsid w:val="00817602"/>
    <w:rsid w:val="0081764D"/>
    <w:rsid w:val="008176EC"/>
    <w:rsid w:val="00817770"/>
    <w:rsid w:val="00817984"/>
    <w:rsid w:val="00817A63"/>
    <w:rsid w:val="00817ADD"/>
    <w:rsid w:val="00817CAE"/>
    <w:rsid w:val="00817CAF"/>
    <w:rsid w:val="00817DC2"/>
    <w:rsid w:val="00817DEA"/>
    <w:rsid w:val="00817EF1"/>
    <w:rsid w:val="00817F71"/>
    <w:rsid w:val="00817FD7"/>
    <w:rsid w:val="00820022"/>
    <w:rsid w:val="00820174"/>
    <w:rsid w:val="008201B3"/>
    <w:rsid w:val="0082033D"/>
    <w:rsid w:val="008203FB"/>
    <w:rsid w:val="008204B4"/>
    <w:rsid w:val="00820885"/>
    <w:rsid w:val="008208A9"/>
    <w:rsid w:val="00820A65"/>
    <w:rsid w:val="00820B4E"/>
    <w:rsid w:val="00820BA1"/>
    <w:rsid w:val="00820CE8"/>
    <w:rsid w:val="00820D58"/>
    <w:rsid w:val="00820E98"/>
    <w:rsid w:val="00820EDC"/>
    <w:rsid w:val="00821013"/>
    <w:rsid w:val="0082106E"/>
    <w:rsid w:val="008211C9"/>
    <w:rsid w:val="0082124B"/>
    <w:rsid w:val="008212F9"/>
    <w:rsid w:val="0082131D"/>
    <w:rsid w:val="00821385"/>
    <w:rsid w:val="008213A8"/>
    <w:rsid w:val="008213CE"/>
    <w:rsid w:val="00821559"/>
    <w:rsid w:val="008215C8"/>
    <w:rsid w:val="008217E5"/>
    <w:rsid w:val="008217E6"/>
    <w:rsid w:val="008217E7"/>
    <w:rsid w:val="0082185C"/>
    <w:rsid w:val="0082196D"/>
    <w:rsid w:val="00821A1C"/>
    <w:rsid w:val="00821C6A"/>
    <w:rsid w:val="00821CA1"/>
    <w:rsid w:val="00821D6E"/>
    <w:rsid w:val="00821DE2"/>
    <w:rsid w:val="00821E92"/>
    <w:rsid w:val="0082219E"/>
    <w:rsid w:val="008223A6"/>
    <w:rsid w:val="00822505"/>
    <w:rsid w:val="00822533"/>
    <w:rsid w:val="008228CF"/>
    <w:rsid w:val="008229B6"/>
    <w:rsid w:val="00822A30"/>
    <w:rsid w:val="00822A95"/>
    <w:rsid w:val="00822AA0"/>
    <w:rsid w:val="00822AE4"/>
    <w:rsid w:val="00822C64"/>
    <w:rsid w:val="00822CD5"/>
    <w:rsid w:val="00822D61"/>
    <w:rsid w:val="00822DC9"/>
    <w:rsid w:val="00822E5B"/>
    <w:rsid w:val="00822FAB"/>
    <w:rsid w:val="00823111"/>
    <w:rsid w:val="00823135"/>
    <w:rsid w:val="00823221"/>
    <w:rsid w:val="008234AF"/>
    <w:rsid w:val="008235C9"/>
    <w:rsid w:val="008239BE"/>
    <w:rsid w:val="00823A06"/>
    <w:rsid w:val="00823A0F"/>
    <w:rsid w:val="00823A30"/>
    <w:rsid w:val="00823A94"/>
    <w:rsid w:val="00823AE3"/>
    <w:rsid w:val="00823B53"/>
    <w:rsid w:val="00823C8C"/>
    <w:rsid w:val="00823DCF"/>
    <w:rsid w:val="00823DD2"/>
    <w:rsid w:val="00823F36"/>
    <w:rsid w:val="00823F8D"/>
    <w:rsid w:val="00824034"/>
    <w:rsid w:val="00824138"/>
    <w:rsid w:val="008241C4"/>
    <w:rsid w:val="00824396"/>
    <w:rsid w:val="008243B1"/>
    <w:rsid w:val="00824498"/>
    <w:rsid w:val="008244FC"/>
    <w:rsid w:val="00824810"/>
    <w:rsid w:val="008248A8"/>
    <w:rsid w:val="008249AC"/>
    <w:rsid w:val="008249CB"/>
    <w:rsid w:val="00824AE9"/>
    <w:rsid w:val="00824AF4"/>
    <w:rsid w:val="00824B21"/>
    <w:rsid w:val="00824B4B"/>
    <w:rsid w:val="00824B8C"/>
    <w:rsid w:val="00824BAA"/>
    <w:rsid w:val="00824CF9"/>
    <w:rsid w:val="00824D10"/>
    <w:rsid w:val="00824D51"/>
    <w:rsid w:val="00824E25"/>
    <w:rsid w:val="0082515E"/>
    <w:rsid w:val="00825324"/>
    <w:rsid w:val="00825500"/>
    <w:rsid w:val="0082564E"/>
    <w:rsid w:val="008256C8"/>
    <w:rsid w:val="0082571D"/>
    <w:rsid w:val="008257E2"/>
    <w:rsid w:val="00825866"/>
    <w:rsid w:val="00825A36"/>
    <w:rsid w:val="00825B1A"/>
    <w:rsid w:val="00825B88"/>
    <w:rsid w:val="00825D96"/>
    <w:rsid w:val="00825F5C"/>
    <w:rsid w:val="008260ED"/>
    <w:rsid w:val="008260F5"/>
    <w:rsid w:val="00826135"/>
    <w:rsid w:val="008263E5"/>
    <w:rsid w:val="0082662B"/>
    <w:rsid w:val="00826639"/>
    <w:rsid w:val="0082663A"/>
    <w:rsid w:val="00826700"/>
    <w:rsid w:val="00826800"/>
    <w:rsid w:val="00826941"/>
    <w:rsid w:val="00826B17"/>
    <w:rsid w:val="00826B76"/>
    <w:rsid w:val="00826C5D"/>
    <w:rsid w:val="00826CE7"/>
    <w:rsid w:val="00826E43"/>
    <w:rsid w:val="00826E79"/>
    <w:rsid w:val="0082703B"/>
    <w:rsid w:val="00827134"/>
    <w:rsid w:val="0082716C"/>
    <w:rsid w:val="00827187"/>
    <w:rsid w:val="008271F0"/>
    <w:rsid w:val="00827245"/>
    <w:rsid w:val="0082732F"/>
    <w:rsid w:val="00827381"/>
    <w:rsid w:val="008273DC"/>
    <w:rsid w:val="0082742C"/>
    <w:rsid w:val="008275E0"/>
    <w:rsid w:val="0082763D"/>
    <w:rsid w:val="00827647"/>
    <w:rsid w:val="00827716"/>
    <w:rsid w:val="00827ABF"/>
    <w:rsid w:val="00827D2F"/>
    <w:rsid w:val="00827D9B"/>
    <w:rsid w:val="00827F5F"/>
    <w:rsid w:val="00827F91"/>
    <w:rsid w:val="0083009B"/>
    <w:rsid w:val="008300B5"/>
    <w:rsid w:val="008301ED"/>
    <w:rsid w:val="008301EE"/>
    <w:rsid w:val="00830486"/>
    <w:rsid w:val="0083058A"/>
    <w:rsid w:val="008307A6"/>
    <w:rsid w:val="00830884"/>
    <w:rsid w:val="008308D2"/>
    <w:rsid w:val="008309C8"/>
    <w:rsid w:val="00830BE2"/>
    <w:rsid w:val="00830BE6"/>
    <w:rsid w:val="00830CF6"/>
    <w:rsid w:val="00830E4E"/>
    <w:rsid w:val="00830E6C"/>
    <w:rsid w:val="008311D9"/>
    <w:rsid w:val="0083134E"/>
    <w:rsid w:val="008314CF"/>
    <w:rsid w:val="00831663"/>
    <w:rsid w:val="00831944"/>
    <w:rsid w:val="008319B6"/>
    <w:rsid w:val="00831A9B"/>
    <w:rsid w:val="00831AC7"/>
    <w:rsid w:val="00831D07"/>
    <w:rsid w:val="00831DC7"/>
    <w:rsid w:val="00831E13"/>
    <w:rsid w:val="00831E8B"/>
    <w:rsid w:val="00831FC1"/>
    <w:rsid w:val="00831FC2"/>
    <w:rsid w:val="008320C9"/>
    <w:rsid w:val="008320D8"/>
    <w:rsid w:val="00832131"/>
    <w:rsid w:val="0083247D"/>
    <w:rsid w:val="00832636"/>
    <w:rsid w:val="008327CB"/>
    <w:rsid w:val="00832A13"/>
    <w:rsid w:val="00832A6A"/>
    <w:rsid w:val="00832B09"/>
    <w:rsid w:val="00832B55"/>
    <w:rsid w:val="00832DC4"/>
    <w:rsid w:val="00833037"/>
    <w:rsid w:val="008330DF"/>
    <w:rsid w:val="00833217"/>
    <w:rsid w:val="008332C8"/>
    <w:rsid w:val="0083336A"/>
    <w:rsid w:val="008334FF"/>
    <w:rsid w:val="0083354A"/>
    <w:rsid w:val="00833567"/>
    <w:rsid w:val="008336AF"/>
    <w:rsid w:val="00833761"/>
    <w:rsid w:val="00833949"/>
    <w:rsid w:val="008339B9"/>
    <w:rsid w:val="008339E1"/>
    <w:rsid w:val="008339EF"/>
    <w:rsid w:val="00833E48"/>
    <w:rsid w:val="00833EDE"/>
    <w:rsid w:val="00833F4E"/>
    <w:rsid w:val="0083405B"/>
    <w:rsid w:val="00834106"/>
    <w:rsid w:val="00834195"/>
    <w:rsid w:val="008342C7"/>
    <w:rsid w:val="00834347"/>
    <w:rsid w:val="00834360"/>
    <w:rsid w:val="00834423"/>
    <w:rsid w:val="00834486"/>
    <w:rsid w:val="008344B1"/>
    <w:rsid w:val="008344B9"/>
    <w:rsid w:val="00834691"/>
    <w:rsid w:val="0083484E"/>
    <w:rsid w:val="00834949"/>
    <w:rsid w:val="00834952"/>
    <w:rsid w:val="00834BFB"/>
    <w:rsid w:val="00834C41"/>
    <w:rsid w:val="00834C64"/>
    <w:rsid w:val="00834DA3"/>
    <w:rsid w:val="00834DC2"/>
    <w:rsid w:val="00834ECC"/>
    <w:rsid w:val="00834F29"/>
    <w:rsid w:val="00834F3C"/>
    <w:rsid w:val="0083517F"/>
    <w:rsid w:val="008352C2"/>
    <w:rsid w:val="008352FE"/>
    <w:rsid w:val="00835316"/>
    <w:rsid w:val="0083537F"/>
    <w:rsid w:val="00835382"/>
    <w:rsid w:val="00835458"/>
    <w:rsid w:val="00835498"/>
    <w:rsid w:val="008354F6"/>
    <w:rsid w:val="00835579"/>
    <w:rsid w:val="008355C1"/>
    <w:rsid w:val="00835699"/>
    <w:rsid w:val="00835770"/>
    <w:rsid w:val="0083581F"/>
    <w:rsid w:val="00835846"/>
    <w:rsid w:val="0083584E"/>
    <w:rsid w:val="008359B2"/>
    <w:rsid w:val="00835A06"/>
    <w:rsid w:val="00835A12"/>
    <w:rsid w:val="00835C2B"/>
    <w:rsid w:val="00835CC7"/>
    <w:rsid w:val="00835D43"/>
    <w:rsid w:val="00835EF3"/>
    <w:rsid w:val="00835F1A"/>
    <w:rsid w:val="00835F6B"/>
    <w:rsid w:val="00835FC4"/>
    <w:rsid w:val="00835FC6"/>
    <w:rsid w:val="00835FD9"/>
    <w:rsid w:val="0083607C"/>
    <w:rsid w:val="008360D6"/>
    <w:rsid w:val="0083612F"/>
    <w:rsid w:val="008362EC"/>
    <w:rsid w:val="0083641D"/>
    <w:rsid w:val="00836584"/>
    <w:rsid w:val="008365C3"/>
    <w:rsid w:val="00836600"/>
    <w:rsid w:val="00836624"/>
    <w:rsid w:val="00836865"/>
    <w:rsid w:val="008368F3"/>
    <w:rsid w:val="00836909"/>
    <w:rsid w:val="00836A3D"/>
    <w:rsid w:val="00836AB9"/>
    <w:rsid w:val="00836BC9"/>
    <w:rsid w:val="00836C2D"/>
    <w:rsid w:val="00837119"/>
    <w:rsid w:val="00837306"/>
    <w:rsid w:val="00837384"/>
    <w:rsid w:val="00837475"/>
    <w:rsid w:val="008375F2"/>
    <w:rsid w:val="00837670"/>
    <w:rsid w:val="008376C1"/>
    <w:rsid w:val="008376DE"/>
    <w:rsid w:val="0083784D"/>
    <w:rsid w:val="00837984"/>
    <w:rsid w:val="008379E6"/>
    <w:rsid w:val="00837A4C"/>
    <w:rsid w:val="00837F23"/>
    <w:rsid w:val="00837F2D"/>
    <w:rsid w:val="00837FB2"/>
    <w:rsid w:val="0084005A"/>
    <w:rsid w:val="00840152"/>
    <w:rsid w:val="0084034D"/>
    <w:rsid w:val="00840455"/>
    <w:rsid w:val="00840506"/>
    <w:rsid w:val="00840876"/>
    <w:rsid w:val="008408CD"/>
    <w:rsid w:val="00840AD2"/>
    <w:rsid w:val="00840B29"/>
    <w:rsid w:val="00840BD4"/>
    <w:rsid w:val="00840CD6"/>
    <w:rsid w:val="00840CF8"/>
    <w:rsid w:val="00840D36"/>
    <w:rsid w:val="00840DA8"/>
    <w:rsid w:val="00840DF2"/>
    <w:rsid w:val="00840E23"/>
    <w:rsid w:val="00840E7D"/>
    <w:rsid w:val="00840FA8"/>
    <w:rsid w:val="008411FC"/>
    <w:rsid w:val="00841362"/>
    <w:rsid w:val="008413CB"/>
    <w:rsid w:val="008413DA"/>
    <w:rsid w:val="00841466"/>
    <w:rsid w:val="00841514"/>
    <w:rsid w:val="008415B5"/>
    <w:rsid w:val="008415CE"/>
    <w:rsid w:val="008415E7"/>
    <w:rsid w:val="008415E8"/>
    <w:rsid w:val="0084163F"/>
    <w:rsid w:val="00841692"/>
    <w:rsid w:val="00841694"/>
    <w:rsid w:val="008416A8"/>
    <w:rsid w:val="00841701"/>
    <w:rsid w:val="0084173C"/>
    <w:rsid w:val="008417B7"/>
    <w:rsid w:val="008417C6"/>
    <w:rsid w:val="008417D7"/>
    <w:rsid w:val="008419C6"/>
    <w:rsid w:val="00841A30"/>
    <w:rsid w:val="00841B8F"/>
    <w:rsid w:val="00841B95"/>
    <w:rsid w:val="00841BEC"/>
    <w:rsid w:val="00841CA0"/>
    <w:rsid w:val="00841CD5"/>
    <w:rsid w:val="00841D7E"/>
    <w:rsid w:val="00841E73"/>
    <w:rsid w:val="00842079"/>
    <w:rsid w:val="0084211D"/>
    <w:rsid w:val="00842256"/>
    <w:rsid w:val="0084229E"/>
    <w:rsid w:val="008422B4"/>
    <w:rsid w:val="00842453"/>
    <w:rsid w:val="0084251C"/>
    <w:rsid w:val="008426AE"/>
    <w:rsid w:val="00842711"/>
    <w:rsid w:val="00842778"/>
    <w:rsid w:val="008427D4"/>
    <w:rsid w:val="008427FB"/>
    <w:rsid w:val="0084282F"/>
    <w:rsid w:val="0084287A"/>
    <w:rsid w:val="0084298F"/>
    <w:rsid w:val="008429C3"/>
    <w:rsid w:val="00842BBE"/>
    <w:rsid w:val="00842D40"/>
    <w:rsid w:val="00842E78"/>
    <w:rsid w:val="00842EDE"/>
    <w:rsid w:val="00842F18"/>
    <w:rsid w:val="00842F2A"/>
    <w:rsid w:val="00842FE1"/>
    <w:rsid w:val="00843270"/>
    <w:rsid w:val="0084340A"/>
    <w:rsid w:val="008434A3"/>
    <w:rsid w:val="00843618"/>
    <w:rsid w:val="00843680"/>
    <w:rsid w:val="00843815"/>
    <w:rsid w:val="00843902"/>
    <w:rsid w:val="00843939"/>
    <w:rsid w:val="00843969"/>
    <w:rsid w:val="00843A13"/>
    <w:rsid w:val="00843B35"/>
    <w:rsid w:val="00843B4C"/>
    <w:rsid w:val="00843CE9"/>
    <w:rsid w:val="00843D1F"/>
    <w:rsid w:val="00843E39"/>
    <w:rsid w:val="00843ED6"/>
    <w:rsid w:val="00843F87"/>
    <w:rsid w:val="00843FAD"/>
    <w:rsid w:val="00844073"/>
    <w:rsid w:val="008440CA"/>
    <w:rsid w:val="0084417F"/>
    <w:rsid w:val="0084419E"/>
    <w:rsid w:val="008441AD"/>
    <w:rsid w:val="0084423D"/>
    <w:rsid w:val="00844276"/>
    <w:rsid w:val="008442EA"/>
    <w:rsid w:val="00844391"/>
    <w:rsid w:val="008443D3"/>
    <w:rsid w:val="00844429"/>
    <w:rsid w:val="0084446D"/>
    <w:rsid w:val="00844703"/>
    <w:rsid w:val="0084484A"/>
    <w:rsid w:val="00844868"/>
    <w:rsid w:val="0084495D"/>
    <w:rsid w:val="00844974"/>
    <w:rsid w:val="00844A04"/>
    <w:rsid w:val="00844A33"/>
    <w:rsid w:val="00844AE0"/>
    <w:rsid w:val="00844CA8"/>
    <w:rsid w:val="00844D65"/>
    <w:rsid w:val="00844D9B"/>
    <w:rsid w:val="00844DD2"/>
    <w:rsid w:val="00844E43"/>
    <w:rsid w:val="00844F8C"/>
    <w:rsid w:val="00844F9E"/>
    <w:rsid w:val="00844FC9"/>
    <w:rsid w:val="0084504B"/>
    <w:rsid w:val="008451AF"/>
    <w:rsid w:val="00845515"/>
    <w:rsid w:val="00845534"/>
    <w:rsid w:val="0084553E"/>
    <w:rsid w:val="0084554C"/>
    <w:rsid w:val="008456AF"/>
    <w:rsid w:val="008456FC"/>
    <w:rsid w:val="0084580A"/>
    <w:rsid w:val="008458BD"/>
    <w:rsid w:val="00845AD1"/>
    <w:rsid w:val="00845AE7"/>
    <w:rsid w:val="00845BA8"/>
    <w:rsid w:val="00845FE8"/>
    <w:rsid w:val="00846021"/>
    <w:rsid w:val="008461EF"/>
    <w:rsid w:val="00846353"/>
    <w:rsid w:val="008464D2"/>
    <w:rsid w:val="008464F5"/>
    <w:rsid w:val="008465DC"/>
    <w:rsid w:val="00846688"/>
    <w:rsid w:val="008467E1"/>
    <w:rsid w:val="00846817"/>
    <w:rsid w:val="00846863"/>
    <w:rsid w:val="008468BA"/>
    <w:rsid w:val="008468C8"/>
    <w:rsid w:val="00846947"/>
    <w:rsid w:val="00846988"/>
    <w:rsid w:val="00846A1B"/>
    <w:rsid w:val="00846A2B"/>
    <w:rsid w:val="00846A88"/>
    <w:rsid w:val="00846BB6"/>
    <w:rsid w:val="00846EDC"/>
    <w:rsid w:val="00846EED"/>
    <w:rsid w:val="00846F95"/>
    <w:rsid w:val="0084718C"/>
    <w:rsid w:val="0084724D"/>
    <w:rsid w:val="00847364"/>
    <w:rsid w:val="00847548"/>
    <w:rsid w:val="00847600"/>
    <w:rsid w:val="00847626"/>
    <w:rsid w:val="008476CB"/>
    <w:rsid w:val="008477DC"/>
    <w:rsid w:val="008478C9"/>
    <w:rsid w:val="00847954"/>
    <w:rsid w:val="00847993"/>
    <w:rsid w:val="008479F0"/>
    <w:rsid w:val="00847A0C"/>
    <w:rsid w:val="00847B13"/>
    <w:rsid w:val="00847BD9"/>
    <w:rsid w:val="00847D86"/>
    <w:rsid w:val="00847E42"/>
    <w:rsid w:val="00847E48"/>
    <w:rsid w:val="00847E6D"/>
    <w:rsid w:val="00847ED0"/>
    <w:rsid w:val="00847EE0"/>
    <w:rsid w:val="00847F4C"/>
    <w:rsid w:val="00850060"/>
    <w:rsid w:val="0085019A"/>
    <w:rsid w:val="00850265"/>
    <w:rsid w:val="00850297"/>
    <w:rsid w:val="0085036F"/>
    <w:rsid w:val="008503B6"/>
    <w:rsid w:val="008503C7"/>
    <w:rsid w:val="008503DC"/>
    <w:rsid w:val="00850407"/>
    <w:rsid w:val="00850461"/>
    <w:rsid w:val="0085052C"/>
    <w:rsid w:val="008505B7"/>
    <w:rsid w:val="008505FB"/>
    <w:rsid w:val="0085068D"/>
    <w:rsid w:val="00850761"/>
    <w:rsid w:val="00850909"/>
    <w:rsid w:val="008509ED"/>
    <w:rsid w:val="00850A42"/>
    <w:rsid w:val="00850ACA"/>
    <w:rsid w:val="00850CA9"/>
    <w:rsid w:val="00850D02"/>
    <w:rsid w:val="00850DA1"/>
    <w:rsid w:val="00850FB8"/>
    <w:rsid w:val="00851029"/>
    <w:rsid w:val="00851085"/>
    <w:rsid w:val="008510D6"/>
    <w:rsid w:val="00851285"/>
    <w:rsid w:val="008514BC"/>
    <w:rsid w:val="008514F4"/>
    <w:rsid w:val="008515FC"/>
    <w:rsid w:val="00851614"/>
    <w:rsid w:val="008516FF"/>
    <w:rsid w:val="008517B4"/>
    <w:rsid w:val="008518B7"/>
    <w:rsid w:val="00851A0E"/>
    <w:rsid w:val="00851AFA"/>
    <w:rsid w:val="00851C2B"/>
    <w:rsid w:val="00851C4D"/>
    <w:rsid w:val="00851D41"/>
    <w:rsid w:val="00851D4F"/>
    <w:rsid w:val="00851D57"/>
    <w:rsid w:val="00851DBF"/>
    <w:rsid w:val="00851F7B"/>
    <w:rsid w:val="00851FB6"/>
    <w:rsid w:val="00852006"/>
    <w:rsid w:val="008520BE"/>
    <w:rsid w:val="008521D9"/>
    <w:rsid w:val="00852229"/>
    <w:rsid w:val="008523AA"/>
    <w:rsid w:val="00852412"/>
    <w:rsid w:val="00852442"/>
    <w:rsid w:val="00852521"/>
    <w:rsid w:val="008525AB"/>
    <w:rsid w:val="00852643"/>
    <w:rsid w:val="00852689"/>
    <w:rsid w:val="008528C7"/>
    <w:rsid w:val="008529E7"/>
    <w:rsid w:val="00852BC2"/>
    <w:rsid w:val="00852CE0"/>
    <w:rsid w:val="00852E3B"/>
    <w:rsid w:val="0085301A"/>
    <w:rsid w:val="008530F1"/>
    <w:rsid w:val="00853100"/>
    <w:rsid w:val="00853257"/>
    <w:rsid w:val="00853453"/>
    <w:rsid w:val="00853535"/>
    <w:rsid w:val="00853580"/>
    <w:rsid w:val="008536D8"/>
    <w:rsid w:val="0085370B"/>
    <w:rsid w:val="00853736"/>
    <w:rsid w:val="00853747"/>
    <w:rsid w:val="00853773"/>
    <w:rsid w:val="008537E0"/>
    <w:rsid w:val="0085390F"/>
    <w:rsid w:val="00853974"/>
    <w:rsid w:val="00853AC0"/>
    <w:rsid w:val="00853B9C"/>
    <w:rsid w:val="00853C96"/>
    <w:rsid w:val="00853D61"/>
    <w:rsid w:val="00853DC5"/>
    <w:rsid w:val="008540B3"/>
    <w:rsid w:val="00854153"/>
    <w:rsid w:val="00854320"/>
    <w:rsid w:val="0085433F"/>
    <w:rsid w:val="0085435A"/>
    <w:rsid w:val="008543E7"/>
    <w:rsid w:val="0085442C"/>
    <w:rsid w:val="0085454A"/>
    <w:rsid w:val="00854552"/>
    <w:rsid w:val="00854557"/>
    <w:rsid w:val="008545C5"/>
    <w:rsid w:val="008545E9"/>
    <w:rsid w:val="008546FA"/>
    <w:rsid w:val="00854799"/>
    <w:rsid w:val="0085493D"/>
    <w:rsid w:val="00854E3F"/>
    <w:rsid w:val="00854F90"/>
    <w:rsid w:val="00854FC0"/>
    <w:rsid w:val="00855162"/>
    <w:rsid w:val="008551E1"/>
    <w:rsid w:val="008551E5"/>
    <w:rsid w:val="00855243"/>
    <w:rsid w:val="0085525E"/>
    <w:rsid w:val="008552EE"/>
    <w:rsid w:val="008554C9"/>
    <w:rsid w:val="00855531"/>
    <w:rsid w:val="008556D6"/>
    <w:rsid w:val="00855733"/>
    <w:rsid w:val="00855761"/>
    <w:rsid w:val="008557E8"/>
    <w:rsid w:val="00855822"/>
    <w:rsid w:val="008558AB"/>
    <w:rsid w:val="00855A78"/>
    <w:rsid w:val="00855AD0"/>
    <w:rsid w:val="00855B04"/>
    <w:rsid w:val="00855B05"/>
    <w:rsid w:val="00855C5D"/>
    <w:rsid w:val="00855E68"/>
    <w:rsid w:val="00855FEB"/>
    <w:rsid w:val="0085621D"/>
    <w:rsid w:val="00856334"/>
    <w:rsid w:val="008563C9"/>
    <w:rsid w:val="008563F1"/>
    <w:rsid w:val="008565E7"/>
    <w:rsid w:val="00856857"/>
    <w:rsid w:val="008568BA"/>
    <w:rsid w:val="00856936"/>
    <w:rsid w:val="00856965"/>
    <w:rsid w:val="0085698C"/>
    <w:rsid w:val="00856AC5"/>
    <w:rsid w:val="00856D64"/>
    <w:rsid w:val="00856D84"/>
    <w:rsid w:val="00856F6C"/>
    <w:rsid w:val="00857033"/>
    <w:rsid w:val="0085713C"/>
    <w:rsid w:val="00857199"/>
    <w:rsid w:val="008572FA"/>
    <w:rsid w:val="0085730B"/>
    <w:rsid w:val="008573B9"/>
    <w:rsid w:val="008573E5"/>
    <w:rsid w:val="00857448"/>
    <w:rsid w:val="008574A0"/>
    <w:rsid w:val="00857515"/>
    <w:rsid w:val="00857530"/>
    <w:rsid w:val="0085766B"/>
    <w:rsid w:val="00857701"/>
    <w:rsid w:val="00857832"/>
    <w:rsid w:val="0085798E"/>
    <w:rsid w:val="0085799B"/>
    <w:rsid w:val="008579C8"/>
    <w:rsid w:val="00857C41"/>
    <w:rsid w:val="00857E1B"/>
    <w:rsid w:val="00857E49"/>
    <w:rsid w:val="00857F02"/>
    <w:rsid w:val="00857F0F"/>
    <w:rsid w:val="00857F8E"/>
    <w:rsid w:val="00857FA3"/>
    <w:rsid w:val="00860006"/>
    <w:rsid w:val="00860030"/>
    <w:rsid w:val="00860272"/>
    <w:rsid w:val="00860377"/>
    <w:rsid w:val="00860383"/>
    <w:rsid w:val="008604CC"/>
    <w:rsid w:val="0086052F"/>
    <w:rsid w:val="008605A8"/>
    <w:rsid w:val="008605F8"/>
    <w:rsid w:val="0086065B"/>
    <w:rsid w:val="00860684"/>
    <w:rsid w:val="008606CE"/>
    <w:rsid w:val="00860779"/>
    <w:rsid w:val="00860840"/>
    <w:rsid w:val="008608E8"/>
    <w:rsid w:val="0086094C"/>
    <w:rsid w:val="00860D79"/>
    <w:rsid w:val="008611A6"/>
    <w:rsid w:val="00861204"/>
    <w:rsid w:val="0086125A"/>
    <w:rsid w:val="00861424"/>
    <w:rsid w:val="00861435"/>
    <w:rsid w:val="00861471"/>
    <w:rsid w:val="0086169B"/>
    <w:rsid w:val="008616DA"/>
    <w:rsid w:val="008616EF"/>
    <w:rsid w:val="008616F9"/>
    <w:rsid w:val="00861997"/>
    <w:rsid w:val="008619DC"/>
    <w:rsid w:val="00861AE6"/>
    <w:rsid w:val="00861CFB"/>
    <w:rsid w:val="00861F33"/>
    <w:rsid w:val="0086204C"/>
    <w:rsid w:val="008620AF"/>
    <w:rsid w:val="008621C4"/>
    <w:rsid w:val="00862259"/>
    <w:rsid w:val="0086266C"/>
    <w:rsid w:val="008626A9"/>
    <w:rsid w:val="008627E1"/>
    <w:rsid w:val="008628D5"/>
    <w:rsid w:val="008628D6"/>
    <w:rsid w:val="008628EA"/>
    <w:rsid w:val="0086297B"/>
    <w:rsid w:val="008629AE"/>
    <w:rsid w:val="008629B4"/>
    <w:rsid w:val="00862AB2"/>
    <w:rsid w:val="00862B0B"/>
    <w:rsid w:val="00862B18"/>
    <w:rsid w:val="00862C3E"/>
    <w:rsid w:val="00862C74"/>
    <w:rsid w:val="00862D49"/>
    <w:rsid w:val="00862DEB"/>
    <w:rsid w:val="00862E60"/>
    <w:rsid w:val="008630F9"/>
    <w:rsid w:val="00863256"/>
    <w:rsid w:val="008632CB"/>
    <w:rsid w:val="0086330F"/>
    <w:rsid w:val="00863315"/>
    <w:rsid w:val="008634AB"/>
    <w:rsid w:val="008634D5"/>
    <w:rsid w:val="008636AA"/>
    <w:rsid w:val="0086384E"/>
    <w:rsid w:val="008638C3"/>
    <w:rsid w:val="008639A6"/>
    <w:rsid w:val="008639DA"/>
    <w:rsid w:val="008639F5"/>
    <w:rsid w:val="00863E9C"/>
    <w:rsid w:val="00863F66"/>
    <w:rsid w:val="0086400E"/>
    <w:rsid w:val="00864102"/>
    <w:rsid w:val="008642C3"/>
    <w:rsid w:val="00864310"/>
    <w:rsid w:val="0086467B"/>
    <w:rsid w:val="00864749"/>
    <w:rsid w:val="008647FB"/>
    <w:rsid w:val="0086485A"/>
    <w:rsid w:val="0086492A"/>
    <w:rsid w:val="00864B35"/>
    <w:rsid w:val="00864D61"/>
    <w:rsid w:val="00864DAD"/>
    <w:rsid w:val="00864F83"/>
    <w:rsid w:val="0086524A"/>
    <w:rsid w:val="008652BA"/>
    <w:rsid w:val="00865378"/>
    <w:rsid w:val="008653FF"/>
    <w:rsid w:val="00865608"/>
    <w:rsid w:val="00865614"/>
    <w:rsid w:val="00865851"/>
    <w:rsid w:val="0086589A"/>
    <w:rsid w:val="0086591C"/>
    <w:rsid w:val="0086595C"/>
    <w:rsid w:val="008659A9"/>
    <w:rsid w:val="008659E5"/>
    <w:rsid w:val="00865BD4"/>
    <w:rsid w:val="00865C2B"/>
    <w:rsid w:val="00865E8D"/>
    <w:rsid w:val="008661E9"/>
    <w:rsid w:val="008663BB"/>
    <w:rsid w:val="00866636"/>
    <w:rsid w:val="008667FE"/>
    <w:rsid w:val="0086697E"/>
    <w:rsid w:val="00866A77"/>
    <w:rsid w:val="00866ABE"/>
    <w:rsid w:val="00866B86"/>
    <w:rsid w:val="00866B8C"/>
    <w:rsid w:val="00866C79"/>
    <w:rsid w:val="00866E6D"/>
    <w:rsid w:val="00866ED9"/>
    <w:rsid w:val="0086708E"/>
    <w:rsid w:val="008671D5"/>
    <w:rsid w:val="008671EC"/>
    <w:rsid w:val="00867289"/>
    <w:rsid w:val="00867481"/>
    <w:rsid w:val="00867530"/>
    <w:rsid w:val="008675E7"/>
    <w:rsid w:val="008675F7"/>
    <w:rsid w:val="00867904"/>
    <w:rsid w:val="0086797A"/>
    <w:rsid w:val="00867AC5"/>
    <w:rsid w:val="00867B23"/>
    <w:rsid w:val="00867BCD"/>
    <w:rsid w:val="00867ECB"/>
    <w:rsid w:val="00867EE0"/>
    <w:rsid w:val="00870150"/>
    <w:rsid w:val="00870314"/>
    <w:rsid w:val="00870398"/>
    <w:rsid w:val="008703C9"/>
    <w:rsid w:val="008705AD"/>
    <w:rsid w:val="00870673"/>
    <w:rsid w:val="0087068F"/>
    <w:rsid w:val="008706C8"/>
    <w:rsid w:val="0087083D"/>
    <w:rsid w:val="00870959"/>
    <w:rsid w:val="00870AB8"/>
    <w:rsid w:val="00870AEE"/>
    <w:rsid w:val="00870DFE"/>
    <w:rsid w:val="00870ED9"/>
    <w:rsid w:val="00870FD5"/>
    <w:rsid w:val="00870FDC"/>
    <w:rsid w:val="0087101B"/>
    <w:rsid w:val="0087105F"/>
    <w:rsid w:val="008710B5"/>
    <w:rsid w:val="00871157"/>
    <w:rsid w:val="0087116F"/>
    <w:rsid w:val="008711BA"/>
    <w:rsid w:val="00871277"/>
    <w:rsid w:val="00871575"/>
    <w:rsid w:val="0087165B"/>
    <w:rsid w:val="0087167A"/>
    <w:rsid w:val="0087189E"/>
    <w:rsid w:val="008719D0"/>
    <w:rsid w:val="00871A7A"/>
    <w:rsid w:val="00871B18"/>
    <w:rsid w:val="00871B89"/>
    <w:rsid w:val="00871B9F"/>
    <w:rsid w:val="00871F7E"/>
    <w:rsid w:val="00871F9E"/>
    <w:rsid w:val="0087219D"/>
    <w:rsid w:val="008721E8"/>
    <w:rsid w:val="0087239D"/>
    <w:rsid w:val="0087245B"/>
    <w:rsid w:val="00872464"/>
    <w:rsid w:val="00872481"/>
    <w:rsid w:val="00872641"/>
    <w:rsid w:val="00872772"/>
    <w:rsid w:val="00872933"/>
    <w:rsid w:val="008729F8"/>
    <w:rsid w:val="00872B3D"/>
    <w:rsid w:val="00872C32"/>
    <w:rsid w:val="00872C6C"/>
    <w:rsid w:val="00872C7E"/>
    <w:rsid w:val="00872DC5"/>
    <w:rsid w:val="00872DDA"/>
    <w:rsid w:val="00872F5C"/>
    <w:rsid w:val="00872FBE"/>
    <w:rsid w:val="00872FC6"/>
    <w:rsid w:val="00873035"/>
    <w:rsid w:val="0087306A"/>
    <w:rsid w:val="00873694"/>
    <w:rsid w:val="008737D8"/>
    <w:rsid w:val="00873812"/>
    <w:rsid w:val="00873846"/>
    <w:rsid w:val="00873886"/>
    <w:rsid w:val="0087395A"/>
    <w:rsid w:val="008739A4"/>
    <w:rsid w:val="008739B2"/>
    <w:rsid w:val="00873B9C"/>
    <w:rsid w:val="00873BB3"/>
    <w:rsid w:val="00873BBF"/>
    <w:rsid w:val="00873C22"/>
    <w:rsid w:val="00873CE6"/>
    <w:rsid w:val="00873E43"/>
    <w:rsid w:val="008741F8"/>
    <w:rsid w:val="008742B3"/>
    <w:rsid w:val="008742CD"/>
    <w:rsid w:val="00874383"/>
    <w:rsid w:val="008743A2"/>
    <w:rsid w:val="00874458"/>
    <w:rsid w:val="00874471"/>
    <w:rsid w:val="00874491"/>
    <w:rsid w:val="008745DE"/>
    <w:rsid w:val="00874717"/>
    <w:rsid w:val="0087472B"/>
    <w:rsid w:val="0087477F"/>
    <w:rsid w:val="008747A7"/>
    <w:rsid w:val="00874808"/>
    <w:rsid w:val="00874C51"/>
    <w:rsid w:val="00874F57"/>
    <w:rsid w:val="00874F5C"/>
    <w:rsid w:val="00874FE4"/>
    <w:rsid w:val="0087507D"/>
    <w:rsid w:val="0087557B"/>
    <w:rsid w:val="008755AB"/>
    <w:rsid w:val="0087560A"/>
    <w:rsid w:val="00875813"/>
    <w:rsid w:val="0087587E"/>
    <w:rsid w:val="008759E6"/>
    <w:rsid w:val="00875C04"/>
    <w:rsid w:val="00875C27"/>
    <w:rsid w:val="00875CA4"/>
    <w:rsid w:val="00875D17"/>
    <w:rsid w:val="00875D91"/>
    <w:rsid w:val="00875EA6"/>
    <w:rsid w:val="00875ED9"/>
    <w:rsid w:val="00875EDB"/>
    <w:rsid w:val="00875F2A"/>
    <w:rsid w:val="0087618B"/>
    <w:rsid w:val="008761FE"/>
    <w:rsid w:val="008762E0"/>
    <w:rsid w:val="0087631B"/>
    <w:rsid w:val="00876326"/>
    <w:rsid w:val="00876476"/>
    <w:rsid w:val="008764FA"/>
    <w:rsid w:val="0087650D"/>
    <w:rsid w:val="00876515"/>
    <w:rsid w:val="008766C7"/>
    <w:rsid w:val="0087678C"/>
    <w:rsid w:val="00876797"/>
    <w:rsid w:val="008768EC"/>
    <w:rsid w:val="008769FC"/>
    <w:rsid w:val="00876A72"/>
    <w:rsid w:val="00876A9C"/>
    <w:rsid w:val="00876C07"/>
    <w:rsid w:val="00876D0B"/>
    <w:rsid w:val="00877005"/>
    <w:rsid w:val="008770E3"/>
    <w:rsid w:val="0087720A"/>
    <w:rsid w:val="00877286"/>
    <w:rsid w:val="00877344"/>
    <w:rsid w:val="0087749E"/>
    <w:rsid w:val="00877619"/>
    <w:rsid w:val="0087772E"/>
    <w:rsid w:val="00877987"/>
    <w:rsid w:val="00877C35"/>
    <w:rsid w:val="00877C7B"/>
    <w:rsid w:val="00877CA4"/>
    <w:rsid w:val="00877CC0"/>
    <w:rsid w:val="00877DB7"/>
    <w:rsid w:val="00877EB3"/>
    <w:rsid w:val="00877F55"/>
    <w:rsid w:val="00880122"/>
    <w:rsid w:val="008801FB"/>
    <w:rsid w:val="0088035E"/>
    <w:rsid w:val="008803A0"/>
    <w:rsid w:val="00880792"/>
    <w:rsid w:val="0088087C"/>
    <w:rsid w:val="008808F2"/>
    <w:rsid w:val="00880BC9"/>
    <w:rsid w:val="00880BFE"/>
    <w:rsid w:val="00880C3C"/>
    <w:rsid w:val="00880C59"/>
    <w:rsid w:val="00880C91"/>
    <w:rsid w:val="00880CF8"/>
    <w:rsid w:val="00880D0D"/>
    <w:rsid w:val="00880D86"/>
    <w:rsid w:val="00880E47"/>
    <w:rsid w:val="00880F35"/>
    <w:rsid w:val="0088101A"/>
    <w:rsid w:val="00881052"/>
    <w:rsid w:val="0088106B"/>
    <w:rsid w:val="0088112C"/>
    <w:rsid w:val="00881181"/>
    <w:rsid w:val="008811BD"/>
    <w:rsid w:val="00881212"/>
    <w:rsid w:val="00881241"/>
    <w:rsid w:val="008813F8"/>
    <w:rsid w:val="00881437"/>
    <w:rsid w:val="0088146F"/>
    <w:rsid w:val="008814A2"/>
    <w:rsid w:val="008815C4"/>
    <w:rsid w:val="008817F1"/>
    <w:rsid w:val="008817F3"/>
    <w:rsid w:val="00881805"/>
    <w:rsid w:val="008818D3"/>
    <w:rsid w:val="00881A67"/>
    <w:rsid w:val="00881B71"/>
    <w:rsid w:val="00881B92"/>
    <w:rsid w:val="00881BC9"/>
    <w:rsid w:val="00881C87"/>
    <w:rsid w:val="00881CB8"/>
    <w:rsid w:val="00881D22"/>
    <w:rsid w:val="00881E01"/>
    <w:rsid w:val="00881FDD"/>
    <w:rsid w:val="008820B4"/>
    <w:rsid w:val="0088212D"/>
    <w:rsid w:val="0088212F"/>
    <w:rsid w:val="00882220"/>
    <w:rsid w:val="0088222E"/>
    <w:rsid w:val="008825E1"/>
    <w:rsid w:val="00882910"/>
    <w:rsid w:val="00882C23"/>
    <w:rsid w:val="00882C36"/>
    <w:rsid w:val="00882CF2"/>
    <w:rsid w:val="00882E5D"/>
    <w:rsid w:val="00882EEA"/>
    <w:rsid w:val="008830E9"/>
    <w:rsid w:val="0088319C"/>
    <w:rsid w:val="008831A4"/>
    <w:rsid w:val="008831D0"/>
    <w:rsid w:val="00883365"/>
    <w:rsid w:val="008833DB"/>
    <w:rsid w:val="00883438"/>
    <w:rsid w:val="0088343E"/>
    <w:rsid w:val="0088376F"/>
    <w:rsid w:val="008837F4"/>
    <w:rsid w:val="0088385D"/>
    <w:rsid w:val="008838F3"/>
    <w:rsid w:val="00883914"/>
    <w:rsid w:val="00883A0E"/>
    <w:rsid w:val="00883A22"/>
    <w:rsid w:val="00883B69"/>
    <w:rsid w:val="00883C86"/>
    <w:rsid w:val="00883CD5"/>
    <w:rsid w:val="00883D35"/>
    <w:rsid w:val="00883D79"/>
    <w:rsid w:val="00883D9A"/>
    <w:rsid w:val="00884152"/>
    <w:rsid w:val="008841D3"/>
    <w:rsid w:val="00884208"/>
    <w:rsid w:val="00884447"/>
    <w:rsid w:val="008844C9"/>
    <w:rsid w:val="0088460B"/>
    <w:rsid w:val="00884610"/>
    <w:rsid w:val="00884809"/>
    <w:rsid w:val="00884B03"/>
    <w:rsid w:val="00884B76"/>
    <w:rsid w:val="00884B91"/>
    <w:rsid w:val="00884BE2"/>
    <w:rsid w:val="00884C85"/>
    <w:rsid w:val="00884E60"/>
    <w:rsid w:val="00884EA7"/>
    <w:rsid w:val="0088509B"/>
    <w:rsid w:val="008850E9"/>
    <w:rsid w:val="00885234"/>
    <w:rsid w:val="0088523F"/>
    <w:rsid w:val="008852EB"/>
    <w:rsid w:val="008853F2"/>
    <w:rsid w:val="00885428"/>
    <w:rsid w:val="00885442"/>
    <w:rsid w:val="00885451"/>
    <w:rsid w:val="00885482"/>
    <w:rsid w:val="0088560E"/>
    <w:rsid w:val="008856EE"/>
    <w:rsid w:val="008857A4"/>
    <w:rsid w:val="00885A16"/>
    <w:rsid w:val="00885C36"/>
    <w:rsid w:val="00885D00"/>
    <w:rsid w:val="00885D41"/>
    <w:rsid w:val="00885DD0"/>
    <w:rsid w:val="00885FC0"/>
    <w:rsid w:val="00885FF6"/>
    <w:rsid w:val="00885FFC"/>
    <w:rsid w:val="0088606B"/>
    <w:rsid w:val="008860FA"/>
    <w:rsid w:val="008861A3"/>
    <w:rsid w:val="00886201"/>
    <w:rsid w:val="00886243"/>
    <w:rsid w:val="008863A1"/>
    <w:rsid w:val="008867A6"/>
    <w:rsid w:val="008867CF"/>
    <w:rsid w:val="00886903"/>
    <w:rsid w:val="0088692F"/>
    <w:rsid w:val="00886931"/>
    <w:rsid w:val="00886A7A"/>
    <w:rsid w:val="00886ACC"/>
    <w:rsid w:val="00886AE4"/>
    <w:rsid w:val="00886BE7"/>
    <w:rsid w:val="00886C78"/>
    <w:rsid w:val="00886D12"/>
    <w:rsid w:val="00887193"/>
    <w:rsid w:val="00887313"/>
    <w:rsid w:val="00887364"/>
    <w:rsid w:val="008873FD"/>
    <w:rsid w:val="00887565"/>
    <w:rsid w:val="008875C5"/>
    <w:rsid w:val="008875DE"/>
    <w:rsid w:val="0088777B"/>
    <w:rsid w:val="0088785B"/>
    <w:rsid w:val="0088787B"/>
    <w:rsid w:val="0088790E"/>
    <w:rsid w:val="00887912"/>
    <w:rsid w:val="00887956"/>
    <w:rsid w:val="00887961"/>
    <w:rsid w:val="00887A1A"/>
    <w:rsid w:val="00887A21"/>
    <w:rsid w:val="00887B9D"/>
    <w:rsid w:val="00887BBF"/>
    <w:rsid w:val="00887C9D"/>
    <w:rsid w:val="00887D72"/>
    <w:rsid w:val="00887E01"/>
    <w:rsid w:val="00890080"/>
    <w:rsid w:val="008902DE"/>
    <w:rsid w:val="00890399"/>
    <w:rsid w:val="008904C3"/>
    <w:rsid w:val="008904CB"/>
    <w:rsid w:val="008906FA"/>
    <w:rsid w:val="00890767"/>
    <w:rsid w:val="0089084C"/>
    <w:rsid w:val="00890854"/>
    <w:rsid w:val="0089087D"/>
    <w:rsid w:val="0089089B"/>
    <w:rsid w:val="00890A57"/>
    <w:rsid w:val="00890ABC"/>
    <w:rsid w:val="00890B18"/>
    <w:rsid w:val="00890D48"/>
    <w:rsid w:val="00890ED3"/>
    <w:rsid w:val="00890F2A"/>
    <w:rsid w:val="00890FE5"/>
    <w:rsid w:val="00891012"/>
    <w:rsid w:val="00891081"/>
    <w:rsid w:val="008914D2"/>
    <w:rsid w:val="00891503"/>
    <w:rsid w:val="00891516"/>
    <w:rsid w:val="00891688"/>
    <w:rsid w:val="008916C8"/>
    <w:rsid w:val="0089187E"/>
    <w:rsid w:val="008918E4"/>
    <w:rsid w:val="00891A0B"/>
    <w:rsid w:val="00891A1A"/>
    <w:rsid w:val="00891B9F"/>
    <w:rsid w:val="00891DAA"/>
    <w:rsid w:val="00891E69"/>
    <w:rsid w:val="00891E75"/>
    <w:rsid w:val="008920BC"/>
    <w:rsid w:val="00892161"/>
    <w:rsid w:val="0089222A"/>
    <w:rsid w:val="00892249"/>
    <w:rsid w:val="008922FB"/>
    <w:rsid w:val="00892321"/>
    <w:rsid w:val="0089234D"/>
    <w:rsid w:val="008923F7"/>
    <w:rsid w:val="008923F9"/>
    <w:rsid w:val="00892450"/>
    <w:rsid w:val="008924F8"/>
    <w:rsid w:val="0089255A"/>
    <w:rsid w:val="00892563"/>
    <w:rsid w:val="00892571"/>
    <w:rsid w:val="00892581"/>
    <w:rsid w:val="0089259A"/>
    <w:rsid w:val="008926B9"/>
    <w:rsid w:val="008926F3"/>
    <w:rsid w:val="008927F8"/>
    <w:rsid w:val="008928B8"/>
    <w:rsid w:val="00892995"/>
    <w:rsid w:val="008929EC"/>
    <w:rsid w:val="008929F4"/>
    <w:rsid w:val="00892A6E"/>
    <w:rsid w:val="00892B2A"/>
    <w:rsid w:val="00892B37"/>
    <w:rsid w:val="00892BB8"/>
    <w:rsid w:val="00892C08"/>
    <w:rsid w:val="00892D2D"/>
    <w:rsid w:val="00892DC3"/>
    <w:rsid w:val="00892EDE"/>
    <w:rsid w:val="00893055"/>
    <w:rsid w:val="008931B6"/>
    <w:rsid w:val="0089332B"/>
    <w:rsid w:val="008935D1"/>
    <w:rsid w:val="00893752"/>
    <w:rsid w:val="008937D7"/>
    <w:rsid w:val="00893845"/>
    <w:rsid w:val="00893940"/>
    <w:rsid w:val="00893A36"/>
    <w:rsid w:val="00893C1B"/>
    <w:rsid w:val="00893C42"/>
    <w:rsid w:val="00893C4D"/>
    <w:rsid w:val="00893CFE"/>
    <w:rsid w:val="00893D85"/>
    <w:rsid w:val="00893EEC"/>
    <w:rsid w:val="00894007"/>
    <w:rsid w:val="00894110"/>
    <w:rsid w:val="00894130"/>
    <w:rsid w:val="00894309"/>
    <w:rsid w:val="008943C5"/>
    <w:rsid w:val="00894504"/>
    <w:rsid w:val="00894575"/>
    <w:rsid w:val="00894607"/>
    <w:rsid w:val="00894783"/>
    <w:rsid w:val="00894800"/>
    <w:rsid w:val="00894875"/>
    <w:rsid w:val="00894895"/>
    <w:rsid w:val="008948A4"/>
    <w:rsid w:val="0089491E"/>
    <w:rsid w:val="0089496B"/>
    <w:rsid w:val="00894BBB"/>
    <w:rsid w:val="00894D26"/>
    <w:rsid w:val="008952A0"/>
    <w:rsid w:val="008952DE"/>
    <w:rsid w:val="00895524"/>
    <w:rsid w:val="0089567A"/>
    <w:rsid w:val="008956EA"/>
    <w:rsid w:val="00895AF9"/>
    <w:rsid w:val="00895CC2"/>
    <w:rsid w:val="00895CD4"/>
    <w:rsid w:val="00895D41"/>
    <w:rsid w:val="00895FC6"/>
    <w:rsid w:val="008961D7"/>
    <w:rsid w:val="00896476"/>
    <w:rsid w:val="0089653C"/>
    <w:rsid w:val="008965A7"/>
    <w:rsid w:val="00896679"/>
    <w:rsid w:val="0089671A"/>
    <w:rsid w:val="00896749"/>
    <w:rsid w:val="00896827"/>
    <w:rsid w:val="0089686D"/>
    <w:rsid w:val="0089687D"/>
    <w:rsid w:val="00896889"/>
    <w:rsid w:val="00896AAA"/>
    <w:rsid w:val="00896AAE"/>
    <w:rsid w:val="00896BDD"/>
    <w:rsid w:val="00896BF7"/>
    <w:rsid w:val="00896C5E"/>
    <w:rsid w:val="0089708D"/>
    <w:rsid w:val="008971CE"/>
    <w:rsid w:val="008971F2"/>
    <w:rsid w:val="0089720C"/>
    <w:rsid w:val="0089736B"/>
    <w:rsid w:val="008973AC"/>
    <w:rsid w:val="0089759A"/>
    <w:rsid w:val="008976BF"/>
    <w:rsid w:val="008976DC"/>
    <w:rsid w:val="008978F3"/>
    <w:rsid w:val="00897A5B"/>
    <w:rsid w:val="00897A76"/>
    <w:rsid w:val="00897A96"/>
    <w:rsid w:val="00897C31"/>
    <w:rsid w:val="00897CE9"/>
    <w:rsid w:val="00897E68"/>
    <w:rsid w:val="00897FCB"/>
    <w:rsid w:val="008A0002"/>
    <w:rsid w:val="008A000F"/>
    <w:rsid w:val="008A0153"/>
    <w:rsid w:val="008A01B2"/>
    <w:rsid w:val="008A0288"/>
    <w:rsid w:val="008A05D3"/>
    <w:rsid w:val="008A06D0"/>
    <w:rsid w:val="008A06E7"/>
    <w:rsid w:val="008A06F4"/>
    <w:rsid w:val="008A0780"/>
    <w:rsid w:val="008A087D"/>
    <w:rsid w:val="008A08B6"/>
    <w:rsid w:val="008A09AC"/>
    <w:rsid w:val="008A0B7A"/>
    <w:rsid w:val="008A0C81"/>
    <w:rsid w:val="008A0D10"/>
    <w:rsid w:val="008A0DE4"/>
    <w:rsid w:val="008A0F12"/>
    <w:rsid w:val="008A0F76"/>
    <w:rsid w:val="008A14FA"/>
    <w:rsid w:val="008A1560"/>
    <w:rsid w:val="008A1604"/>
    <w:rsid w:val="008A1723"/>
    <w:rsid w:val="008A17AC"/>
    <w:rsid w:val="008A1937"/>
    <w:rsid w:val="008A1A7E"/>
    <w:rsid w:val="008A1B2F"/>
    <w:rsid w:val="008A1B9D"/>
    <w:rsid w:val="008A1BE2"/>
    <w:rsid w:val="008A1D35"/>
    <w:rsid w:val="008A1D61"/>
    <w:rsid w:val="008A1D86"/>
    <w:rsid w:val="008A1DC4"/>
    <w:rsid w:val="008A1E44"/>
    <w:rsid w:val="008A1ED7"/>
    <w:rsid w:val="008A1EEC"/>
    <w:rsid w:val="008A1F5C"/>
    <w:rsid w:val="008A1F8A"/>
    <w:rsid w:val="008A1FF0"/>
    <w:rsid w:val="008A2028"/>
    <w:rsid w:val="008A2120"/>
    <w:rsid w:val="008A218C"/>
    <w:rsid w:val="008A2251"/>
    <w:rsid w:val="008A2491"/>
    <w:rsid w:val="008A24A2"/>
    <w:rsid w:val="008A24C3"/>
    <w:rsid w:val="008A2577"/>
    <w:rsid w:val="008A2644"/>
    <w:rsid w:val="008A26FE"/>
    <w:rsid w:val="008A2A88"/>
    <w:rsid w:val="008A2CB5"/>
    <w:rsid w:val="008A2E23"/>
    <w:rsid w:val="008A2FC8"/>
    <w:rsid w:val="008A3035"/>
    <w:rsid w:val="008A308C"/>
    <w:rsid w:val="008A30D5"/>
    <w:rsid w:val="008A30E8"/>
    <w:rsid w:val="008A3202"/>
    <w:rsid w:val="008A33EC"/>
    <w:rsid w:val="008A3406"/>
    <w:rsid w:val="008A3524"/>
    <w:rsid w:val="008A3538"/>
    <w:rsid w:val="008A37D2"/>
    <w:rsid w:val="008A38E1"/>
    <w:rsid w:val="008A3CD3"/>
    <w:rsid w:val="008A3D07"/>
    <w:rsid w:val="008A3D69"/>
    <w:rsid w:val="008A3DC5"/>
    <w:rsid w:val="008A3DE4"/>
    <w:rsid w:val="008A4031"/>
    <w:rsid w:val="008A4086"/>
    <w:rsid w:val="008A4108"/>
    <w:rsid w:val="008A4120"/>
    <w:rsid w:val="008A417C"/>
    <w:rsid w:val="008A41DF"/>
    <w:rsid w:val="008A4236"/>
    <w:rsid w:val="008A434F"/>
    <w:rsid w:val="008A4408"/>
    <w:rsid w:val="008A44ED"/>
    <w:rsid w:val="008A459A"/>
    <w:rsid w:val="008A4751"/>
    <w:rsid w:val="008A47E1"/>
    <w:rsid w:val="008A486D"/>
    <w:rsid w:val="008A4883"/>
    <w:rsid w:val="008A49C3"/>
    <w:rsid w:val="008A4AA6"/>
    <w:rsid w:val="008A4AD3"/>
    <w:rsid w:val="008A4B31"/>
    <w:rsid w:val="008A4CBE"/>
    <w:rsid w:val="008A4D95"/>
    <w:rsid w:val="008A50DF"/>
    <w:rsid w:val="008A52E5"/>
    <w:rsid w:val="008A53D5"/>
    <w:rsid w:val="008A5411"/>
    <w:rsid w:val="008A541F"/>
    <w:rsid w:val="008A553C"/>
    <w:rsid w:val="008A5628"/>
    <w:rsid w:val="008A5692"/>
    <w:rsid w:val="008A56F8"/>
    <w:rsid w:val="008A58FE"/>
    <w:rsid w:val="008A5A90"/>
    <w:rsid w:val="008A5B2F"/>
    <w:rsid w:val="008A5DE2"/>
    <w:rsid w:val="008A5E2E"/>
    <w:rsid w:val="008A5E38"/>
    <w:rsid w:val="008A5E41"/>
    <w:rsid w:val="008A5F54"/>
    <w:rsid w:val="008A6037"/>
    <w:rsid w:val="008A607F"/>
    <w:rsid w:val="008A6152"/>
    <w:rsid w:val="008A62E5"/>
    <w:rsid w:val="008A6377"/>
    <w:rsid w:val="008A63F0"/>
    <w:rsid w:val="008A6770"/>
    <w:rsid w:val="008A67F1"/>
    <w:rsid w:val="008A692A"/>
    <w:rsid w:val="008A6933"/>
    <w:rsid w:val="008A6986"/>
    <w:rsid w:val="008A6A2C"/>
    <w:rsid w:val="008A6AE7"/>
    <w:rsid w:val="008A6B30"/>
    <w:rsid w:val="008A7011"/>
    <w:rsid w:val="008A70DC"/>
    <w:rsid w:val="008A7185"/>
    <w:rsid w:val="008A74B7"/>
    <w:rsid w:val="008A74CB"/>
    <w:rsid w:val="008A74F0"/>
    <w:rsid w:val="008A75C6"/>
    <w:rsid w:val="008A76D1"/>
    <w:rsid w:val="008A7769"/>
    <w:rsid w:val="008A786E"/>
    <w:rsid w:val="008A78EB"/>
    <w:rsid w:val="008A7943"/>
    <w:rsid w:val="008A7A2A"/>
    <w:rsid w:val="008A7B4C"/>
    <w:rsid w:val="008A7B4E"/>
    <w:rsid w:val="008A7C82"/>
    <w:rsid w:val="008A7CCF"/>
    <w:rsid w:val="008A7D52"/>
    <w:rsid w:val="008A7D8E"/>
    <w:rsid w:val="008A7EC0"/>
    <w:rsid w:val="008B006A"/>
    <w:rsid w:val="008B00B6"/>
    <w:rsid w:val="008B01D8"/>
    <w:rsid w:val="008B02F8"/>
    <w:rsid w:val="008B04A5"/>
    <w:rsid w:val="008B04E4"/>
    <w:rsid w:val="008B06C7"/>
    <w:rsid w:val="008B0767"/>
    <w:rsid w:val="008B07DC"/>
    <w:rsid w:val="008B088F"/>
    <w:rsid w:val="008B0970"/>
    <w:rsid w:val="008B0A59"/>
    <w:rsid w:val="008B0B74"/>
    <w:rsid w:val="008B0B79"/>
    <w:rsid w:val="008B0C4D"/>
    <w:rsid w:val="008B0E0F"/>
    <w:rsid w:val="008B0F0B"/>
    <w:rsid w:val="008B11CF"/>
    <w:rsid w:val="008B1226"/>
    <w:rsid w:val="008B126C"/>
    <w:rsid w:val="008B142D"/>
    <w:rsid w:val="008B148E"/>
    <w:rsid w:val="008B149A"/>
    <w:rsid w:val="008B157B"/>
    <w:rsid w:val="008B15D0"/>
    <w:rsid w:val="008B168D"/>
    <w:rsid w:val="008B16F0"/>
    <w:rsid w:val="008B172D"/>
    <w:rsid w:val="008B183E"/>
    <w:rsid w:val="008B187D"/>
    <w:rsid w:val="008B19FF"/>
    <w:rsid w:val="008B1A52"/>
    <w:rsid w:val="008B1B02"/>
    <w:rsid w:val="008B1B46"/>
    <w:rsid w:val="008B1BC6"/>
    <w:rsid w:val="008B1C22"/>
    <w:rsid w:val="008B1DEA"/>
    <w:rsid w:val="008B1E15"/>
    <w:rsid w:val="008B1F02"/>
    <w:rsid w:val="008B1F0A"/>
    <w:rsid w:val="008B1F0F"/>
    <w:rsid w:val="008B1F14"/>
    <w:rsid w:val="008B1F93"/>
    <w:rsid w:val="008B212C"/>
    <w:rsid w:val="008B2201"/>
    <w:rsid w:val="008B229C"/>
    <w:rsid w:val="008B22AB"/>
    <w:rsid w:val="008B27D5"/>
    <w:rsid w:val="008B2B7B"/>
    <w:rsid w:val="008B2C9C"/>
    <w:rsid w:val="008B2CFF"/>
    <w:rsid w:val="008B2E0A"/>
    <w:rsid w:val="008B2FC5"/>
    <w:rsid w:val="008B2FE9"/>
    <w:rsid w:val="008B301A"/>
    <w:rsid w:val="008B312E"/>
    <w:rsid w:val="008B3154"/>
    <w:rsid w:val="008B32AA"/>
    <w:rsid w:val="008B32CA"/>
    <w:rsid w:val="008B33CF"/>
    <w:rsid w:val="008B348B"/>
    <w:rsid w:val="008B349B"/>
    <w:rsid w:val="008B35CD"/>
    <w:rsid w:val="008B3711"/>
    <w:rsid w:val="008B3769"/>
    <w:rsid w:val="008B3869"/>
    <w:rsid w:val="008B38FA"/>
    <w:rsid w:val="008B3E81"/>
    <w:rsid w:val="008B3EB1"/>
    <w:rsid w:val="008B3EF9"/>
    <w:rsid w:val="008B3FAB"/>
    <w:rsid w:val="008B40CF"/>
    <w:rsid w:val="008B40D2"/>
    <w:rsid w:val="008B4143"/>
    <w:rsid w:val="008B423C"/>
    <w:rsid w:val="008B43D1"/>
    <w:rsid w:val="008B44CC"/>
    <w:rsid w:val="008B4571"/>
    <w:rsid w:val="008B4578"/>
    <w:rsid w:val="008B46AA"/>
    <w:rsid w:val="008B46E2"/>
    <w:rsid w:val="008B4781"/>
    <w:rsid w:val="008B47B7"/>
    <w:rsid w:val="008B4843"/>
    <w:rsid w:val="008B4895"/>
    <w:rsid w:val="008B49A4"/>
    <w:rsid w:val="008B4A7D"/>
    <w:rsid w:val="008B4AAA"/>
    <w:rsid w:val="008B4B28"/>
    <w:rsid w:val="008B4B62"/>
    <w:rsid w:val="008B4B8D"/>
    <w:rsid w:val="008B4C1C"/>
    <w:rsid w:val="008B4C63"/>
    <w:rsid w:val="008B4CDD"/>
    <w:rsid w:val="008B4F6C"/>
    <w:rsid w:val="008B50FD"/>
    <w:rsid w:val="008B5115"/>
    <w:rsid w:val="008B5152"/>
    <w:rsid w:val="008B52CC"/>
    <w:rsid w:val="008B5403"/>
    <w:rsid w:val="008B5463"/>
    <w:rsid w:val="008B5476"/>
    <w:rsid w:val="008B565E"/>
    <w:rsid w:val="008B56E7"/>
    <w:rsid w:val="008B571F"/>
    <w:rsid w:val="008B5752"/>
    <w:rsid w:val="008B585A"/>
    <w:rsid w:val="008B5916"/>
    <w:rsid w:val="008B5924"/>
    <w:rsid w:val="008B5957"/>
    <w:rsid w:val="008B5A15"/>
    <w:rsid w:val="008B5BB2"/>
    <w:rsid w:val="008B5C3C"/>
    <w:rsid w:val="008B5C64"/>
    <w:rsid w:val="008B5C8D"/>
    <w:rsid w:val="008B5CF4"/>
    <w:rsid w:val="008B5D43"/>
    <w:rsid w:val="008B5D4B"/>
    <w:rsid w:val="008B5DC0"/>
    <w:rsid w:val="008B5E73"/>
    <w:rsid w:val="008B60D5"/>
    <w:rsid w:val="008B6129"/>
    <w:rsid w:val="008B6173"/>
    <w:rsid w:val="008B6414"/>
    <w:rsid w:val="008B65E3"/>
    <w:rsid w:val="008B66F0"/>
    <w:rsid w:val="008B67E5"/>
    <w:rsid w:val="008B686C"/>
    <w:rsid w:val="008B6974"/>
    <w:rsid w:val="008B6ACB"/>
    <w:rsid w:val="008B6BE5"/>
    <w:rsid w:val="008B6C0B"/>
    <w:rsid w:val="008B6C6D"/>
    <w:rsid w:val="008B6C96"/>
    <w:rsid w:val="008B6CE7"/>
    <w:rsid w:val="008B6F5B"/>
    <w:rsid w:val="008B725D"/>
    <w:rsid w:val="008B72AA"/>
    <w:rsid w:val="008B72B5"/>
    <w:rsid w:val="008B72C4"/>
    <w:rsid w:val="008B72E9"/>
    <w:rsid w:val="008B72EB"/>
    <w:rsid w:val="008B72FB"/>
    <w:rsid w:val="008B734B"/>
    <w:rsid w:val="008B7473"/>
    <w:rsid w:val="008B7490"/>
    <w:rsid w:val="008B755B"/>
    <w:rsid w:val="008B75A9"/>
    <w:rsid w:val="008B762A"/>
    <w:rsid w:val="008B76D7"/>
    <w:rsid w:val="008B76EC"/>
    <w:rsid w:val="008B7847"/>
    <w:rsid w:val="008B78B6"/>
    <w:rsid w:val="008B79D1"/>
    <w:rsid w:val="008B7A31"/>
    <w:rsid w:val="008B7A55"/>
    <w:rsid w:val="008B7B97"/>
    <w:rsid w:val="008B7C85"/>
    <w:rsid w:val="008B7E77"/>
    <w:rsid w:val="008B7EF1"/>
    <w:rsid w:val="008B7F42"/>
    <w:rsid w:val="008B7F4D"/>
    <w:rsid w:val="008B7F9F"/>
    <w:rsid w:val="008C000E"/>
    <w:rsid w:val="008C002D"/>
    <w:rsid w:val="008C0030"/>
    <w:rsid w:val="008C01B2"/>
    <w:rsid w:val="008C021A"/>
    <w:rsid w:val="008C026C"/>
    <w:rsid w:val="008C0394"/>
    <w:rsid w:val="008C03E5"/>
    <w:rsid w:val="008C06C8"/>
    <w:rsid w:val="008C0768"/>
    <w:rsid w:val="008C07B2"/>
    <w:rsid w:val="008C08B0"/>
    <w:rsid w:val="008C0904"/>
    <w:rsid w:val="008C09B1"/>
    <w:rsid w:val="008C0A18"/>
    <w:rsid w:val="008C0B13"/>
    <w:rsid w:val="008C0B1B"/>
    <w:rsid w:val="008C0B7B"/>
    <w:rsid w:val="008C0BE0"/>
    <w:rsid w:val="008C0CA7"/>
    <w:rsid w:val="008C0CFE"/>
    <w:rsid w:val="008C0D9D"/>
    <w:rsid w:val="008C0E51"/>
    <w:rsid w:val="008C0FBC"/>
    <w:rsid w:val="008C1112"/>
    <w:rsid w:val="008C1120"/>
    <w:rsid w:val="008C1144"/>
    <w:rsid w:val="008C1337"/>
    <w:rsid w:val="008C1454"/>
    <w:rsid w:val="008C1502"/>
    <w:rsid w:val="008C17E8"/>
    <w:rsid w:val="008C185E"/>
    <w:rsid w:val="008C18E9"/>
    <w:rsid w:val="008C19EA"/>
    <w:rsid w:val="008C1A64"/>
    <w:rsid w:val="008C1AFD"/>
    <w:rsid w:val="008C1C5B"/>
    <w:rsid w:val="008C1D26"/>
    <w:rsid w:val="008C1E64"/>
    <w:rsid w:val="008C1EAA"/>
    <w:rsid w:val="008C1F34"/>
    <w:rsid w:val="008C1F63"/>
    <w:rsid w:val="008C2190"/>
    <w:rsid w:val="008C22A0"/>
    <w:rsid w:val="008C2323"/>
    <w:rsid w:val="008C2358"/>
    <w:rsid w:val="008C2491"/>
    <w:rsid w:val="008C28A7"/>
    <w:rsid w:val="008C2AAD"/>
    <w:rsid w:val="008C2AF4"/>
    <w:rsid w:val="008C2D12"/>
    <w:rsid w:val="008C2F2E"/>
    <w:rsid w:val="008C300F"/>
    <w:rsid w:val="008C31E6"/>
    <w:rsid w:val="008C3299"/>
    <w:rsid w:val="008C32B3"/>
    <w:rsid w:val="008C32DA"/>
    <w:rsid w:val="008C3361"/>
    <w:rsid w:val="008C341D"/>
    <w:rsid w:val="008C3564"/>
    <w:rsid w:val="008C36B8"/>
    <w:rsid w:val="008C36BE"/>
    <w:rsid w:val="008C3A44"/>
    <w:rsid w:val="008C3B51"/>
    <w:rsid w:val="008C3C17"/>
    <w:rsid w:val="008C3C64"/>
    <w:rsid w:val="008C3DAD"/>
    <w:rsid w:val="008C3DC5"/>
    <w:rsid w:val="008C3E02"/>
    <w:rsid w:val="008C3ED6"/>
    <w:rsid w:val="008C3EE9"/>
    <w:rsid w:val="008C3F64"/>
    <w:rsid w:val="008C3F6C"/>
    <w:rsid w:val="008C3F7B"/>
    <w:rsid w:val="008C408C"/>
    <w:rsid w:val="008C4117"/>
    <w:rsid w:val="008C41FB"/>
    <w:rsid w:val="008C4396"/>
    <w:rsid w:val="008C43A8"/>
    <w:rsid w:val="008C43E2"/>
    <w:rsid w:val="008C4413"/>
    <w:rsid w:val="008C44B7"/>
    <w:rsid w:val="008C47B5"/>
    <w:rsid w:val="008C4850"/>
    <w:rsid w:val="008C48BC"/>
    <w:rsid w:val="008C4902"/>
    <w:rsid w:val="008C4B0F"/>
    <w:rsid w:val="008C4BA1"/>
    <w:rsid w:val="008C4D3E"/>
    <w:rsid w:val="008C4DC9"/>
    <w:rsid w:val="008C4DD4"/>
    <w:rsid w:val="008C4E2D"/>
    <w:rsid w:val="008C4E3F"/>
    <w:rsid w:val="008C4ED5"/>
    <w:rsid w:val="008C4F67"/>
    <w:rsid w:val="008C50FB"/>
    <w:rsid w:val="008C5126"/>
    <w:rsid w:val="008C516E"/>
    <w:rsid w:val="008C526D"/>
    <w:rsid w:val="008C52EE"/>
    <w:rsid w:val="008C539D"/>
    <w:rsid w:val="008C5433"/>
    <w:rsid w:val="008C5439"/>
    <w:rsid w:val="008C5513"/>
    <w:rsid w:val="008C555F"/>
    <w:rsid w:val="008C5565"/>
    <w:rsid w:val="008C55F8"/>
    <w:rsid w:val="008C5801"/>
    <w:rsid w:val="008C58D5"/>
    <w:rsid w:val="008C5AEE"/>
    <w:rsid w:val="008C5D10"/>
    <w:rsid w:val="008C5DE8"/>
    <w:rsid w:val="008C5EA3"/>
    <w:rsid w:val="008C60C0"/>
    <w:rsid w:val="008C6205"/>
    <w:rsid w:val="008C62FF"/>
    <w:rsid w:val="008C6454"/>
    <w:rsid w:val="008C65B3"/>
    <w:rsid w:val="008C65E4"/>
    <w:rsid w:val="008C66D6"/>
    <w:rsid w:val="008C66F5"/>
    <w:rsid w:val="008C672C"/>
    <w:rsid w:val="008C6BCC"/>
    <w:rsid w:val="008C6E73"/>
    <w:rsid w:val="008C6F21"/>
    <w:rsid w:val="008C70E8"/>
    <w:rsid w:val="008C723B"/>
    <w:rsid w:val="008C72C2"/>
    <w:rsid w:val="008C73F9"/>
    <w:rsid w:val="008C7504"/>
    <w:rsid w:val="008C76E2"/>
    <w:rsid w:val="008C76E4"/>
    <w:rsid w:val="008C77CC"/>
    <w:rsid w:val="008C77E5"/>
    <w:rsid w:val="008C7816"/>
    <w:rsid w:val="008C78AC"/>
    <w:rsid w:val="008C7AF9"/>
    <w:rsid w:val="008C7BAA"/>
    <w:rsid w:val="008C7BE0"/>
    <w:rsid w:val="008C7D9F"/>
    <w:rsid w:val="008C7DB7"/>
    <w:rsid w:val="008C7DD6"/>
    <w:rsid w:val="008C7E66"/>
    <w:rsid w:val="008C7F3C"/>
    <w:rsid w:val="008C7FC4"/>
    <w:rsid w:val="008D003C"/>
    <w:rsid w:val="008D00AF"/>
    <w:rsid w:val="008D02BD"/>
    <w:rsid w:val="008D051D"/>
    <w:rsid w:val="008D0697"/>
    <w:rsid w:val="008D075A"/>
    <w:rsid w:val="008D0846"/>
    <w:rsid w:val="008D088D"/>
    <w:rsid w:val="008D0A01"/>
    <w:rsid w:val="008D0A8C"/>
    <w:rsid w:val="008D0AC1"/>
    <w:rsid w:val="008D0B77"/>
    <w:rsid w:val="008D0BBF"/>
    <w:rsid w:val="008D0BE8"/>
    <w:rsid w:val="008D0CFE"/>
    <w:rsid w:val="008D0D1B"/>
    <w:rsid w:val="008D0D6B"/>
    <w:rsid w:val="008D0F38"/>
    <w:rsid w:val="008D100F"/>
    <w:rsid w:val="008D1079"/>
    <w:rsid w:val="008D10A3"/>
    <w:rsid w:val="008D13D1"/>
    <w:rsid w:val="008D13EB"/>
    <w:rsid w:val="008D16B2"/>
    <w:rsid w:val="008D1910"/>
    <w:rsid w:val="008D193F"/>
    <w:rsid w:val="008D19AF"/>
    <w:rsid w:val="008D19DF"/>
    <w:rsid w:val="008D1AF8"/>
    <w:rsid w:val="008D1C02"/>
    <w:rsid w:val="008D1DE4"/>
    <w:rsid w:val="008D1E30"/>
    <w:rsid w:val="008D1EEE"/>
    <w:rsid w:val="008D1F35"/>
    <w:rsid w:val="008D1FCB"/>
    <w:rsid w:val="008D200D"/>
    <w:rsid w:val="008D20F8"/>
    <w:rsid w:val="008D2144"/>
    <w:rsid w:val="008D21C4"/>
    <w:rsid w:val="008D231E"/>
    <w:rsid w:val="008D252A"/>
    <w:rsid w:val="008D256F"/>
    <w:rsid w:val="008D2573"/>
    <w:rsid w:val="008D25FF"/>
    <w:rsid w:val="008D2714"/>
    <w:rsid w:val="008D27DC"/>
    <w:rsid w:val="008D2831"/>
    <w:rsid w:val="008D2860"/>
    <w:rsid w:val="008D29C6"/>
    <w:rsid w:val="008D29E6"/>
    <w:rsid w:val="008D2AC9"/>
    <w:rsid w:val="008D2B35"/>
    <w:rsid w:val="008D2C71"/>
    <w:rsid w:val="008D2F18"/>
    <w:rsid w:val="008D2F2A"/>
    <w:rsid w:val="008D2FE9"/>
    <w:rsid w:val="008D305A"/>
    <w:rsid w:val="008D31CA"/>
    <w:rsid w:val="008D325B"/>
    <w:rsid w:val="008D362F"/>
    <w:rsid w:val="008D374F"/>
    <w:rsid w:val="008D3784"/>
    <w:rsid w:val="008D37A5"/>
    <w:rsid w:val="008D38A2"/>
    <w:rsid w:val="008D39A1"/>
    <w:rsid w:val="008D3B52"/>
    <w:rsid w:val="008D3B55"/>
    <w:rsid w:val="008D3D1C"/>
    <w:rsid w:val="008D3DDB"/>
    <w:rsid w:val="008D3E4C"/>
    <w:rsid w:val="008D3F2B"/>
    <w:rsid w:val="008D3F7F"/>
    <w:rsid w:val="008D401C"/>
    <w:rsid w:val="008D41E7"/>
    <w:rsid w:val="008D426A"/>
    <w:rsid w:val="008D4321"/>
    <w:rsid w:val="008D43EE"/>
    <w:rsid w:val="008D4412"/>
    <w:rsid w:val="008D441B"/>
    <w:rsid w:val="008D44EE"/>
    <w:rsid w:val="008D4513"/>
    <w:rsid w:val="008D456F"/>
    <w:rsid w:val="008D45E5"/>
    <w:rsid w:val="008D4618"/>
    <w:rsid w:val="008D46D8"/>
    <w:rsid w:val="008D483D"/>
    <w:rsid w:val="008D48BA"/>
    <w:rsid w:val="008D4AB7"/>
    <w:rsid w:val="008D4D5D"/>
    <w:rsid w:val="008D4DA9"/>
    <w:rsid w:val="008D4EA8"/>
    <w:rsid w:val="008D52A2"/>
    <w:rsid w:val="008D52BF"/>
    <w:rsid w:val="008D53F8"/>
    <w:rsid w:val="008D5589"/>
    <w:rsid w:val="008D567F"/>
    <w:rsid w:val="008D570C"/>
    <w:rsid w:val="008D5710"/>
    <w:rsid w:val="008D5851"/>
    <w:rsid w:val="008D590E"/>
    <w:rsid w:val="008D5AAE"/>
    <w:rsid w:val="008D5B4F"/>
    <w:rsid w:val="008D5B9A"/>
    <w:rsid w:val="008D5BBD"/>
    <w:rsid w:val="008D5C41"/>
    <w:rsid w:val="008D5ED4"/>
    <w:rsid w:val="008D5EDC"/>
    <w:rsid w:val="008D5FDE"/>
    <w:rsid w:val="008D61C5"/>
    <w:rsid w:val="008D61FC"/>
    <w:rsid w:val="008D6588"/>
    <w:rsid w:val="008D696D"/>
    <w:rsid w:val="008D6A1D"/>
    <w:rsid w:val="008D6A43"/>
    <w:rsid w:val="008D6AD6"/>
    <w:rsid w:val="008D6CD1"/>
    <w:rsid w:val="008D6DC0"/>
    <w:rsid w:val="008D6E61"/>
    <w:rsid w:val="008D6F64"/>
    <w:rsid w:val="008D710D"/>
    <w:rsid w:val="008D7116"/>
    <w:rsid w:val="008D71DC"/>
    <w:rsid w:val="008D737E"/>
    <w:rsid w:val="008D7471"/>
    <w:rsid w:val="008D76A5"/>
    <w:rsid w:val="008D778D"/>
    <w:rsid w:val="008D7871"/>
    <w:rsid w:val="008D7968"/>
    <w:rsid w:val="008D79BA"/>
    <w:rsid w:val="008D7B04"/>
    <w:rsid w:val="008D7B0A"/>
    <w:rsid w:val="008D7B4F"/>
    <w:rsid w:val="008D7BB8"/>
    <w:rsid w:val="008D7E62"/>
    <w:rsid w:val="008D7FD2"/>
    <w:rsid w:val="008E0035"/>
    <w:rsid w:val="008E012F"/>
    <w:rsid w:val="008E030D"/>
    <w:rsid w:val="008E032B"/>
    <w:rsid w:val="008E03F6"/>
    <w:rsid w:val="008E0429"/>
    <w:rsid w:val="008E0507"/>
    <w:rsid w:val="008E055D"/>
    <w:rsid w:val="008E0582"/>
    <w:rsid w:val="008E0638"/>
    <w:rsid w:val="008E067C"/>
    <w:rsid w:val="008E0699"/>
    <w:rsid w:val="008E075D"/>
    <w:rsid w:val="008E0833"/>
    <w:rsid w:val="008E083D"/>
    <w:rsid w:val="008E08BC"/>
    <w:rsid w:val="008E0910"/>
    <w:rsid w:val="008E0947"/>
    <w:rsid w:val="008E098E"/>
    <w:rsid w:val="008E099A"/>
    <w:rsid w:val="008E0B23"/>
    <w:rsid w:val="008E0C37"/>
    <w:rsid w:val="008E0C4C"/>
    <w:rsid w:val="008E0CAB"/>
    <w:rsid w:val="008E0CE7"/>
    <w:rsid w:val="008E0E38"/>
    <w:rsid w:val="008E0F5A"/>
    <w:rsid w:val="008E0FD9"/>
    <w:rsid w:val="008E1036"/>
    <w:rsid w:val="008E10A3"/>
    <w:rsid w:val="008E11D6"/>
    <w:rsid w:val="008E1230"/>
    <w:rsid w:val="008E12AD"/>
    <w:rsid w:val="008E12BE"/>
    <w:rsid w:val="008E12E5"/>
    <w:rsid w:val="008E139E"/>
    <w:rsid w:val="008E13F6"/>
    <w:rsid w:val="008E14ED"/>
    <w:rsid w:val="008E1651"/>
    <w:rsid w:val="008E1698"/>
    <w:rsid w:val="008E16BE"/>
    <w:rsid w:val="008E171B"/>
    <w:rsid w:val="008E1852"/>
    <w:rsid w:val="008E1A77"/>
    <w:rsid w:val="008E1AD0"/>
    <w:rsid w:val="008E1B14"/>
    <w:rsid w:val="008E1BF3"/>
    <w:rsid w:val="008E1C45"/>
    <w:rsid w:val="008E2033"/>
    <w:rsid w:val="008E2044"/>
    <w:rsid w:val="008E206B"/>
    <w:rsid w:val="008E2258"/>
    <w:rsid w:val="008E242A"/>
    <w:rsid w:val="008E263E"/>
    <w:rsid w:val="008E27D3"/>
    <w:rsid w:val="008E2898"/>
    <w:rsid w:val="008E28B0"/>
    <w:rsid w:val="008E2A65"/>
    <w:rsid w:val="008E2AC9"/>
    <w:rsid w:val="008E2B12"/>
    <w:rsid w:val="008E2B95"/>
    <w:rsid w:val="008E2BC2"/>
    <w:rsid w:val="008E2BFD"/>
    <w:rsid w:val="008E2C21"/>
    <w:rsid w:val="008E2C95"/>
    <w:rsid w:val="008E2D6F"/>
    <w:rsid w:val="008E2E00"/>
    <w:rsid w:val="008E2EF6"/>
    <w:rsid w:val="008E3093"/>
    <w:rsid w:val="008E30F0"/>
    <w:rsid w:val="008E3178"/>
    <w:rsid w:val="008E31C1"/>
    <w:rsid w:val="008E3214"/>
    <w:rsid w:val="008E3401"/>
    <w:rsid w:val="008E3502"/>
    <w:rsid w:val="008E35A0"/>
    <w:rsid w:val="008E35E4"/>
    <w:rsid w:val="008E37D5"/>
    <w:rsid w:val="008E387E"/>
    <w:rsid w:val="008E3A57"/>
    <w:rsid w:val="008E3ADC"/>
    <w:rsid w:val="008E3AE7"/>
    <w:rsid w:val="008E3B23"/>
    <w:rsid w:val="008E3B37"/>
    <w:rsid w:val="008E3BA6"/>
    <w:rsid w:val="008E3CA6"/>
    <w:rsid w:val="008E3E8B"/>
    <w:rsid w:val="008E3FCF"/>
    <w:rsid w:val="008E3FD4"/>
    <w:rsid w:val="008E4034"/>
    <w:rsid w:val="008E41A5"/>
    <w:rsid w:val="008E4410"/>
    <w:rsid w:val="008E4450"/>
    <w:rsid w:val="008E44B7"/>
    <w:rsid w:val="008E46A2"/>
    <w:rsid w:val="008E489C"/>
    <w:rsid w:val="008E499F"/>
    <w:rsid w:val="008E4C15"/>
    <w:rsid w:val="008E4C6F"/>
    <w:rsid w:val="008E4D1E"/>
    <w:rsid w:val="008E4F58"/>
    <w:rsid w:val="008E4F9B"/>
    <w:rsid w:val="008E50D3"/>
    <w:rsid w:val="008E5170"/>
    <w:rsid w:val="008E526E"/>
    <w:rsid w:val="008E5272"/>
    <w:rsid w:val="008E54CC"/>
    <w:rsid w:val="008E5516"/>
    <w:rsid w:val="008E56BF"/>
    <w:rsid w:val="008E5773"/>
    <w:rsid w:val="008E5978"/>
    <w:rsid w:val="008E5AD4"/>
    <w:rsid w:val="008E5B1C"/>
    <w:rsid w:val="008E5B37"/>
    <w:rsid w:val="008E5D57"/>
    <w:rsid w:val="008E5D58"/>
    <w:rsid w:val="008E5DD9"/>
    <w:rsid w:val="008E5F1F"/>
    <w:rsid w:val="008E6153"/>
    <w:rsid w:val="008E61DA"/>
    <w:rsid w:val="008E61DB"/>
    <w:rsid w:val="008E61FC"/>
    <w:rsid w:val="008E6240"/>
    <w:rsid w:val="008E6260"/>
    <w:rsid w:val="008E6293"/>
    <w:rsid w:val="008E6496"/>
    <w:rsid w:val="008E6525"/>
    <w:rsid w:val="008E65C4"/>
    <w:rsid w:val="008E67FF"/>
    <w:rsid w:val="008E6824"/>
    <w:rsid w:val="008E683C"/>
    <w:rsid w:val="008E68E2"/>
    <w:rsid w:val="008E691B"/>
    <w:rsid w:val="008E69C7"/>
    <w:rsid w:val="008E6A65"/>
    <w:rsid w:val="008E6D85"/>
    <w:rsid w:val="008E6D95"/>
    <w:rsid w:val="008E6E3E"/>
    <w:rsid w:val="008E6EC1"/>
    <w:rsid w:val="008E6EF9"/>
    <w:rsid w:val="008E719E"/>
    <w:rsid w:val="008E724D"/>
    <w:rsid w:val="008E728D"/>
    <w:rsid w:val="008E72CC"/>
    <w:rsid w:val="008E732B"/>
    <w:rsid w:val="008E7332"/>
    <w:rsid w:val="008E736A"/>
    <w:rsid w:val="008E7415"/>
    <w:rsid w:val="008E7465"/>
    <w:rsid w:val="008E7637"/>
    <w:rsid w:val="008E7675"/>
    <w:rsid w:val="008E7929"/>
    <w:rsid w:val="008E7A0D"/>
    <w:rsid w:val="008E7B0F"/>
    <w:rsid w:val="008E7B8F"/>
    <w:rsid w:val="008E7CC9"/>
    <w:rsid w:val="008E7DF3"/>
    <w:rsid w:val="008E7EAD"/>
    <w:rsid w:val="008E7EC8"/>
    <w:rsid w:val="008F006B"/>
    <w:rsid w:val="008F00C6"/>
    <w:rsid w:val="008F047A"/>
    <w:rsid w:val="008F04BB"/>
    <w:rsid w:val="008F04BD"/>
    <w:rsid w:val="008F0680"/>
    <w:rsid w:val="008F0862"/>
    <w:rsid w:val="008F0D29"/>
    <w:rsid w:val="008F0F07"/>
    <w:rsid w:val="008F0F9C"/>
    <w:rsid w:val="008F0FD2"/>
    <w:rsid w:val="008F107A"/>
    <w:rsid w:val="008F1080"/>
    <w:rsid w:val="008F11E6"/>
    <w:rsid w:val="008F11F3"/>
    <w:rsid w:val="008F1380"/>
    <w:rsid w:val="008F13B4"/>
    <w:rsid w:val="008F14C7"/>
    <w:rsid w:val="008F158A"/>
    <w:rsid w:val="008F15A6"/>
    <w:rsid w:val="008F1649"/>
    <w:rsid w:val="008F166A"/>
    <w:rsid w:val="008F17CE"/>
    <w:rsid w:val="008F1834"/>
    <w:rsid w:val="008F1879"/>
    <w:rsid w:val="008F18C3"/>
    <w:rsid w:val="008F18CD"/>
    <w:rsid w:val="008F18D8"/>
    <w:rsid w:val="008F1AB8"/>
    <w:rsid w:val="008F1BF0"/>
    <w:rsid w:val="008F1CBC"/>
    <w:rsid w:val="008F1DEA"/>
    <w:rsid w:val="008F1EA7"/>
    <w:rsid w:val="008F1F65"/>
    <w:rsid w:val="008F1F78"/>
    <w:rsid w:val="008F1FF2"/>
    <w:rsid w:val="008F2052"/>
    <w:rsid w:val="008F21A4"/>
    <w:rsid w:val="008F21D0"/>
    <w:rsid w:val="008F2217"/>
    <w:rsid w:val="008F229B"/>
    <w:rsid w:val="008F2480"/>
    <w:rsid w:val="008F2490"/>
    <w:rsid w:val="008F24F8"/>
    <w:rsid w:val="008F2543"/>
    <w:rsid w:val="008F25A4"/>
    <w:rsid w:val="008F25F1"/>
    <w:rsid w:val="008F261D"/>
    <w:rsid w:val="008F2666"/>
    <w:rsid w:val="008F26AC"/>
    <w:rsid w:val="008F26BA"/>
    <w:rsid w:val="008F2787"/>
    <w:rsid w:val="008F2865"/>
    <w:rsid w:val="008F28DA"/>
    <w:rsid w:val="008F28EB"/>
    <w:rsid w:val="008F2901"/>
    <w:rsid w:val="008F293B"/>
    <w:rsid w:val="008F2956"/>
    <w:rsid w:val="008F2C96"/>
    <w:rsid w:val="008F2D83"/>
    <w:rsid w:val="008F2D9E"/>
    <w:rsid w:val="008F2E12"/>
    <w:rsid w:val="008F2E38"/>
    <w:rsid w:val="008F2E90"/>
    <w:rsid w:val="008F2F2D"/>
    <w:rsid w:val="008F2F70"/>
    <w:rsid w:val="008F2FDB"/>
    <w:rsid w:val="008F3018"/>
    <w:rsid w:val="008F312C"/>
    <w:rsid w:val="008F3171"/>
    <w:rsid w:val="008F3186"/>
    <w:rsid w:val="008F31AA"/>
    <w:rsid w:val="008F3287"/>
    <w:rsid w:val="008F336E"/>
    <w:rsid w:val="008F33E1"/>
    <w:rsid w:val="008F348B"/>
    <w:rsid w:val="008F34A5"/>
    <w:rsid w:val="008F35E2"/>
    <w:rsid w:val="008F360E"/>
    <w:rsid w:val="008F362F"/>
    <w:rsid w:val="008F36C7"/>
    <w:rsid w:val="008F374B"/>
    <w:rsid w:val="008F37E7"/>
    <w:rsid w:val="008F383E"/>
    <w:rsid w:val="008F38B5"/>
    <w:rsid w:val="008F3943"/>
    <w:rsid w:val="008F39B3"/>
    <w:rsid w:val="008F3B5C"/>
    <w:rsid w:val="008F3BEE"/>
    <w:rsid w:val="008F3C74"/>
    <w:rsid w:val="008F3D77"/>
    <w:rsid w:val="008F3E15"/>
    <w:rsid w:val="008F3E9F"/>
    <w:rsid w:val="008F3EC2"/>
    <w:rsid w:val="008F3EF9"/>
    <w:rsid w:val="008F3F0D"/>
    <w:rsid w:val="008F3F88"/>
    <w:rsid w:val="008F40F6"/>
    <w:rsid w:val="008F414F"/>
    <w:rsid w:val="008F4158"/>
    <w:rsid w:val="008F41F7"/>
    <w:rsid w:val="008F43EE"/>
    <w:rsid w:val="008F4408"/>
    <w:rsid w:val="008F4438"/>
    <w:rsid w:val="008F451E"/>
    <w:rsid w:val="008F4571"/>
    <w:rsid w:val="008F4686"/>
    <w:rsid w:val="008F46D1"/>
    <w:rsid w:val="008F4744"/>
    <w:rsid w:val="008F4846"/>
    <w:rsid w:val="008F49D3"/>
    <w:rsid w:val="008F4B83"/>
    <w:rsid w:val="008F4CF2"/>
    <w:rsid w:val="008F4D2E"/>
    <w:rsid w:val="008F4D47"/>
    <w:rsid w:val="008F4DA8"/>
    <w:rsid w:val="008F4DC2"/>
    <w:rsid w:val="008F4E16"/>
    <w:rsid w:val="008F4E20"/>
    <w:rsid w:val="008F5038"/>
    <w:rsid w:val="008F5091"/>
    <w:rsid w:val="008F545B"/>
    <w:rsid w:val="008F547A"/>
    <w:rsid w:val="008F5533"/>
    <w:rsid w:val="008F553C"/>
    <w:rsid w:val="008F5551"/>
    <w:rsid w:val="008F55CD"/>
    <w:rsid w:val="008F5836"/>
    <w:rsid w:val="008F5858"/>
    <w:rsid w:val="008F5B1A"/>
    <w:rsid w:val="008F5E1F"/>
    <w:rsid w:val="008F5EA2"/>
    <w:rsid w:val="008F5F31"/>
    <w:rsid w:val="008F5FBD"/>
    <w:rsid w:val="008F60B9"/>
    <w:rsid w:val="008F61BF"/>
    <w:rsid w:val="008F6278"/>
    <w:rsid w:val="008F6296"/>
    <w:rsid w:val="008F6320"/>
    <w:rsid w:val="008F6474"/>
    <w:rsid w:val="008F64D8"/>
    <w:rsid w:val="008F6569"/>
    <w:rsid w:val="008F6570"/>
    <w:rsid w:val="008F6690"/>
    <w:rsid w:val="008F66BE"/>
    <w:rsid w:val="008F676B"/>
    <w:rsid w:val="008F679D"/>
    <w:rsid w:val="008F67B2"/>
    <w:rsid w:val="008F684E"/>
    <w:rsid w:val="008F6A2E"/>
    <w:rsid w:val="008F6AB6"/>
    <w:rsid w:val="008F6B90"/>
    <w:rsid w:val="008F6B91"/>
    <w:rsid w:val="008F6DC8"/>
    <w:rsid w:val="008F6E90"/>
    <w:rsid w:val="008F6F39"/>
    <w:rsid w:val="008F7080"/>
    <w:rsid w:val="008F7084"/>
    <w:rsid w:val="008F70AC"/>
    <w:rsid w:val="008F70BF"/>
    <w:rsid w:val="008F722F"/>
    <w:rsid w:val="008F723D"/>
    <w:rsid w:val="008F72A7"/>
    <w:rsid w:val="008F72CE"/>
    <w:rsid w:val="008F74B1"/>
    <w:rsid w:val="008F75A3"/>
    <w:rsid w:val="008F76C4"/>
    <w:rsid w:val="008F77A3"/>
    <w:rsid w:val="008F7839"/>
    <w:rsid w:val="008F7895"/>
    <w:rsid w:val="008F7964"/>
    <w:rsid w:val="008F79B4"/>
    <w:rsid w:val="008F7A5F"/>
    <w:rsid w:val="008F7A87"/>
    <w:rsid w:val="008F7AE7"/>
    <w:rsid w:val="008F7B28"/>
    <w:rsid w:val="008F7C28"/>
    <w:rsid w:val="008F7F0C"/>
    <w:rsid w:val="00900076"/>
    <w:rsid w:val="0090007B"/>
    <w:rsid w:val="0090031A"/>
    <w:rsid w:val="0090032F"/>
    <w:rsid w:val="00900706"/>
    <w:rsid w:val="0090076B"/>
    <w:rsid w:val="00900886"/>
    <w:rsid w:val="00900B45"/>
    <w:rsid w:val="00900C2F"/>
    <w:rsid w:val="00900CA9"/>
    <w:rsid w:val="00900D0D"/>
    <w:rsid w:val="00900D32"/>
    <w:rsid w:val="00900DBF"/>
    <w:rsid w:val="00900E17"/>
    <w:rsid w:val="00900E6C"/>
    <w:rsid w:val="00900EF7"/>
    <w:rsid w:val="00900F93"/>
    <w:rsid w:val="00901130"/>
    <w:rsid w:val="00901148"/>
    <w:rsid w:val="00901150"/>
    <w:rsid w:val="009011BF"/>
    <w:rsid w:val="0090125B"/>
    <w:rsid w:val="009012C5"/>
    <w:rsid w:val="009012D0"/>
    <w:rsid w:val="009013D2"/>
    <w:rsid w:val="0090140C"/>
    <w:rsid w:val="0090144B"/>
    <w:rsid w:val="00901554"/>
    <w:rsid w:val="0090170B"/>
    <w:rsid w:val="0090177A"/>
    <w:rsid w:val="009019B2"/>
    <w:rsid w:val="00901A31"/>
    <w:rsid w:val="00901ADE"/>
    <w:rsid w:val="00901AF1"/>
    <w:rsid w:val="00901C40"/>
    <w:rsid w:val="00901DD2"/>
    <w:rsid w:val="00901FB1"/>
    <w:rsid w:val="00902023"/>
    <w:rsid w:val="0090207B"/>
    <w:rsid w:val="009020A5"/>
    <w:rsid w:val="0090210D"/>
    <w:rsid w:val="00902117"/>
    <w:rsid w:val="00902151"/>
    <w:rsid w:val="009021CD"/>
    <w:rsid w:val="00902400"/>
    <w:rsid w:val="00902459"/>
    <w:rsid w:val="0090254D"/>
    <w:rsid w:val="00902592"/>
    <w:rsid w:val="009025B4"/>
    <w:rsid w:val="00902687"/>
    <w:rsid w:val="009026E6"/>
    <w:rsid w:val="0090287B"/>
    <w:rsid w:val="0090291D"/>
    <w:rsid w:val="00902AE6"/>
    <w:rsid w:val="00902B88"/>
    <w:rsid w:val="00902D30"/>
    <w:rsid w:val="00902E56"/>
    <w:rsid w:val="00902F04"/>
    <w:rsid w:val="00902FF0"/>
    <w:rsid w:val="0090308A"/>
    <w:rsid w:val="00903163"/>
    <w:rsid w:val="009031EF"/>
    <w:rsid w:val="00903205"/>
    <w:rsid w:val="0090324D"/>
    <w:rsid w:val="0090325E"/>
    <w:rsid w:val="0090327E"/>
    <w:rsid w:val="00903631"/>
    <w:rsid w:val="0090375F"/>
    <w:rsid w:val="00903798"/>
    <w:rsid w:val="009037AC"/>
    <w:rsid w:val="009037B6"/>
    <w:rsid w:val="0090387F"/>
    <w:rsid w:val="00903A81"/>
    <w:rsid w:val="00903AB6"/>
    <w:rsid w:val="00903BD7"/>
    <w:rsid w:val="00903CD6"/>
    <w:rsid w:val="00903D81"/>
    <w:rsid w:val="00903E43"/>
    <w:rsid w:val="00903EA7"/>
    <w:rsid w:val="00903F5B"/>
    <w:rsid w:val="00904376"/>
    <w:rsid w:val="009043AB"/>
    <w:rsid w:val="0090440D"/>
    <w:rsid w:val="00904567"/>
    <w:rsid w:val="009047D1"/>
    <w:rsid w:val="009047EB"/>
    <w:rsid w:val="00904864"/>
    <w:rsid w:val="0090487A"/>
    <w:rsid w:val="009048B4"/>
    <w:rsid w:val="0090494C"/>
    <w:rsid w:val="00904A0F"/>
    <w:rsid w:val="00904ACE"/>
    <w:rsid w:val="00904B0A"/>
    <w:rsid w:val="00904D45"/>
    <w:rsid w:val="00904E43"/>
    <w:rsid w:val="00904ED3"/>
    <w:rsid w:val="00904F06"/>
    <w:rsid w:val="00904F3C"/>
    <w:rsid w:val="0090502B"/>
    <w:rsid w:val="009050CE"/>
    <w:rsid w:val="009050E3"/>
    <w:rsid w:val="00905183"/>
    <w:rsid w:val="0090519D"/>
    <w:rsid w:val="009051FE"/>
    <w:rsid w:val="00905285"/>
    <w:rsid w:val="009052C0"/>
    <w:rsid w:val="0090550B"/>
    <w:rsid w:val="00905869"/>
    <w:rsid w:val="0090592C"/>
    <w:rsid w:val="00905C66"/>
    <w:rsid w:val="00905CE5"/>
    <w:rsid w:val="00905DC2"/>
    <w:rsid w:val="00905ECF"/>
    <w:rsid w:val="00905EE9"/>
    <w:rsid w:val="00905FA2"/>
    <w:rsid w:val="00905FF6"/>
    <w:rsid w:val="00905FF7"/>
    <w:rsid w:val="0090600B"/>
    <w:rsid w:val="00906117"/>
    <w:rsid w:val="009062A9"/>
    <w:rsid w:val="009062AD"/>
    <w:rsid w:val="00906334"/>
    <w:rsid w:val="00906459"/>
    <w:rsid w:val="00906496"/>
    <w:rsid w:val="0090651C"/>
    <w:rsid w:val="0090657B"/>
    <w:rsid w:val="00906615"/>
    <w:rsid w:val="009067B6"/>
    <w:rsid w:val="009067EA"/>
    <w:rsid w:val="009067FC"/>
    <w:rsid w:val="00906869"/>
    <w:rsid w:val="0090698A"/>
    <w:rsid w:val="00906C6F"/>
    <w:rsid w:val="00906CC3"/>
    <w:rsid w:val="00906D05"/>
    <w:rsid w:val="00906D8F"/>
    <w:rsid w:val="00907067"/>
    <w:rsid w:val="00907227"/>
    <w:rsid w:val="009072C5"/>
    <w:rsid w:val="0090735A"/>
    <w:rsid w:val="00907628"/>
    <w:rsid w:val="00907739"/>
    <w:rsid w:val="00907828"/>
    <w:rsid w:val="009078F3"/>
    <w:rsid w:val="00907924"/>
    <w:rsid w:val="00907956"/>
    <w:rsid w:val="00907AFB"/>
    <w:rsid w:val="00907C11"/>
    <w:rsid w:val="00907E7E"/>
    <w:rsid w:val="00907EB7"/>
    <w:rsid w:val="00907FBB"/>
    <w:rsid w:val="00907FCB"/>
    <w:rsid w:val="00907FDD"/>
    <w:rsid w:val="00910044"/>
    <w:rsid w:val="0091010E"/>
    <w:rsid w:val="0091019B"/>
    <w:rsid w:val="00910207"/>
    <w:rsid w:val="00910267"/>
    <w:rsid w:val="00910472"/>
    <w:rsid w:val="00910492"/>
    <w:rsid w:val="009107AA"/>
    <w:rsid w:val="009108C1"/>
    <w:rsid w:val="009108E2"/>
    <w:rsid w:val="009109A6"/>
    <w:rsid w:val="009109B2"/>
    <w:rsid w:val="009109E6"/>
    <w:rsid w:val="00910A01"/>
    <w:rsid w:val="00910A67"/>
    <w:rsid w:val="00910A9C"/>
    <w:rsid w:val="00910B1F"/>
    <w:rsid w:val="00910C22"/>
    <w:rsid w:val="00910D22"/>
    <w:rsid w:val="00910D86"/>
    <w:rsid w:val="00910EAA"/>
    <w:rsid w:val="00910F36"/>
    <w:rsid w:val="009110A8"/>
    <w:rsid w:val="009110B9"/>
    <w:rsid w:val="0091121C"/>
    <w:rsid w:val="009112AD"/>
    <w:rsid w:val="00911302"/>
    <w:rsid w:val="00911368"/>
    <w:rsid w:val="009113C7"/>
    <w:rsid w:val="0091152D"/>
    <w:rsid w:val="009115A5"/>
    <w:rsid w:val="00911679"/>
    <w:rsid w:val="009116B4"/>
    <w:rsid w:val="009117E3"/>
    <w:rsid w:val="0091180A"/>
    <w:rsid w:val="00911890"/>
    <w:rsid w:val="009118B6"/>
    <w:rsid w:val="009118F5"/>
    <w:rsid w:val="0091194A"/>
    <w:rsid w:val="0091198C"/>
    <w:rsid w:val="009119A8"/>
    <w:rsid w:val="00911A8A"/>
    <w:rsid w:val="00911ABB"/>
    <w:rsid w:val="00911B2B"/>
    <w:rsid w:val="00911B4F"/>
    <w:rsid w:val="00911D54"/>
    <w:rsid w:val="00911D79"/>
    <w:rsid w:val="00911E4F"/>
    <w:rsid w:val="00911F76"/>
    <w:rsid w:val="00911FBE"/>
    <w:rsid w:val="00912030"/>
    <w:rsid w:val="0091211F"/>
    <w:rsid w:val="0091212D"/>
    <w:rsid w:val="00912163"/>
    <w:rsid w:val="00912205"/>
    <w:rsid w:val="0091227D"/>
    <w:rsid w:val="00912387"/>
    <w:rsid w:val="00912391"/>
    <w:rsid w:val="00912394"/>
    <w:rsid w:val="009123E9"/>
    <w:rsid w:val="009123FD"/>
    <w:rsid w:val="009126B1"/>
    <w:rsid w:val="009126F6"/>
    <w:rsid w:val="00912703"/>
    <w:rsid w:val="009127AF"/>
    <w:rsid w:val="0091283E"/>
    <w:rsid w:val="009128E3"/>
    <w:rsid w:val="009128F6"/>
    <w:rsid w:val="0091292C"/>
    <w:rsid w:val="00912A5D"/>
    <w:rsid w:val="00912B16"/>
    <w:rsid w:val="00912B35"/>
    <w:rsid w:val="00912BC8"/>
    <w:rsid w:val="00912C4F"/>
    <w:rsid w:val="00912CF6"/>
    <w:rsid w:val="00912DE9"/>
    <w:rsid w:val="00912E06"/>
    <w:rsid w:val="00912E11"/>
    <w:rsid w:val="00912EDB"/>
    <w:rsid w:val="00912FBF"/>
    <w:rsid w:val="00913082"/>
    <w:rsid w:val="00913095"/>
    <w:rsid w:val="0091369E"/>
    <w:rsid w:val="0091381E"/>
    <w:rsid w:val="0091382B"/>
    <w:rsid w:val="009138D0"/>
    <w:rsid w:val="009138D3"/>
    <w:rsid w:val="00913972"/>
    <w:rsid w:val="00913B80"/>
    <w:rsid w:val="00913BA5"/>
    <w:rsid w:val="00913C20"/>
    <w:rsid w:val="00913E0F"/>
    <w:rsid w:val="00913F2A"/>
    <w:rsid w:val="00914073"/>
    <w:rsid w:val="009141C6"/>
    <w:rsid w:val="00914259"/>
    <w:rsid w:val="0091426C"/>
    <w:rsid w:val="009142A7"/>
    <w:rsid w:val="009142CB"/>
    <w:rsid w:val="0091450C"/>
    <w:rsid w:val="0091454E"/>
    <w:rsid w:val="0091471D"/>
    <w:rsid w:val="009147CA"/>
    <w:rsid w:val="00914997"/>
    <w:rsid w:val="00914A44"/>
    <w:rsid w:val="00914A7D"/>
    <w:rsid w:val="00914A9A"/>
    <w:rsid w:val="00914BC0"/>
    <w:rsid w:val="00914C81"/>
    <w:rsid w:val="00914E39"/>
    <w:rsid w:val="00914F11"/>
    <w:rsid w:val="00914F3A"/>
    <w:rsid w:val="00914FC7"/>
    <w:rsid w:val="0091531D"/>
    <w:rsid w:val="00915425"/>
    <w:rsid w:val="00915448"/>
    <w:rsid w:val="0091583D"/>
    <w:rsid w:val="00915984"/>
    <w:rsid w:val="00915AD2"/>
    <w:rsid w:val="00915C40"/>
    <w:rsid w:val="00915E44"/>
    <w:rsid w:val="00915E61"/>
    <w:rsid w:val="00915ED0"/>
    <w:rsid w:val="00916117"/>
    <w:rsid w:val="00916249"/>
    <w:rsid w:val="0091636E"/>
    <w:rsid w:val="00916388"/>
    <w:rsid w:val="0091644E"/>
    <w:rsid w:val="009164AF"/>
    <w:rsid w:val="00916506"/>
    <w:rsid w:val="009166B8"/>
    <w:rsid w:val="0091683C"/>
    <w:rsid w:val="00916888"/>
    <w:rsid w:val="009168C1"/>
    <w:rsid w:val="0091692D"/>
    <w:rsid w:val="00916EBA"/>
    <w:rsid w:val="00916FB9"/>
    <w:rsid w:val="00916FBC"/>
    <w:rsid w:val="0091727B"/>
    <w:rsid w:val="0091729A"/>
    <w:rsid w:val="009173DD"/>
    <w:rsid w:val="00917581"/>
    <w:rsid w:val="009175A9"/>
    <w:rsid w:val="009177C6"/>
    <w:rsid w:val="0091794B"/>
    <w:rsid w:val="0091796F"/>
    <w:rsid w:val="009179A1"/>
    <w:rsid w:val="00917B37"/>
    <w:rsid w:val="00917DC6"/>
    <w:rsid w:val="00917E2B"/>
    <w:rsid w:val="00917E5A"/>
    <w:rsid w:val="00917F8E"/>
    <w:rsid w:val="0092015A"/>
    <w:rsid w:val="0092021E"/>
    <w:rsid w:val="0092028E"/>
    <w:rsid w:val="0092037A"/>
    <w:rsid w:val="009204F5"/>
    <w:rsid w:val="009207B8"/>
    <w:rsid w:val="00920AAE"/>
    <w:rsid w:val="00920B70"/>
    <w:rsid w:val="00920C70"/>
    <w:rsid w:val="00920C7C"/>
    <w:rsid w:val="00920CA3"/>
    <w:rsid w:val="00920D56"/>
    <w:rsid w:val="00920DA7"/>
    <w:rsid w:val="00920E0B"/>
    <w:rsid w:val="00920E2B"/>
    <w:rsid w:val="00920F6F"/>
    <w:rsid w:val="00920F8A"/>
    <w:rsid w:val="00920FA0"/>
    <w:rsid w:val="009211EF"/>
    <w:rsid w:val="00921237"/>
    <w:rsid w:val="0092128F"/>
    <w:rsid w:val="0092130A"/>
    <w:rsid w:val="0092134E"/>
    <w:rsid w:val="009213FC"/>
    <w:rsid w:val="00921505"/>
    <w:rsid w:val="0092154C"/>
    <w:rsid w:val="0092157A"/>
    <w:rsid w:val="00921599"/>
    <w:rsid w:val="009215DD"/>
    <w:rsid w:val="00921600"/>
    <w:rsid w:val="00921610"/>
    <w:rsid w:val="00921957"/>
    <w:rsid w:val="00921AAB"/>
    <w:rsid w:val="00921B49"/>
    <w:rsid w:val="00921B94"/>
    <w:rsid w:val="00921CC4"/>
    <w:rsid w:val="00921CDD"/>
    <w:rsid w:val="00921CFC"/>
    <w:rsid w:val="00921D0B"/>
    <w:rsid w:val="00921D45"/>
    <w:rsid w:val="00921EF6"/>
    <w:rsid w:val="00921F10"/>
    <w:rsid w:val="00921F11"/>
    <w:rsid w:val="00921FC2"/>
    <w:rsid w:val="00922045"/>
    <w:rsid w:val="0092211C"/>
    <w:rsid w:val="0092219F"/>
    <w:rsid w:val="009222E6"/>
    <w:rsid w:val="009222ED"/>
    <w:rsid w:val="0092230B"/>
    <w:rsid w:val="0092231A"/>
    <w:rsid w:val="00922370"/>
    <w:rsid w:val="0092243C"/>
    <w:rsid w:val="00922461"/>
    <w:rsid w:val="0092246E"/>
    <w:rsid w:val="009224C2"/>
    <w:rsid w:val="0092257B"/>
    <w:rsid w:val="00922683"/>
    <w:rsid w:val="009227D3"/>
    <w:rsid w:val="00922881"/>
    <w:rsid w:val="0092290A"/>
    <w:rsid w:val="00922A31"/>
    <w:rsid w:val="00922B28"/>
    <w:rsid w:val="00922C54"/>
    <w:rsid w:val="00922C93"/>
    <w:rsid w:val="00922D85"/>
    <w:rsid w:val="00922E67"/>
    <w:rsid w:val="00923360"/>
    <w:rsid w:val="00923439"/>
    <w:rsid w:val="0092349D"/>
    <w:rsid w:val="0092363A"/>
    <w:rsid w:val="00923892"/>
    <w:rsid w:val="009238A7"/>
    <w:rsid w:val="009238B9"/>
    <w:rsid w:val="00923A17"/>
    <w:rsid w:val="00923A19"/>
    <w:rsid w:val="00923BC8"/>
    <w:rsid w:val="00923CA4"/>
    <w:rsid w:val="00923DBF"/>
    <w:rsid w:val="00924163"/>
    <w:rsid w:val="0092419A"/>
    <w:rsid w:val="009241B0"/>
    <w:rsid w:val="0092439A"/>
    <w:rsid w:val="009243BE"/>
    <w:rsid w:val="009244AD"/>
    <w:rsid w:val="009244DC"/>
    <w:rsid w:val="0092455D"/>
    <w:rsid w:val="009245B4"/>
    <w:rsid w:val="0092463E"/>
    <w:rsid w:val="00924790"/>
    <w:rsid w:val="009247E2"/>
    <w:rsid w:val="00924F71"/>
    <w:rsid w:val="00925178"/>
    <w:rsid w:val="009251B0"/>
    <w:rsid w:val="00925331"/>
    <w:rsid w:val="0092547F"/>
    <w:rsid w:val="009255BC"/>
    <w:rsid w:val="009257F4"/>
    <w:rsid w:val="00925B91"/>
    <w:rsid w:val="00925B95"/>
    <w:rsid w:val="00925C43"/>
    <w:rsid w:val="00925CA5"/>
    <w:rsid w:val="00925D60"/>
    <w:rsid w:val="00925E31"/>
    <w:rsid w:val="00925EED"/>
    <w:rsid w:val="00925F45"/>
    <w:rsid w:val="009260A9"/>
    <w:rsid w:val="009262AA"/>
    <w:rsid w:val="0092639F"/>
    <w:rsid w:val="009263EE"/>
    <w:rsid w:val="00926436"/>
    <w:rsid w:val="0092647A"/>
    <w:rsid w:val="009264B3"/>
    <w:rsid w:val="009265A0"/>
    <w:rsid w:val="009265BE"/>
    <w:rsid w:val="00926631"/>
    <w:rsid w:val="00926688"/>
    <w:rsid w:val="00926840"/>
    <w:rsid w:val="00926859"/>
    <w:rsid w:val="0092686D"/>
    <w:rsid w:val="00926AF7"/>
    <w:rsid w:val="00926B1D"/>
    <w:rsid w:val="00926BE6"/>
    <w:rsid w:val="00926BFF"/>
    <w:rsid w:val="00926C39"/>
    <w:rsid w:val="00926D76"/>
    <w:rsid w:val="00926DAF"/>
    <w:rsid w:val="00926DDC"/>
    <w:rsid w:val="00926F0E"/>
    <w:rsid w:val="00926F24"/>
    <w:rsid w:val="00926F46"/>
    <w:rsid w:val="00926FBD"/>
    <w:rsid w:val="009271DA"/>
    <w:rsid w:val="00927320"/>
    <w:rsid w:val="00927378"/>
    <w:rsid w:val="00927436"/>
    <w:rsid w:val="00927450"/>
    <w:rsid w:val="009274BF"/>
    <w:rsid w:val="009275E2"/>
    <w:rsid w:val="00927999"/>
    <w:rsid w:val="00927A02"/>
    <w:rsid w:val="00927A20"/>
    <w:rsid w:val="00927C5B"/>
    <w:rsid w:val="00927C66"/>
    <w:rsid w:val="00927D3A"/>
    <w:rsid w:val="00927D7B"/>
    <w:rsid w:val="00927DEC"/>
    <w:rsid w:val="00927F76"/>
    <w:rsid w:val="00930024"/>
    <w:rsid w:val="00930035"/>
    <w:rsid w:val="0093011C"/>
    <w:rsid w:val="00930300"/>
    <w:rsid w:val="00930373"/>
    <w:rsid w:val="00930495"/>
    <w:rsid w:val="009304A2"/>
    <w:rsid w:val="0093050C"/>
    <w:rsid w:val="0093067A"/>
    <w:rsid w:val="009307F4"/>
    <w:rsid w:val="00930894"/>
    <w:rsid w:val="009308EE"/>
    <w:rsid w:val="00930A58"/>
    <w:rsid w:val="00930A5B"/>
    <w:rsid w:val="00930BC7"/>
    <w:rsid w:val="00930E7D"/>
    <w:rsid w:val="00930E96"/>
    <w:rsid w:val="0093106F"/>
    <w:rsid w:val="00931090"/>
    <w:rsid w:val="00931135"/>
    <w:rsid w:val="0093125D"/>
    <w:rsid w:val="00931272"/>
    <w:rsid w:val="00931337"/>
    <w:rsid w:val="00931463"/>
    <w:rsid w:val="00931490"/>
    <w:rsid w:val="009316A1"/>
    <w:rsid w:val="00931744"/>
    <w:rsid w:val="00931886"/>
    <w:rsid w:val="009318E0"/>
    <w:rsid w:val="00931B2D"/>
    <w:rsid w:val="00931BE9"/>
    <w:rsid w:val="00931C26"/>
    <w:rsid w:val="00931D5D"/>
    <w:rsid w:val="00931E2C"/>
    <w:rsid w:val="00931EC5"/>
    <w:rsid w:val="00931F9E"/>
    <w:rsid w:val="00932028"/>
    <w:rsid w:val="0093202B"/>
    <w:rsid w:val="009320BF"/>
    <w:rsid w:val="009325FA"/>
    <w:rsid w:val="00932629"/>
    <w:rsid w:val="00932718"/>
    <w:rsid w:val="00932783"/>
    <w:rsid w:val="00932809"/>
    <w:rsid w:val="0093299B"/>
    <w:rsid w:val="00932A2F"/>
    <w:rsid w:val="00932A3B"/>
    <w:rsid w:val="00932AFF"/>
    <w:rsid w:val="00932C28"/>
    <w:rsid w:val="00932D09"/>
    <w:rsid w:val="00932DE6"/>
    <w:rsid w:val="00932DE8"/>
    <w:rsid w:val="00932E41"/>
    <w:rsid w:val="00932E68"/>
    <w:rsid w:val="00932FD8"/>
    <w:rsid w:val="009330B9"/>
    <w:rsid w:val="009330E3"/>
    <w:rsid w:val="00933171"/>
    <w:rsid w:val="009335A3"/>
    <w:rsid w:val="00933772"/>
    <w:rsid w:val="009337B7"/>
    <w:rsid w:val="00933875"/>
    <w:rsid w:val="00933A52"/>
    <w:rsid w:val="00933AC0"/>
    <w:rsid w:val="00933C1D"/>
    <w:rsid w:val="00933D13"/>
    <w:rsid w:val="00933F40"/>
    <w:rsid w:val="00933F57"/>
    <w:rsid w:val="009340D7"/>
    <w:rsid w:val="0093411E"/>
    <w:rsid w:val="009341EE"/>
    <w:rsid w:val="0093429C"/>
    <w:rsid w:val="009342FB"/>
    <w:rsid w:val="0093432A"/>
    <w:rsid w:val="00934394"/>
    <w:rsid w:val="00934490"/>
    <w:rsid w:val="009346C7"/>
    <w:rsid w:val="00934803"/>
    <w:rsid w:val="0093488A"/>
    <w:rsid w:val="00934893"/>
    <w:rsid w:val="0093493F"/>
    <w:rsid w:val="009349F4"/>
    <w:rsid w:val="00934A27"/>
    <w:rsid w:val="00934B49"/>
    <w:rsid w:val="00934C5E"/>
    <w:rsid w:val="00934E36"/>
    <w:rsid w:val="00934F54"/>
    <w:rsid w:val="00934F77"/>
    <w:rsid w:val="009350C0"/>
    <w:rsid w:val="00935335"/>
    <w:rsid w:val="0093539B"/>
    <w:rsid w:val="009354DF"/>
    <w:rsid w:val="00935534"/>
    <w:rsid w:val="009356D8"/>
    <w:rsid w:val="009359BB"/>
    <w:rsid w:val="00935A24"/>
    <w:rsid w:val="00935B80"/>
    <w:rsid w:val="00935B85"/>
    <w:rsid w:val="00935CAA"/>
    <w:rsid w:val="00935E4F"/>
    <w:rsid w:val="00935FB7"/>
    <w:rsid w:val="00935FEF"/>
    <w:rsid w:val="009360FB"/>
    <w:rsid w:val="0093618C"/>
    <w:rsid w:val="009362A4"/>
    <w:rsid w:val="00936408"/>
    <w:rsid w:val="00936425"/>
    <w:rsid w:val="00936444"/>
    <w:rsid w:val="009364DD"/>
    <w:rsid w:val="00936638"/>
    <w:rsid w:val="0093667B"/>
    <w:rsid w:val="00936782"/>
    <w:rsid w:val="009367CC"/>
    <w:rsid w:val="00936882"/>
    <w:rsid w:val="009369BA"/>
    <w:rsid w:val="009369BB"/>
    <w:rsid w:val="00936A06"/>
    <w:rsid w:val="00936A58"/>
    <w:rsid w:val="00936B8B"/>
    <w:rsid w:val="00936C64"/>
    <w:rsid w:val="00936C9A"/>
    <w:rsid w:val="00936CA4"/>
    <w:rsid w:val="00936D92"/>
    <w:rsid w:val="00936E2D"/>
    <w:rsid w:val="00936E45"/>
    <w:rsid w:val="00936EC0"/>
    <w:rsid w:val="009370A5"/>
    <w:rsid w:val="009370B3"/>
    <w:rsid w:val="00937108"/>
    <w:rsid w:val="0093712F"/>
    <w:rsid w:val="0093720F"/>
    <w:rsid w:val="00937359"/>
    <w:rsid w:val="0093747D"/>
    <w:rsid w:val="0093751C"/>
    <w:rsid w:val="009375A9"/>
    <w:rsid w:val="0093774B"/>
    <w:rsid w:val="0093782C"/>
    <w:rsid w:val="00937865"/>
    <w:rsid w:val="0093797F"/>
    <w:rsid w:val="009379CF"/>
    <w:rsid w:val="00937A4A"/>
    <w:rsid w:val="00937A65"/>
    <w:rsid w:val="00937ACE"/>
    <w:rsid w:val="00937B55"/>
    <w:rsid w:val="00937B97"/>
    <w:rsid w:val="00937C40"/>
    <w:rsid w:val="00937C45"/>
    <w:rsid w:val="00937C5B"/>
    <w:rsid w:val="00937ECA"/>
    <w:rsid w:val="009401FC"/>
    <w:rsid w:val="009402FF"/>
    <w:rsid w:val="00940363"/>
    <w:rsid w:val="009403B3"/>
    <w:rsid w:val="00940482"/>
    <w:rsid w:val="009405CB"/>
    <w:rsid w:val="00940682"/>
    <w:rsid w:val="009406CB"/>
    <w:rsid w:val="00940748"/>
    <w:rsid w:val="00940AFE"/>
    <w:rsid w:val="00940D1C"/>
    <w:rsid w:val="00940ED6"/>
    <w:rsid w:val="00940F8C"/>
    <w:rsid w:val="0094106F"/>
    <w:rsid w:val="009410B9"/>
    <w:rsid w:val="00941268"/>
    <w:rsid w:val="00941576"/>
    <w:rsid w:val="009415D7"/>
    <w:rsid w:val="0094160D"/>
    <w:rsid w:val="00941743"/>
    <w:rsid w:val="00941785"/>
    <w:rsid w:val="009417DE"/>
    <w:rsid w:val="009418C9"/>
    <w:rsid w:val="009419D4"/>
    <w:rsid w:val="00941A58"/>
    <w:rsid w:val="00941B6C"/>
    <w:rsid w:val="00942010"/>
    <w:rsid w:val="0094216B"/>
    <w:rsid w:val="009421E6"/>
    <w:rsid w:val="00942216"/>
    <w:rsid w:val="00942336"/>
    <w:rsid w:val="009423B6"/>
    <w:rsid w:val="00942651"/>
    <w:rsid w:val="00942D0E"/>
    <w:rsid w:val="00942D15"/>
    <w:rsid w:val="00942D2F"/>
    <w:rsid w:val="00942EB2"/>
    <w:rsid w:val="00942F62"/>
    <w:rsid w:val="009431AF"/>
    <w:rsid w:val="009433CC"/>
    <w:rsid w:val="009433E1"/>
    <w:rsid w:val="00943501"/>
    <w:rsid w:val="00943563"/>
    <w:rsid w:val="009435C3"/>
    <w:rsid w:val="0094372D"/>
    <w:rsid w:val="00943735"/>
    <w:rsid w:val="00943771"/>
    <w:rsid w:val="00943843"/>
    <w:rsid w:val="00943917"/>
    <w:rsid w:val="00943A43"/>
    <w:rsid w:val="00943CB8"/>
    <w:rsid w:val="00943CE1"/>
    <w:rsid w:val="00943D69"/>
    <w:rsid w:val="00943E96"/>
    <w:rsid w:val="00943F43"/>
    <w:rsid w:val="00943F74"/>
    <w:rsid w:val="00943FD5"/>
    <w:rsid w:val="009440FF"/>
    <w:rsid w:val="009441EE"/>
    <w:rsid w:val="0094423B"/>
    <w:rsid w:val="00944434"/>
    <w:rsid w:val="00944574"/>
    <w:rsid w:val="00944631"/>
    <w:rsid w:val="00944943"/>
    <w:rsid w:val="0094498E"/>
    <w:rsid w:val="00944A01"/>
    <w:rsid w:val="00944AFE"/>
    <w:rsid w:val="00944C7B"/>
    <w:rsid w:val="00944DF5"/>
    <w:rsid w:val="00944F76"/>
    <w:rsid w:val="00944FAD"/>
    <w:rsid w:val="00945133"/>
    <w:rsid w:val="0094519C"/>
    <w:rsid w:val="009455BE"/>
    <w:rsid w:val="00945647"/>
    <w:rsid w:val="009456E6"/>
    <w:rsid w:val="00945828"/>
    <w:rsid w:val="00945976"/>
    <w:rsid w:val="00945A97"/>
    <w:rsid w:val="00945B70"/>
    <w:rsid w:val="00945B8D"/>
    <w:rsid w:val="00945BE4"/>
    <w:rsid w:val="00945DBC"/>
    <w:rsid w:val="00945E83"/>
    <w:rsid w:val="00945EE1"/>
    <w:rsid w:val="00945F0A"/>
    <w:rsid w:val="009460BF"/>
    <w:rsid w:val="0094610D"/>
    <w:rsid w:val="0094619B"/>
    <w:rsid w:val="009461A5"/>
    <w:rsid w:val="009461AB"/>
    <w:rsid w:val="009461CD"/>
    <w:rsid w:val="0094628A"/>
    <w:rsid w:val="009462DC"/>
    <w:rsid w:val="00946463"/>
    <w:rsid w:val="009465E6"/>
    <w:rsid w:val="00946639"/>
    <w:rsid w:val="009467CE"/>
    <w:rsid w:val="00946821"/>
    <w:rsid w:val="009468A3"/>
    <w:rsid w:val="009469EC"/>
    <w:rsid w:val="00946A14"/>
    <w:rsid w:val="00946A8E"/>
    <w:rsid w:val="00946AEA"/>
    <w:rsid w:val="00946B86"/>
    <w:rsid w:val="00946E17"/>
    <w:rsid w:val="00946E5C"/>
    <w:rsid w:val="00946E77"/>
    <w:rsid w:val="00947254"/>
    <w:rsid w:val="0094725C"/>
    <w:rsid w:val="009472AE"/>
    <w:rsid w:val="009473FD"/>
    <w:rsid w:val="00947409"/>
    <w:rsid w:val="00947553"/>
    <w:rsid w:val="0094757A"/>
    <w:rsid w:val="0094758F"/>
    <w:rsid w:val="009475A3"/>
    <w:rsid w:val="009477E6"/>
    <w:rsid w:val="00947835"/>
    <w:rsid w:val="00947AAB"/>
    <w:rsid w:val="00947CCE"/>
    <w:rsid w:val="00947D68"/>
    <w:rsid w:val="00947D8C"/>
    <w:rsid w:val="00947E32"/>
    <w:rsid w:val="00947FBF"/>
    <w:rsid w:val="00947FC8"/>
    <w:rsid w:val="0095021B"/>
    <w:rsid w:val="00950246"/>
    <w:rsid w:val="0095028B"/>
    <w:rsid w:val="0095055A"/>
    <w:rsid w:val="0095056E"/>
    <w:rsid w:val="00950622"/>
    <w:rsid w:val="009507DC"/>
    <w:rsid w:val="009507F9"/>
    <w:rsid w:val="0095088E"/>
    <w:rsid w:val="00950AEB"/>
    <w:rsid w:val="00950C16"/>
    <w:rsid w:val="00950C51"/>
    <w:rsid w:val="00951191"/>
    <w:rsid w:val="00951227"/>
    <w:rsid w:val="0095126D"/>
    <w:rsid w:val="00951275"/>
    <w:rsid w:val="009513F2"/>
    <w:rsid w:val="00951470"/>
    <w:rsid w:val="00951528"/>
    <w:rsid w:val="00951537"/>
    <w:rsid w:val="00951573"/>
    <w:rsid w:val="00951782"/>
    <w:rsid w:val="009517C3"/>
    <w:rsid w:val="009518A4"/>
    <w:rsid w:val="0095193B"/>
    <w:rsid w:val="00951979"/>
    <w:rsid w:val="00951B06"/>
    <w:rsid w:val="00951B5B"/>
    <w:rsid w:val="00951C58"/>
    <w:rsid w:val="00951D54"/>
    <w:rsid w:val="00951D8A"/>
    <w:rsid w:val="00951E0A"/>
    <w:rsid w:val="00951E60"/>
    <w:rsid w:val="00951E6E"/>
    <w:rsid w:val="00951F0A"/>
    <w:rsid w:val="00951F6D"/>
    <w:rsid w:val="00952038"/>
    <w:rsid w:val="00952444"/>
    <w:rsid w:val="00952659"/>
    <w:rsid w:val="009527D3"/>
    <w:rsid w:val="00952801"/>
    <w:rsid w:val="009528AF"/>
    <w:rsid w:val="00952A30"/>
    <w:rsid w:val="00952B43"/>
    <w:rsid w:val="00952B58"/>
    <w:rsid w:val="00953161"/>
    <w:rsid w:val="0095326A"/>
    <w:rsid w:val="00953373"/>
    <w:rsid w:val="00953589"/>
    <w:rsid w:val="009536F0"/>
    <w:rsid w:val="0095376C"/>
    <w:rsid w:val="009537EA"/>
    <w:rsid w:val="00953A85"/>
    <w:rsid w:val="00953AAF"/>
    <w:rsid w:val="00953ACF"/>
    <w:rsid w:val="00953C20"/>
    <w:rsid w:val="00953CE1"/>
    <w:rsid w:val="00953CF5"/>
    <w:rsid w:val="00953F3B"/>
    <w:rsid w:val="00953F72"/>
    <w:rsid w:val="00953FA9"/>
    <w:rsid w:val="0095402E"/>
    <w:rsid w:val="0095418A"/>
    <w:rsid w:val="00954253"/>
    <w:rsid w:val="0095432C"/>
    <w:rsid w:val="009543F6"/>
    <w:rsid w:val="0095449C"/>
    <w:rsid w:val="009544C5"/>
    <w:rsid w:val="009545F5"/>
    <w:rsid w:val="00954668"/>
    <w:rsid w:val="0095471E"/>
    <w:rsid w:val="009548AE"/>
    <w:rsid w:val="00954985"/>
    <w:rsid w:val="0095499B"/>
    <w:rsid w:val="00954ABE"/>
    <w:rsid w:val="00954BB7"/>
    <w:rsid w:val="00954D1D"/>
    <w:rsid w:val="00954EA0"/>
    <w:rsid w:val="00954F99"/>
    <w:rsid w:val="00955059"/>
    <w:rsid w:val="009550CE"/>
    <w:rsid w:val="0095529C"/>
    <w:rsid w:val="00955603"/>
    <w:rsid w:val="00955959"/>
    <w:rsid w:val="00955962"/>
    <w:rsid w:val="00955A5D"/>
    <w:rsid w:val="00955ACE"/>
    <w:rsid w:val="00955B79"/>
    <w:rsid w:val="00955C78"/>
    <w:rsid w:val="00955CB6"/>
    <w:rsid w:val="00955D40"/>
    <w:rsid w:val="00955E8F"/>
    <w:rsid w:val="00955F3E"/>
    <w:rsid w:val="00956048"/>
    <w:rsid w:val="0095604F"/>
    <w:rsid w:val="009563D6"/>
    <w:rsid w:val="00956436"/>
    <w:rsid w:val="00956441"/>
    <w:rsid w:val="0095649B"/>
    <w:rsid w:val="0095653A"/>
    <w:rsid w:val="00956658"/>
    <w:rsid w:val="0095669B"/>
    <w:rsid w:val="009566E5"/>
    <w:rsid w:val="00956815"/>
    <w:rsid w:val="00956849"/>
    <w:rsid w:val="00956872"/>
    <w:rsid w:val="009568DA"/>
    <w:rsid w:val="009568FF"/>
    <w:rsid w:val="0095691A"/>
    <w:rsid w:val="009569E7"/>
    <w:rsid w:val="00956AA7"/>
    <w:rsid w:val="00956B2F"/>
    <w:rsid w:val="00956CFC"/>
    <w:rsid w:val="00956E0D"/>
    <w:rsid w:val="009570D8"/>
    <w:rsid w:val="00957282"/>
    <w:rsid w:val="009574B6"/>
    <w:rsid w:val="009574EE"/>
    <w:rsid w:val="0095756D"/>
    <w:rsid w:val="00957978"/>
    <w:rsid w:val="00957AD1"/>
    <w:rsid w:val="00957B8C"/>
    <w:rsid w:val="00957BB8"/>
    <w:rsid w:val="00957BF1"/>
    <w:rsid w:val="00957CDA"/>
    <w:rsid w:val="00957CFB"/>
    <w:rsid w:val="00957D2E"/>
    <w:rsid w:val="00957EFB"/>
    <w:rsid w:val="00957F8B"/>
    <w:rsid w:val="00957FF5"/>
    <w:rsid w:val="0096001F"/>
    <w:rsid w:val="009600F2"/>
    <w:rsid w:val="0096027A"/>
    <w:rsid w:val="009602C5"/>
    <w:rsid w:val="009603A7"/>
    <w:rsid w:val="00960458"/>
    <w:rsid w:val="009605D8"/>
    <w:rsid w:val="0096080E"/>
    <w:rsid w:val="0096098A"/>
    <w:rsid w:val="00960AEF"/>
    <w:rsid w:val="00960B5B"/>
    <w:rsid w:val="00960C5E"/>
    <w:rsid w:val="00960D33"/>
    <w:rsid w:val="00960DF8"/>
    <w:rsid w:val="00960E5E"/>
    <w:rsid w:val="00960F28"/>
    <w:rsid w:val="00960F8E"/>
    <w:rsid w:val="00960FBC"/>
    <w:rsid w:val="00960FEF"/>
    <w:rsid w:val="009610C0"/>
    <w:rsid w:val="009610D2"/>
    <w:rsid w:val="00961108"/>
    <w:rsid w:val="0096114D"/>
    <w:rsid w:val="009611C6"/>
    <w:rsid w:val="00961275"/>
    <w:rsid w:val="0096132B"/>
    <w:rsid w:val="00961357"/>
    <w:rsid w:val="009615EF"/>
    <w:rsid w:val="0096166F"/>
    <w:rsid w:val="0096172F"/>
    <w:rsid w:val="009617FB"/>
    <w:rsid w:val="00961A73"/>
    <w:rsid w:val="00961B9C"/>
    <w:rsid w:val="00961BA0"/>
    <w:rsid w:val="00961CCE"/>
    <w:rsid w:val="00961ECB"/>
    <w:rsid w:val="00962087"/>
    <w:rsid w:val="0096215D"/>
    <w:rsid w:val="0096225C"/>
    <w:rsid w:val="009622A4"/>
    <w:rsid w:val="00962300"/>
    <w:rsid w:val="00962385"/>
    <w:rsid w:val="00962395"/>
    <w:rsid w:val="0096245C"/>
    <w:rsid w:val="00962463"/>
    <w:rsid w:val="009624A4"/>
    <w:rsid w:val="00962543"/>
    <w:rsid w:val="0096254E"/>
    <w:rsid w:val="0096273B"/>
    <w:rsid w:val="00962813"/>
    <w:rsid w:val="00962934"/>
    <w:rsid w:val="009629B8"/>
    <w:rsid w:val="00962AA6"/>
    <w:rsid w:val="00962B15"/>
    <w:rsid w:val="00962B22"/>
    <w:rsid w:val="00962E04"/>
    <w:rsid w:val="00962E7D"/>
    <w:rsid w:val="0096305B"/>
    <w:rsid w:val="00963115"/>
    <w:rsid w:val="0096319D"/>
    <w:rsid w:val="009632AB"/>
    <w:rsid w:val="00963518"/>
    <w:rsid w:val="00963629"/>
    <w:rsid w:val="00963716"/>
    <w:rsid w:val="009637CD"/>
    <w:rsid w:val="009637E9"/>
    <w:rsid w:val="00963832"/>
    <w:rsid w:val="009638E0"/>
    <w:rsid w:val="00963919"/>
    <w:rsid w:val="00963929"/>
    <w:rsid w:val="00963C26"/>
    <w:rsid w:val="00963C3C"/>
    <w:rsid w:val="00963C80"/>
    <w:rsid w:val="00963D4B"/>
    <w:rsid w:val="00963DA4"/>
    <w:rsid w:val="00963F92"/>
    <w:rsid w:val="00963FCE"/>
    <w:rsid w:val="00964027"/>
    <w:rsid w:val="00964244"/>
    <w:rsid w:val="00964285"/>
    <w:rsid w:val="0096429F"/>
    <w:rsid w:val="009642C0"/>
    <w:rsid w:val="00964339"/>
    <w:rsid w:val="009643A4"/>
    <w:rsid w:val="00964420"/>
    <w:rsid w:val="00964439"/>
    <w:rsid w:val="00964648"/>
    <w:rsid w:val="009648CF"/>
    <w:rsid w:val="009649F6"/>
    <w:rsid w:val="00964A23"/>
    <w:rsid w:val="00964B01"/>
    <w:rsid w:val="00964C01"/>
    <w:rsid w:val="00964CFC"/>
    <w:rsid w:val="00964DA8"/>
    <w:rsid w:val="00965008"/>
    <w:rsid w:val="00965291"/>
    <w:rsid w:val="0096539B"/>
    <w:rsid w:val="0096542D"/>
    <w:rsid w:val="00965445"/>
    <w:rsid w:val="0096569A"/>
    <w:rsid w:val="0096572C"/>
    <w:rsid w:val="0096573C"/>
    <w:rsid w:val="009657C8"/>
    <w:rsid w:val="00965953"/>
    <w:rsid w:val="00965A51"/>
    <w:rsid w:val="00965C15"/>
    <w:rsid w:val="00965C6D"/>
    <w:rsid w:val="00965D47"/>
    <w:rsid w:val="00965D90"/>
    <w:rsid w:val="00965F15"/>
    <w:rsid w:val="00966037"/>
    <w:rsid w:val="009660EC"/>
    <w:rsid w:val="009660F1"/>
    <w:rsid w:val="0096611D"/>
    <w:rsid w:val="00966258"/>
    <w:rsid w:val="00966410"/>
    <w:rsid w:val="009665A3"/>
    <w:rsid w:val="009667A0"/>
    <w:rsid w:val="009668D9"/>
    <w:rsid w:val="00966982"/>
    <w:rsid w:val="0096699C"/>
    <w:rsid w:val="00966B3F"/>
    <w:rsid w:val="00966B60"/>
    <w:rsid w:val="00966C62"/>
    <w:rsid w:val="00966CFA"/>
    <w:rsid w:val="00966D95"/>
    <w:rsid w:val="00966E65"/>
    <w:rsid w:val="00967015"/>
    <w:rsid w:val="00967061"/>
    <w:rsid w:val="009670B9"/>
    <w:rsid w:val="00967329"/>
    <w:rsid w:val="009674E6"/>
    <w:rsid w:val="0096759E"/>
    <w:rsid w:val="00967789"/>
    <w:rsid w:val="00967997"/>
    <w:rsid w:val="00967A3B"/>
    <w:rsid w:val="00967A4E"/>
    <w:rsid w:val="00967B0F"/>
    <w:rsid w:val="00967B7B"/>
    <w:rsid w:val="00967F0C"/>
    <w:rsid w:val="00970209"/>
    <w:rsid w:val="00970651"/>
    <w:rsid w:val="009706D5"/>
    <w:rsid w:val="009706DA"/>
    <w:rsid w:val="0097079C"/>
    <w:rsid w:val="0097091B"/>
    <w:rsid w:val="009709BD"/>
    <w:rsid w:val="00970A56"/>
    <w:rsid w:val="00970AD6"/>
    <w:rsid w:val="00970B0D"/>
    <w:rsid w:val="00970D64"/>
    <w:rsid w:val="00970E45"/>
    <w:rsid w:val="00970E55"/>
    <w:rsid w:val="00970E61"/>
    <w:rsid w:val="00970FA2"/>
    <w:rsid w:val="00970FF1"/>
    <w:rsid w:val="00971008"/>
    <w:rsid w:val="0097110D"/>
    <w:rsid w:val="009711E2"/>
    <w:rsid w:val="00971331"/>
    <w:rsid w:val="0097162E"/>
    <w:rsid w:val="00971648"/>
    <w:rsid w:val="00971673"/>
    <w:rsid w:val="009716E5"/>
    <w:rsid w:val="009716F0"/>
    <w:rsid w:val="00971751"/>
    <w:rsid w:val="00971765"/>
    <w:rsid w:val="00971807"/>
    <w:rsid w:val="00971A6C"/>
    <w:rsid w:val="00971B89"/>
    <w:rsid w:val="00971CD2"/>
    <w:rsid w:val="00971D69"/>
    <w:rsid w:val="00972003"/>
    <w:rsid w:val="009720D2"/>
    <w:rsid w:val="0097215A"/>
    <w:rsid w:val="00972205"/>
    <w:rsid w:val="0097228D"/>
    <w:rsid w:val="009723CF"/>
    <w:rsid w:val="00972469"/>
    <w:rsid w:val="00972584"/>
    <w:rsid w:val="009726E0"/>
    <w:rsid w:val="0097271F"/>
    <w:rsid w:val="0097273E"/>
    <w:rsid w:val="00972937"/>
    <w:rsid w:val="00972971"/>
    <w:rsid w:val="00972A67"/>
    <w:rsid w:val="00972CD2"/>
    <w:rsid w:val="00972D09"/>
    <w:rsid w:val="00972E78"/>
    <w:rsid w:val="00973032"/>
    <w:rsid w:val="0097310A"/>
    <w:rsid w:val="009731E5"/>
    <w:rsid w:val="00973283"/>
    <w:rsid w:val="009733BF"/>
    <w:rsid w:val="00973460"/>
    <w:rsid w:val="00973514"/>
    <w:rsid w:val="009736A7"/>
    <w:rsid w:val="009736B3"/>
    <w:rsid w:val="00973799"/>
    <w:rsid w:val="009738BE"/>
    <w:rsid w:val="00973A08"/>
    <w:rsid w:val="00973BC7"/>
    <w:rsid w:val="00973BED"/>
    <w:rsid w:val="00973C18"/>
    <w:rsid w:val="00973C34"/>
    <w:rsid w:val="00973C78"/>
    <w:rsid w:val="00973D1E"/>
    <w:rsid w:val="00973E83"/>
    <w:rsid w:val="00973F44"/>
    <w:rsid w:val="00973F9F"/>
    <w:rsid w:val="009740D3"/>
    <w:rsid w:val="009740DF"/>
    <w:rsid w:val="00974150"/>
    <w:rsid w:val="00974183"/>
    <w:rsid w:val="00974300"/>
    <w:rsid w:val="00974381"/>
    <w:rsid w:val="00974471"/>
    <w:rsid w:val="009746F9"/>
    <w:rsid w:val="00974743"/>
    <w:rsid w:val="0097475E"/>
    <w:rsid w:val="009747B8"/>
    <w:rsid w:val="009747EC"/>
    <w:rsid w:val="00974922"/>
    <w:rsid w:val="00974970"/>
    <w:rsid w:val="00974ABE"/>
    <w:rsid w:val="00974B11"/>
    <w:rsid w:val="00974C56"/>
    <w:rsid w:val="00974E92"/>
    <w:rsid w:val="00975036"/>
    <w:rsid w:val="009750EB"/>
    <w:rsid w:val="009752B5"/>
    <w:rsid w:val="00975302"/>
    <w:rsid w:val="00975354"/>
    <w:rsid w:val="0097561C"/>
    <w:rsid w:val="0097565B"/>
    <w:rsid w:val="00975687"/>
    <w:rsid w:val="009758B9"/>
    <w:rsid w:val="00975A0D"/>
    <w:rsid w:val="00975A9A"/>
    <w:rsid w:val="00975ABE"/>
    <w:rsid w:val="00975CBB"/>
    <w:rsid w:val="00975F10"/>
    <w:rsid w:val="00975F76"/>
    <w:rsid w:val="00975FB0"/>
    <w:rsid w:val="009760FF"/>
    <w:rsid w:val="009761C9"/>
    <w:rsid w:val="0097627A"/>
    <w:rsid w:val="0097629D"/>
    <w:rsid w:val="00976581"/>
    <w:rsid w:val="0097667C"/>
    <w:rsid w:val="0097673D"/>
    <w:rsid w:val="00976AB8"/>
    <w:rsid w:val="00976AE3"/>
    <w:rsid w:val="00976B6F"/>
    <w:rsid w:val="00976C0E"/>
    <w:rsid w:val="00976D85"/>
    <w:rsid w:val="00976E78"/>
    <w:rsid w:val="00976ECA"/>
    <w:rsid w:val="00976FFB"/>
    <w:rsid w:val="0097700C"/>
    <w:rsid w:val="009771B0"/>
    <w:rsid w:val="009771BE"/>
    <w:rsid w:val="0097720B"/>
    <w:rsid w:val="00977343"/>
    <w:rsid w:val="009774B0"/>
    <w:rsid w:val="00977516"/>
    <w:rsid w:val="00977617"/>
    <w:rsid w:val="0097763E"/>
    <w:rsid w:val="009776B3"/>
    <w:rsid w:val="0097793D"/>
    <w:rsid w:val="0097793F"/>
    <w:rsid w:val="009779B6"/>
    <w:rsid w:val="00977C1F"/>
    <w:rsid w:val="00977C86"/>
    <w:rsid w:val="00977DDE"/>
    <w:rsid w:val="00977E79"/>
    <w:rsid w:val="00977EFB"/>
    <w:rsid w:val="009800D6"/>
    <w:rsid w:val="00980344"/>
    <w:rsid w:val="0098046F"/>
    <w:rsid w:val="0098048B"/>
    <w:rsid w:val="0098068C"/>
    <w:rsid w:val="009806D5"/>
    <w:rsid w:val="009809E9"/>
    <w:rsid w:val="00980B03"/>
    <w:rsid w:val="00980B5E"/>
    <w:rsid w:val="00980C52"/>
    <w:rsid w:val="00980D8E"/>
    <w:rsid w:val="00980E08"/>
    <w:rsid w:val="00980EA9"/>
    <w:rsid w:val="009810EB"/>
    <w:rsid w:val="00981301"/>
    <w:rsid w:val="0098131B"/>
    <w:rsid w:val="00981380"/>
    <w:rsid w:val="0098139E"/>
    <w:rsid w:val="00981547"/>
    <w:rsid w:val="009815A3"/>
    <w:rsid w:val="00981782"/>
    <w:rsid w:val="0098192A"/>
    <w:rsid w:val="009819E1"/>
    <w:rsid w:val="00981A5E"/>
    <w:rsid w:val="00981B83"/>
    <w:rsid w:val="00981C44"/>
    <w:rsid w:val="00981E03"/>
    <w:rsid w:val="00981FAF"/>
    <w:rsid w:val="00981FD9"/>
    <w:rsid w:val="00982056"/>
    <w:rsid w:val="009822D6"/>
    <w:rsid w:val="00982533"/>
    <w:rsid w:val="0098275B"/>
    <w:rsid w:val="0098276E"/>
    <w:rsid w:val="00982821"/>
    <w:rsid w:val="009828FB"/>
    <w:rsid w:val="009828FD"/>
    <w:rsid w:val="009829EF"/>
    <w:rsid w:val="00982A94"/>
    <w:rsid w:val="00982B9F"/>
    <w:rsid w:val="00982CE0"/>
    <w:rsid w:val="00982E0F"/>
    <w:rsid w:val="00982E80"/>
    <w:rsid w:val="00982F68"/>
    <w:rsid w:val="00983023"/>
    <w:rsid w:val="00983048"/>
    <w:rsid w:val="00983132"/>
    <w:rsid w:val="00983177"/>
    <w:rsid w:val="0098354B"/>
    <w:rsid w:val="009835BC"/>
    <w:rsid w:val="00983721"/>
    <w:rsid w:val="00983770"/>
    <w:rsid w:val="0098378A"/>
    <w:rsid w:val="0098396F"/>
    <w:rsid w:val="0098398F"/>
    <w:rsid w:val="00983A0F"/>
    <w:rsid w:val="00983A34"/>
    <w:rsid w:val="00983B54"/>
    <w:rsid w:val="00983D0D"/>
    <w:rsid w:val="00983D1A"/>
    <w:rsid w:val="00983E47"/>
    <w:rsid w:val="00983F05"/>
    <w:rsid w:val="00983F8F"/>
    <w:rsid w:val="00984055"/>
    <w:rsid w:val="0098408D"/>
    <w:rsid w:val="009840E2"/>
    <w:rsid w:val="00984141"/>
    <w:rsid w:val="0098414A"/>
    <w:rsid w:val="00984150"/>
    <w:rsid w:val="00984151"/>
    <w:rsid w:val="00984163"/>
    <w:rsid w:val="009842D5"/>
    <w:rsid w:val="00984408"/>
    <w:rsid w:val="0098442C"/>
    <w:rsid w:val="00984537"/>
    <w:rsid w:val="00984541"/>
    <w:rsid w:val="0098456C"/>
    <w:rsid w:val="009845C3"/>
    <w:rsid w:val="00984674"/>
    <w:rsid w:val="009846D6"/>
    <w:rsid w:val="00984985"/>
    <w:rsid w:val="00984A52"/>
    <w:rsid w:val="00984B8A"/>
    <w:rsid w:val="00984BF1"/>
    <w:rsid w:val="00984D51"/>
    <w:rsid w:val="00985196"/>
    <w:rsid w:val="00985263"/>
    <w:rsid w:val="00985326"/>
    <w:rsid w:val="00985351"/>
    <w:rsid w:val="00985699"/>
    <w:rsid w:val="0098573D"/>
    <w:rsid w:val="0098580E"/>
    <w:rsid w:val="00985920"/>
    <w:rsid w:val="00985952"/>
    <w:rsid w:val="00985A9C"/>
    <w:rsid w:val="00985B7B"/>
    <w:rsid w:val="00985BCD"/>
    <w:rsid w:val="00985BF8"/>
    <w:rsid w:val="00985CB2"/>
    <w:rsid w:val="00985ED8"/>
    <w:rsid w:val="00986120"/>
    <w:rsid w:val="00986122"/>
    <w:rsid w:val="00986159"/>
    <w:rsid w:val="0098617E"/>
    <w:rsid w:val="00986186"/>
    <w:rsid w:val="00986210"/>
    <w:rsid w:val="009862B0"/>
    <w:rsid w:val="0098632F"/>
    <w:rsid w:val="009864DE"/>
    <w:rsid w:val="0098659B"/>
    <w:rsid w:val="009865CA"/>
    <w:rsid w:val="009866CD"/>
    <w:rsid w:val="009868C4"/>
    <w:rsid w:val="00986A5B"/>
    <w:rsid w:val="00986B24"/>
    <w:rsid w:val="00986C31"/>
    <w:rsid w:val="00986D1C"/>
    <w:rsid w:val="00986F03"/>
    <w:rsid w:val="00986F6C"/>
    <w:rsid w:val="009870F0"/>
    <w:rsid w:val="0098722C"/>
    <w:rsid w:val="009875EB"/>
    <w:rsid w:val="009876BD"/>
    <w:rsid w:val="009878C9"/>
    <w:rsid w:val="0098791F"/>
    <w:rsid w:val="00987973"/>
    <w:rsid w:val="00987B53"/>
    <w:rsid w:val="00987CEC"/>
    <w:rsid w:val="00987E90"/>
    <w:rsid w:val="009900B6"/>
    <w:rsid w:val="009900E5"/>
    <w:rsid w:val="009900EE"/>
    <w:rsid w:val="009900F1"/>
    <w:rsid w:val="0099023B"/>
    <w:rsid w:val="009908B5"/>
    <w:rsid w:val="009908DC"/>
    <w:rsid w:val="009909CE"/>
    <w:rsid w:val="009909EF"/>
    <w:rsid w:val="00990AFB"/>
    <w:rsid w:val="00990BFA"/>
    <w:rsid w:val="00990FE2"/>
    <w:rsid w:val="00990FF7"/>
    <w:rsid w:val="00991092"/>
    <w:rsid w:val="009911AA"/>
    <w:rsid w:val="0099127E"/>
    <w:rsid w:val="00991375"/>
    <w:rsid w:val="0099143A"/>
    <w:rsid w:val="009914A7"/>
    <w:rsid w:val="0099150C"/>
    <w:rsid w:val="00991649"/>
    <w:rsid w:val="0099197E"/>
    <w:rsid w:val="00991987"/>
    <w:rsid w:val="00991B8B"/>
    <w:rsid w:val="00991D71"/>
    <w:rsid w:val="00991D81"/>
    <w:rsid w:val="00991D8E"/>
    <w:rsid w:val="00991E19"/>
    <w:rsid w:val="00991E48"/>
    <w:rsid w:val="0099205B"/>
    <w:rsid w:val="0099208E"/>
    <w:rsid w:val="009920E9"/>
    <w:rsid w:val="00992117"/>
    <w:rsid w:val="00992302"/>
    <w:rsid w:val="009925CA"/>
    <w:rsid w:val="009925FD"/>
    <w:rsid w:val="009926A2"/>
    <w:rsid w:val="009926EB"/>
    <w:rsid w:val="00992712"/>
    <w:rsid w:val="009927E2"/>
    <w:rsid w:val="0099286C"/>
    <w:rsid w:val="009928EB"/>
    <w:rsid w:val="0099291C"/>
    <w:rsid w:val="00992A67"/>
    <w:rsid w:val="00992ADD"/>
    <w:rsid w:val="00992BE0"/>
    <w:rsid w:val="00992BF7"/>
    <w:rsid w:val="00992C2D"/>
    <w:rsid w:val="00992D05"/>
    <w:rsid w:val="00992D09"/>
    <w:rsid w:val="00992E7E"/>
    <w:rsid w:val="009931D0"/>
    <w:rsid w:val="0099327A"/>
    <w:rsid w:val="00993295"/>
    <w:rsid w:val="00993322"/>
    <w:rsid w:val="00993326"/>
    <w:rsid w:val="0099357D"/>
    <w:rsid w:val="009936BF"/>
    <w:rsid w:val="0099375A"/>
    <w:rsid w:val="00993869"/>
    <w:rsid w:val="00993971"/>
    <w:rsid w:val="00993C40"/>
    <w:rsid w:val="00993C63"/>
    <w:rsid w:val="00993D1F"/>
    <w:rsid w:val="00993E6C"/>
    <w:rsid w:val="00993EBA"/>
    <w:rsid w:val="0099402E"/>
    <w:rsid w:val="00994096"/>
    <w:rsid w:val="009940CD"/>
    <w:rsid w:val="00994125"/>
    <w:rsid w:val="00994262"/>
    <w:rsid w:val="0099426C"/>
    <w:rsid w:val="009942E4"/>
    <w:rsid w:val="00994323"/>
    <w:rsid w:val="00994408"/>
    <w:rsid w:val="009944D1"/>
    <w:rsid w:val="009945B0"/>
    <w:rsid w:val="00994654"/>
    <w:rsid w:val="009946CD"/>
    <w:rsid w:val="0099472B"/>
    <w:rsid w:val="0099474D"/>
    <w:rsid w:val="0099496B"/>
    <w:rsid w:val="00994BBA"/>
    <w:rsid w:val="00994DB2"/>
    <w:rsid w:val="00994E9D"/>
    <w:rsid w:val="00994EA2"/>
    <w:rsid w:val="00994ED1"/>
    <w:rsid w:val="00994FCA"/>
    <w:rsid w:val="00994FFB"/>
    <w:rsid w:val="0099521D"/>
    <w:rsid w:val="0099535B"/>
    <w:rsid w:val="009953AD"/>
    <w:rsid w:val="009953DA"/>
    <w:rsid w:val="0099558B"/>
    <w:rsid w:val="009955B1"/>
    <w:rsid w:val="009955F1"/>
    <w:rsid w:val="009956E9"/>
    <w:rsid w:val="0099585B"/>
    <w:rsid w:val="009958B4"/>
    <w:rsid w:val="009958F0"/>
    <w:rsid w:val="00995912"/>
    <w:rsid w:val="00995981"/>
    <w:rsid w:val="00995A1B"/>
    <w:rsid w:val="00995AA0"/>
    <w:rsid w:val="0099603A"/>
    <w:rsid w:val="00996087"/>
    <w:rsid w:val="00996114"/>
    <w:rsid w:val="009961DC"/>
    <w:rsid w:val="00996387"/>
    <w:rsid w:val="009963F5"/>
    <w:rsid w:val="009967A4"/>
    <w:rsid w:val="009967FF"/>
    <w:rsid w:val="0099696E"/>
    <w:rsid w:val="00996A21"/>
    <w:rsid w:val="00996B44"/>
    <w:rsid w:val="00996BDE"/>
    <w:rsid w:val="00996BEA"/>
    <w:rsid w:val="00996C25"/>
    <w:rsid w:val="00996D55"/>
    <w:rsid w:val="00996E58"/>
    <w:rsid w:val="00996E93"/>
    <w:rsid w:val="00996FA2"/>
    <w:rsid w:val="009971B3"/>
    <w:rsid w:val="009971C5"/>
    <w:rsid w:val="0099751E"/>
    <w:rsid w:val="00997780"/>
    <w:rsid w:val="0099780D"/>
    <w:rsid w:val="00997879"/>
    <w:rsid w:val="00997A25"/>
    <w:rsid w:val="00997A4B"/>
    <w:rsid w:val="00997BF9"/>
    <w:rsid w:val="009A0093"/>
    <w:rsid w:val="009A00A5"/>
    <w:rsid w:val="009A0135"/>
    <w:rsid w:val="009A01EE"/>
    <w:rsid w:val="009A0241"/>
    <w:rsid w:val="009A02AF"/>
    <w:rsid w:val="009A03DA"/>
    <w:rsid w:val="009A064C"/>
    <w:rsid w:val="009A065F"/>
    <w:rsid w:val="009A06B5"/>
    <w:rsid w:val="009A07B3"/>
    <w:rsid w:val="009A08C0"/>
    <w:rsid w:val="009A097D"/>
    <w:rsid w:val="009A0AE3"/>
    <w:rsid w:val="009A0AF5"/>
    <w:rsid w:val="009A0BEC"/>
    <w:rsid w:val="009A0C92"/>
    <w:rsid w:val="009A0EBC"/>
    <w:rsid w:val="009A0EDC"/>
    <w:rsid w:val="009A1000"/>
    <w:rsid w:val="009A1002"/>
    <w:rsid w:val="009A115F"/>
    <w:rsid w:val="009A118C"/>
    <w:rsid w:val="009A11D6"/>
    <w:rsid w:val="009A11EB"/>
    <w:rsid w:val="009A11F8"/>
    <w:rsid w:val="009A11FB"/>
    <w:rsid w:val="009A1229"/>
    <w:rsid w:val="009A128B"/>
    <w:rsid w:val="009A1325"/>
    <w:rsid w:val="009A1915"/>
    <w:rsid w:val="009A1933"/>
    <w:rsid w:val="009A19FD"/>
    <w:rsid w:val="009A1A11"/>
    <w:rsid w:val="009A1B03"/>
    <w:rsid w:val="009A1BDF"/>
    <w:rsid w:val="009A1BED"/>
    <w:rsid w:val="009A1C52"/>
    <w:rsid w:val="009A1D25"/>
    <w:rsid w:val="009A1D66"/>
    <w:rsid w:val="009A1D90"/>
    <w:rsid w:val="009A2154"/>
    <w:rsid w:val="009A2222"/>
    <w:rsid w:val="009A22C5"/>
    <w:rsid w:val="009A22CE"/>
    <w:rsid w:val="009A22F7"/>
    <w:rsid w:val="009A2328"/>
    <w:rsid w:val="009A2350"/>
    <w:rsid w:val="009A237C"/>
    <w:rsid w:val="009A2479"/>
    <w:rsid w:val="009A2688"/>
    <w:rsid w:val="009A2693"/>
    <w:rsid w:val="009A296E"/>
    <w:rsid w:val="009A2AF2"/>
    <w:rsid w:val="009A2CA0"/>
    <w:rsid w:val="009A2D23"/>
    <w:rsid w:val="009A2EA7"/>
    <w:rsid w:val="009A2F06"/>
    <w:rsid w:val="009A2F68"/>
    <w:rsid w:val="009A3190"/>
    <w:rsid w:val="009A31DA"/>
    <w:rsid w:val="009A333D"/>
    <w:rsid w:val="009A357D"/>
    <w:rsid w:val="009A36F2"/>
    <w:rsid w:val="009A3747"/>
    <w:rsid w:val="009A3823"/>
    <w:rsid w:val="009A3859"/>
    <w:rsid w:val="009A389A"/>
    <w:rsid w:val="009A38FC"/>
    <w:rsid w:val="009A393F"/>
    <w:rsid w:val="009A3A2A"/>
    <w:rsid w:val="009A3A2E"/>
    <w:rsid w:val="009A3A85"/>
    <w:rsid w:val="009A3B40"/>
    <w:rsid w:val="009A3C68"/>
    <w:rsid w:val="009A3DFA"/>
    <w:rsid w:val="009A3F10"/>
    <w:rsid w:val="009A407A"/>
    <w:rsid w:val="009A4188"/>
    <w:rsid w:val="009A43CD"/>
    <w:rsid w:val="009A4529"/>
    <w:rsid w:val="009A45B2"/>
    <w:rsid w:val="009A47E7"/>
    <w:rsid w:val="009A486B"/>
    <w:rsid w:val="009A48E7"/>
    <w:rsid w:val="009A4996"/>
    <w:rsid w:val="009A4BA2"/>
    <w:rsid w:val="009A4D7B"/>
    <w:rsid w:val="009A50AC"/>
    <w:rsid w:val="009A5176"/>
    <w:rsid w:val="009A5231"/>
    <w:rsid w:val="009A5322"/>
    <w:rsid w:val="009A5503"/>
    <w:rsid w:val="009A5583"/>
    <w:rsid w:val="009A5602"/>
    <w:rsid w:val="009A560F"/>
    <w:rsid w:val="009A56A2"/>
    <w:rsid w:val="009A571F"/>
    <w:rsid w:val="009A5795"/>
    <w:rsid w:val="009A58D8"/>
    <w:rsid w:val="009A592E"/>
    <w:rsid w:val="009A5A11"/>
    <w:rsid w:val="009A5D28"/>
    <w:rsid w:val="009A5D29"/>
    <w:rsid w:val="009A5D77"/>
    <w:rsid w:val="009A5DD4"/>
    <w:rsid w:val="009A5F3F"/>
    <w:rsid w:val="009A5F79"/>
    <w:rsid w:val="009A5F9A"/>
    <w:rsid w:val="009A5FB0"/>
    <w:rsid w:val="009A5FD6"/>
    <w:rsid w:val="009A601A"/>
    <w:rsid w:val="009A603C"/>
    <w:rsid w:val="009A6124"/>
    <w:rsid w:val="009A6309"/>
    <w:rsid w:val="009A630F"/>
    <w:rsid w:val="009A6350"/>
    <w:rsid w:val="009A6368"/>
    <w:rsid w:val="009A6539"/>
    <w:rsid w:val="009A656F"/>
    <w:rsid w:val="009A6662"/>
    <w:rsid w:val="009A66AE"/>
    <w:rsid w:val="009A6777"/>
    <w:rsid w:val="009A67E3"/>
    <w:rsid w:val="009A6AB4"/>
    <w:rsid w:val="009A6BA5"/>
    <w:rsid w:val="009A6BC1"/>
    <w:rsid w:val="009A6BD3"/>
    <w:rsid w:val="009A6C2D"/>
    <w:rsid w:val="009A6C6D"/>
    <w:rsid w:val="009A6C79"/>
    <w:rsid w:val="009A6CED"/>
    <w:rsid w:val="009A6D92"/>
    <w:rsid w:val="009A6E8D"/>
    <w:rsid w:val="009A6F7B"/>
    <w:rsid w:val="009A7074"/>
    <w:rsid w:val="009A709E"/>
    <w:rsid w:val="009A70A0"/>
    <w:rsid w:val="009A70A8"/>
    <w:rsid w:val="009A70DC"/>
    <w:rsid w:val="009A7275"/>
    <w:rsid w:val="009A72E6"/>
    <w:rsid w:val="009A7308"/>
    <w:rsid w:val="009A73BD"/>
    <w:rsid w:val="009A783B"/>
    <w:rsid w:val="009A78EF"/>
    <w:rsid w:val="009A796B"/>
    <w:rsid w:val="009A7986"/>
    <w:rsid w:val="009A79B7"/>
    <w:rsid w:val="009A7A1F"/>
    <w:rsid w:val="009A7C5F"/>
    <w:rsid w:val="009A7D0E"/>
    <w:rsid w:val="009A7D2B"/>
    <w:rsid w:val="009A7DEC"/>
    <w:rsid w:val="009A7F95"/>
    <w:rsid w:val="009B00B1"/>
    <w:rsid w:val="009B0131"/>
    <w:rsid w:val="009B0136"/>
    <w:rsid w:val="009B0307"/>
    <w:rsid w:val="009B043E"/>
    <w:rsid w:val="009B0466"/>
    <w:rsid w:val="009B050E"/>
    <w:rsid w:val="009B0693"/>
    <w:rsid w:val="009B06EB"/>
    <w:rsid w:val="009B077F"/>
    <w:rsid w:val="009B084C"/>
    <w:rsid w:val="009B0A47"/>
    <w:rsid w:val="009B0AF3"/>
    <w:rsid w:val="009B0C64"/>
    <w:rsid w:val="009B0C81"/>
    <w:rsid w:val="009B0CCB"/>
    <w:rsid w:val="009B0E22"/>
    <w:rsid w:val="009B0E7C"/>
    <w:rsid w:val="009B0EA4"/>
    <w:rsid w:val="009B0F3C"/>
    <w:rsid w:val="009B0F3F"/>
    <w:rsid w:val="009B10A7"/>
    <w:rsid w:val="009B10F4"/>
    <w:rsid w:val="009B1103"/>
    <w:rsid w:val="009B1242"/>
    <w:rsid w:val="009B12D5"/>
    <w:rsid w:val="009B14D4"/>
    <w:rsid w:val="009B14DD"/>
    <w:rsid w:val="009B1538"/>
    <w:rsid w:val="009B15EB"/>
    <w:rsid w:val="009B168A"/>
    <w:rsid w:val="009B1708"/>
    <w:rsid w:val="009B18AD"/>
    <w:rsid w:val="009B19D1"/>
    <w:rsid w:val="009B1B5C"/>
    <w:rsid w:val="009B1C2C"/>
    <w:rsid w:val="009B1C69"/>
    <w:rsid w:val="009B1CB5"/>
    <w:rsid w:val="009B1E65"/>
    <w:rsid w:val="009B1EC2"/>
    <w:rsid w:val="009B2002"/>
    <w:rsid w:val="009B20A7"/>
    <w:rsid w:val="009B20EC"/>
    <w:rsid w:val="009B2135"/>
    <w:rsid w:val="009B2165"/>
    <w:rsid w:val="009B2254"/>
    <w:rsid w:val="009B22D2"/>
    <w:rsid w:val="009B2334"/>
    <w:rsid w:val="009B23D5"/>
    <w:rsid w:val="009B2443"/>
    <w:rsid w:val="009B2484"/>
    <w:rsid w:val="009B2535"/>
    <w:rsid w:val="009B260C"/>
    <w:rsid w:val="009B271E"/>
    <w:rsid w:val="009B27A1"/>
    <w:rsid w:val="009B282D"/>
    <w:rsid w:val="009B28FF"/>
    <w:rsid w:val="009B2A27"/>
    <w:rsid w:val="009B2BB7"/>
    <w:rsid w:val="009B2BF1"/>
    <w:rsid w:val="009B2C59"/>
    <w:rsid w:val="009B2C5D"/>
    <w:rsid w:val="009B2DDA"/>
    <w:rsid w:val="009B2DE1"/>
    <w:rsid w:val="009B2DF6"/>
    <w:rsid w:val="009B2E0C"/>
    <w:rsid w:val="009B2ECB"/>
    <w:rsid w:val="009B2FCF"/>
    <w:rsid w:val="009B3419"/>
    <w:rsid w:val="009B3467"/>
    <w:rsid w:val="009B350E"/>
    <w:rsid w:val="009B3536"/>
    <w:rsid w:val="009B36B1"/>
    <w:rsid w:val="009B37F0"/>
    <w:rsid w:val="009B397A"/>
    <w:rsid w:val="009B3A2B"/>
    <w:rsid w:val="009B3ACA"/>
    <w:rsid w:val="009B3B0F"/>
    <w:rsid w:val="009B3B80"/>
    <w:rsid w:val="009B3C57"/>
    <w:rsid w:val="009B3D97"/>
    <w:rsid w:val="009B3DF5"/>
    <w:rsid w:val="009B3E18"/>
    <w:rsid w:val="009B3E6C"/>
    <w:rsid w:val="009B3F15"/>
    <w:rsid w:val="009B403B"/>
    <w:rsid w:val="009B42E7"/>
    <w:rsid w:val="009B431B"/>
    <w:rsid w:val="009B43B7"/>
    <w:rsid w:val="009B44CF"/>
    <w:rsid w:val="009B44E2"/>
    <w:rsid w:val="009B4795"/>
    <w:rsid w:val="009B4899"/>
    <w:rsid w:val="009B49ED"/>
    <w:rsid w:val="009B49FE"/>
    <w:rsid w:val="009B4A9E"/>
    <w:rsid w:val="009B4AF8"/>
    <w:rsid w:val="009B4B72"/>
    <w:rsid w:val="009B4D78"/>
    <w:rsid w:val="009B4D9C"/>
    <w:rsid w:val="009B4E92"/>
    <w:rsid w:val="009B5134"/>
    <w:rsid w:val="009B5217"/>
    <w:rsid w:val="009B53D2"/>
    <w:rsid w:val="009B555E"/>
    <w:rsid w:val="009B5677"/>
    <w:rsid w:val="009B5860"/>
    <w:rsid w:val="009B58FC"/>
    <w:rsid w:val="009B5995"/>
    <w:rsid w:val="009B5B53"/>
    <w:rsid w:val="009B5BF9"/>
    <w:rsid w:val="009B5FD6"/>
    <w:rsid w:val="009B5FF8"/>
    <w:rsid w:val="009B6067"/>
    <w:rsid w:val="009B60DB"/>
    <w:rsid w:val="009B6161"/>
    <w:rsid w:val="009B6234"/>
    <w:rsid w:val="009B6318"/>
    <w:rsid w:val="009B6371"/>
    <w:rsid w:val="009B65A7"/>
    <w:rsid w:val="009B670A"/>
    <w:rsid w:val="009B6734"/>
    <w:rsid w:val="009B67D0"/>
    <w:rsid w:val="009B6951"/>
    <w:rsid w:val="009B6992"/>
    <w:rsid w:val="009B6A29"/>
    <w:rsid w:val="009B6BA3"/>
    <w:rsid w:val="009B6D4C"/>
    <w:rsid w:val="009B6D8E"/>
    <w:rsid w:val="009B6E2A"/>
    <w:rsid w:val="009B7204"/>
    <w:rsid w:val="009B7396"/>
    <w:rsid w:val="009B7524"/>
    <w:rsid w:val="009B7556"/>
    <w:rsid w:val="009B77DB"/>
    <w:rsid w:val="009B78BC"/>
    <w:rsid w:val="009B7995"/>
    <w:rsid w:val="009B7BD5"/>
    <w:rsid w:val="009B7DFD"/>
    <w:rsid w:val="009B7F0A"/>
    <w:rsid w:val="009C0189"/>
    <w:rsid w:val="009C02D7"/>
    <w:rsid w:val="009C03F1"/>
    <w:rsid w:val="009C041E"/>
    <w:rsid w:val="009C0491"/>
    <w:rsid w:val="009C04BB"/>
    <w:rsid w:val="009C0644"/>
    <w:rsid w:val="009C078A"/>
    <w:rsid w:val="009C095A"/>
    <w:rsid w:val="009C0964"/>
    <w:rsid w:val="009C0A28"/>
    <w:rsid w:val="009C0A33"/>
    <w:rsid w:val="009C0AB3"/>
    <w:rsid w:val="009C0ABE"/>
    <w:rsid w:val="009C0D4A"/>
    <w:rsid w:val="009C0FEC"/>
    <w:rsid w:val="009C0FF7"/>
    <w:rsid w:val="009C1037"/>
    <w:rsid w:val="009C107A"/>
    <w:rsid w:val="009C13BD"/>
    <w:rsid w:val="009C13D4"/>
    <w:rsid w:val="009C14E9"/>
    <w:rsid w:val="009C1791"/>
    <w:rsid w:val="009C183C"/>
    <w:rsid w:val="009C195C"/>
    <w:rsid w:val="009C198E"/>
    <w:rsid w:val="009C1B17"/>
    <w:rsid w:val="009C1BF9"/>
    <w:rsid w:val="009C1C92"/>
    <w:rsid w:val="009C200D"/>
    <w:rsid w:val="009C20D0"/>
    <w:rsid w:val="009C21D5"/>
    <w:rsid w:val="009C221F"/>
    <w:rsid w:val="009C223B"/>
    <w:rsid w:val="009C2303"/>
    <w:rsid w:val="009C2390"/>
    <w:rsid w:val="009C2564"/>
    <w:rsid w:val="009C2578"/>
    <w:rsid w:val="009C2631"/>
    <w:rsid w:val="009C26CD"/>
    <w:rsid w:val="009C2930"/>
    <w:rsid w:val="009C2968"/>
    <w:rsid w:val="009C2A0D"/>
    <w:rsid w:val="009C2A39"/>
    <w:rsid w:val="009C2DDE"/>
    <w:rsid w:val="009C2E8E"/>
    <w:rsid w:val="009C2F59"/>
    <w:rsid w:val="009C307A"/>
    <w:rsid w:val="009C31E7"/>
    <w:rsid w:val="009C329D"/>
    <w:rsid w:val="009C33FA"/>
    <w:rsid w:val="009C3672"/>
    <w:rsid w:val="009C3919"/>
    <w:rsid w:val="009C393E"/>
    <w:rsid w:val="009C3941"/>
    <w:rsid w:val="009C3953"/>
    <w:rsid w:val="009C3A61"/>
    <w:rsid w:val="009C3B2D"/>
    <w:rsid w:val="009C3BC1"/>
    <w:rsid w:val="009C3CD3"/>
    <w:rsid w:val="009C40BA"/>
    <w:rsid w:val="009C4199"/>
    <w:rsid w:val="009C42D9"/>
    <w:rsid w:val="009C438A"/>
    <w:rsid w:val="009C445B"/>
    <w:rsid w:val="009C4596"/>
    <w:rsid w:val="009C4659"/>
    <w:rsid w:val="009C483E"/>
    <w:rsid w:val="009C4CDD"/>
    <w:rsid w:val="009C4CE2"/>
    <w:rsid w:val="009C4D42"/>
    <w:rsid w:val="009C4DC1"/>
    <w:rsid w:val="009C4DFC"/>
    <w:rsid w:val="009C4F07"/>
    <w:rsid w:val="009C4F1D"/>
    <w:rsid w:val="009C4FE3"/>
    <w:rsid w:val="009C50AA"/>
    <w:rsid w:val="009C50B8"/>
    <w:rsid w:val="009C50FC"/>
    <w:rsid w:val="009C51BF"/>
    <w:rsid w:val="009C5283"/>
    <w:rsid w:val="009C5407"/>
    <w:rsid w:val="009C5428"/>
    <w:rsid w:val="009C56D6"/>
    <w:rsid w:val="009C5749"/>
    <w:rsid w:val="009C57EA"/>
    <w:rsid w:val="009C58AF"/>
    <w:rsid w:val="009C5967"/>
    <w:rsid w:val="009C5AC8"/>
    <w:rsid w:val="009C5B96"/>
    <w:rsid w:val="009C5BEC"/>
    <w:rsid w:val="009C5BF8"/>
    <w:rsid w:val="009C5C2B"/>
    <w:rsid w:val="009C5C8D"/>
    <w:rsid w:val="009C5CCD"/>
    <w:rsid w:val="009C5D18"/>
    <w:rsid w:val="009C5DAD"/>
    <w:rsid w:val="009C5F8D"/>
    <w:rsid w:val="009C60FB"/>
    <w:rsid w:val="009C616A"/>
    <w:rsid w:val="009C6255"/>
    <w:rsid w:val="009C627B"/>
    <w:rsid w:val="009C6381"/>
    <w:rsid w:val="009C6438"/>
    <w:rsid w:val="009C6462"/>
    <w:rsid w:val="009C6495"/>
    <w:rsid w:val="009C64B6"/>
    <w:rsid w:val="009C66A7"/>
    <w:rsid w:val="009C67F1"/>
    <w:rsid w:val="009C6819"/>
    <w:rsid w:val="009C6A83"/>
    <w:rsid w:val="009C6B02"/>
    <w:rsid w:val="009C6B22"/>
    <w:rsid w:val="009C6C4B"/>
    <w:rsid w:val="009C6C63"/>
    <w:rsid w:val="009C6C93"/>
    <w:rsid w:val="009C6CA3"/>
    <w:rsid w:val="009C6D37"/>
    <w:rsid w:val="009C6DB2"/>
    <w:rsid w:val="009C6E8A"/>
    <w:rsid w:val="009C7047"/>
    <w:rsid w:val="009C70A7"/>
    <w:rsid w:val="009C71E8"/>
    <w:rsid w:val="009C7233"/>
    <w:rsid w:val="009C74DA"/>
    <w:rsid w:val="009C75EE"/>
    <w:rsid w:val="009C7AB9"/>
    <w:rsid w:val="009C7BC2"/>
    <w:rsid w:val="009C7C02"/>
    <w:rsid w:val="009C7C9F"/>
    <w:rsid w:val="009C7CB5"/>
    <w:rsid w:val="009C7D73"/>
    <w:rsid w:val="009C7D80"/>
    <w:rsid w:val="009C7E2A"/>
    <w:rsid w:val="009C7E57"/>
    <w:rsid w:val="009C7E94"/>
    <w:rsid w:val="009C7EA9"/>
    <w:rsid w:val="009C7F15"/>
    <w:rsid w:val="009D0073"/>
    <w:rsid w:val="009D0320"/>
    <w:rsid w:val="009D0345"/>
    <w:rsid w:val="009D0355"/>
    <w:rsid w:val="009D0749"/>
    <w:rsid w:val="009D079F"/>
    <w:rsid w:val="009D07B9"/>
    <w:rsid w:val="009D07C7"/>
    <w:rsid w:val="009D08F5"/>
    <w:rsid w:val="009D091C"/>
    <w:rsid w:val="009D0A2E"/>
    <w:rsid w:val="009D0AB6"/>
    <w:rsid w:val="009D0C74"/>
    <w:rsid w:val="009D0E00"/>
    <w:rsid w:val="009D0E7C"/>
    <w:rsid w:val="009D107E"/>
    <w:rsid w:val="009D10AB"/>
    <w:rsid w:val="009D1167"/>
    <w:rsid w:val="009D11A6"/>
    <w:rsid w:val="009D1266"/>
    <w:rsid w:val="009D129E"/>
    <w:rsid w:val="009D14A6"/>
    <w:rsid w:val="009D162D"/>
    <w:rsid w:val="009D16B7"/>
    <w:rsid w:val="009D182F"/>
    <w:rsid w:val="009D191C"/>
    <w:rsid w:val="009D1AEE"/>
    <w:rsid w:val="009D1B18"/>
    <w:rsid w:val="009D1BA6"/>
    <w:rsid w:val="009D1BBC"/>
    <w:rsid w:val="009D1BBE"/>
    <w:rsid w:val="009D1C02"/>
    <w:rsid w:val="009D1C0A"/>
    <w:rsid w:val="009D1C22"/>
    <w:rsid w:val="009D1F3A"/>
    <w:rsid w:val="009D1F6B"/>
    <w:rsid w:val="009D1FA1"/>
    <w:rsid w:val="009D201F"/>
    <w:rsid w:val="009D2193"/>
    <w:rsid w:val="009D2194"/>
    <w:rsid w:val="009D219B"/>
    <w:rsid w:val="009D2245"/>
    <w:rsid w:val="009D22A7"/>
    <w:rsid w:val="009D2316"/>
    <w:rsid w:val="009D2395"/>
    <w:rsid w:val="009D23BD"/>
    <w:rsid w:val="009D241D"/>
    <w:rsid w:val="009D24A3"/>
    <w:rsid w:val="009D24E0"/>
    <w:rsid w:val="009D24E3"/>
    <w:rsid w:val="009D2644"/>
    <w:rsid w:val="009D2699"/>
    <w:rsid w:val="009D271E"/>
    <w:rsid w:val="009D2769"/>
    <w:rsid w:val="009D28A6"/>
    <w:rsid w:val="009D2942"/>
    <w:rsid w:val="009D298C"/>
    <w:rsid w:val="009D2A01"/>
    <w:rsid w:val="009D2A67"/>
    <w:rsid w:val="009D2A83"/>
    <w:rsid w:val="009D2B99"/>
    <w:rsid w:val="009D2C78"/>
    <w:rsid w:val="009D2D7E"/>
    <w:rsid w:val="009D2E3C"/>
    <w:rsid w:val="009D3029"/>
    <w:rsid w:val="009D30F0"/>
    <w:rsid w:val="009D3125"/>
    <w:rsid w:val="009D3256"/>
    <w:rsid w:val="009D3679"/>
    <w:rsid w:val="009D3745"/>
    <w:rsid w:val="009D37BA"/>
    <w:rsid w:val="009D38D0"/>
    <w:rsid w:val="009D3A11"/>
    <w:rsid w:val="009D3A12"/>
    <w:rsid w:val="009D3A18"/>
    <w:rsid w:val="009D3AB9"/>
    <w:rsid w:val="009D3BB0"/>
    <w:rsid w:val="009D3D49"/>
    <w:rsid w:val="009D3E26"/>
    <w:rsid w:val="009D4061"/>
    <w:rsid w:val="009D4163"/>
    <w:rsid w:val="009D41F4"/>
    <w:rsid w:val="009D4268"/>
    <w:rsid w:val="009D4374"/>
    <w:rsid w:val="009D43AD"/>
    <w:rsid w:val="009D4624"/>
    <w:rsid w:val="009D46A8"/>
    <w:rsid w:val="009D47BF"/>
    <w:rsid w:val="009D4902"/>
    <w:rsid w:val="009D49F4"/>
    <w:rsid w:val="009D4A91"/>
    <w:rsid w:val="009D4B0B"/>
    <w:rsid w:val="009D4B15"/>
    <w:rsid w:val="009D4B17"/>
    <w:rsid w:val="009D4B54"/>
    <w:rsid w:val="009D4E44"/>
    <w:rsid w:val="009D5208"/>
    <w:rsid w:val="009D524D"/>
    <w:rsid w:val="009D52B8"/>
    <w:rsid w:val="009D5325"/>
    <w:rsid w:val="009D535D"/>
    <w:rsid w:val="009D53A4"/>
    <w:rsid w:val="009D5445"/>
    <w:rsid w:val="009D5563"/>
    <w:rsid w:val="009D5895"/>
    <w:rsid w:val="009D5954"/>
    <w:rsid w:val="009D5ADC"/>
    <w:rsid w:val="009D5B48"/>
    <w:rsid w:val="009D5BAC"/>
    <w:rsid w:val="009D5C05"/>
    <w:rsid w:val="009D5C17"/>
    <w:rsid w:val="009D5D55"/>
    <w:rsid w:val="009D5E9F"/>
    <w:rsid w:val="009D5F85"/>
    <w:rsid w:val="009D5FA8"/>
    <w:rsid w:val="009D5FE2"/>
    <w:rsid w:val="009D6022"/>
    <w:rsid w:val="009D6070"/>
    <w:rsid w:val="009D60F6"/>
    <w:rsid w:val="009D61EB"/>
    <w:rsid w:val="009D6237"/>
    <w:rsid w:val="009D639B"/>
    <w:rsid w:val="009D651F"/>
    <w:rsid w:val="009D67D4"/>
    <w:rsid w:val="009D6926"/>
    <w:rsid w:val="009D6981"/>
    <w:rsid w:val="009D6A3C"/>
    <w:rsid w:val="009D6BB1"/>
    <w:rsid w:val="009D6BE6"/>
    <w:rsid w:val="009D6C1C"/>
    <w:rsid w:val="009D6C41"/>
    <w:rsid w:val="009D6D99"/>
    <w:rsid w:val="009D6DD2"/>
    <w:rsid w:val="009D6F20"/>
    <w:rsid w:val="009D6F44"/>
    <w:rsid w:val="009D6F4D"/>
    <w:rsid w:val="009D6FAD"/>
    <w:rsid w:val="009D70F1"/>
    <w:rsid w:val="009D7109"/>
    <w:rsid w:val="009D758E"/>
    <w:rsid w:val="009D7591"/>
    <w:rsid w:val="009D75DE"/>
    <w:rsid w:val="009D7655"/>
    <w:rsid w:val="009D76D7"/>
    <w:rsid w:val="009D782A"/>
    <w:rsid w:val="009D7836"/>
    <w:rsid w:val="009D7935"/>
    <w:rsid w:val="009D7942"/>
    <w:rsid w:val="009D79F3"/>
    <w:rsid w:val="009D7BB3"/>
    <w:rsid w:val="009D7C5C"/>
    <w:rsid w:val="009D7D93"/>
    <w:rsid w:val="009D7F27"/>
    <w:rsid w:val="009D7FD2"/>
    <w:rsid w:val="009D7FF3"/>
    <w:rsid w:val="009E0067"/>
    <w:rsid w:val="009E0159"/>
    <w:rsid w:val="009E01CC"/>
    <w:rsid w:val="009E0258"/>
    <w:rsid w:val="009E0294"/>
    <w:rsid w:val="009E0412"/>
    <w:rsid w:val="009E050F"/>
    <w:rsid w:val="009E0630"/>
    <w:rsid w:val="009E0647"/>
    <w:rsid w:val="009E07B0"/>
    <w:rsid w:val="009E0830"/>
    <w:rsid w:val="009E08A1"/>
    <w:rsid w:val="009E08D7"/>
    <w:rsid w:val="009E09E0"/>
    <w:rsid w:val="009E0ADD"/>
    <w:rsid w:val="009E0BC1"/>
    <w:rsid w:val="009E0BC5"/>
    <w:rsid w:val="009E0C93"/>
    <w:rsid w:val="009E0D2E"/>
    <w:rsid w:val="009E0DB1"/>
    <w:rsid w:val="009E1042"/>
    <w:rsid w:val="009E143F"/>
    <w:rsid w:val="009E1458"/>
    <w:rsid w:val="009E1551"/>
    <w:rsid w:val="009E156E"/>
    <w:rsid w:val="009E1598"/>
    <w:rsid w:val="009E164F"/>
    <w:rsid w:val="009E1650"/>
    <w:rsid w:val="009E1984"/>
    <w:rsid w:val="009E19DB"/>
    <w:rsid w:val="009E1B91"/>
    <w:rsid w:val="009E1BE0"/>
    <w:rsid w:val="009E1CBF"/>
    <w:rsid w:val="009E1E47"/>
    <w:rsid w:val="009E1EA2"/>
    <w:rsid w:val="009E1F1F"/>
    <w:rsid w:val="009E204A"/>
    <w:rsid w:val="009E215A"/>
    <w:rsid w:val="009E21A9"/>
    <w:rsid w:val="009E2278"/>
    <w:rsid w:val="009E23D9"/>
    <w:rsid w:val="009E247D"/>
    <w:rsid w:val="009E247E"/>
    <w:rsid w:val="009E26E2"/>
    <w:rsid w:val="009E28AB"/>
    <w:rsid w:val="009E29C7"/>
    <w:rsid w:val="009E2A06"/>
    <w:rsid w:val="009E2A71"/>
    <w:rsid w:val="009E2AAD"/>
    <w:rsid w:val="009E2BED"/>
    <w:rsid w:val="009E2C32"/>
    <w:rsid w:val="009E2C4B"/>
    <w:rsid w:val="009E2C4E"/>
    <w:rsid w:val="009E2E86"/>
    <w:rsid w:val="009E2EE4"/>
    <w:rsid w:val="009E2EE9"/>
    <w:rsid w:val="009E2EEB"/>
    <w:rsid w:val="009E2FDD"/>
    <w:rsid w:val="009E300E"/>
    <w:rsid w:val="009E310F"/>
    <w:rsid w:val="009E31DB"/>
    <w:rsid w:val="009E35DE"/>
    <w:rsid w:val="009E35E3"/>
    <w:rsid w:val="009E3602"/>
    <w:rsid w:val="009E368D"/>
    <w:rsid w:val="009E371D"/>
    <w:rsid w:val="009E372C"/>
    <w:rsid w:val="009E3792"/>
    <w:rsid w:val="009E3825"/>
    <w:rsid w:val="009E3A57"/>
    <w:rsid w:val="009E3BA1"/>
    <w:rsid w:val="009E3C28"/>
    <w:rsid w:val="009E3E40"/>
    <w:rsid w:val="009E4091"/>
    <w:rsid w:val="009E410E"/>
    <w:rsid w:val="009E41BB"/>
    <w:rsid w:val="009E41CF"/>
    <w:rsid w:val="009E42A6"/>
    <w:rsid w:val="009E42E6"/>
    <w:rsid w:val="009E43C3"/>
    <w:rsid w:val="009E43D4"/>
    <w:rsid w:val="009E446C"/>
    <w:rsid w:val="009E44B9"/>
    <w:rsid w:val="009E45FD"/>
    <w:rsid w:val="009E4625"/>
    <w:rsid w:val="009E46A5"/>
    <w:rsid w:val="009E48F0"/>
    <w:rsid w:val="009E4967"/>
    <w:rsid w:val="009E4A1A"/>
    <w:rsid w:val="009E4AB4"/>
    <w:rsid w:val="009E4B02"/>
    <w:rsid w:val="009E4B5D"/>
    <w:rsid w:val="009E4BFA"/>
    <w:rsid w:val="009E4C7D"/>
    <w:rsid w:val="009E4D06"/>
    <w:rsid w:val="009E4D18"/>
    <w:rsid w:val="009E4DA4"/>
    <w:rsid w:val="009E4DDB"/>
    <w:rsid w:val="009E4DE3"/>
    <w:rsid w:val="009E4ED3"/>
    <w:rsid w:val="009E4EE8"/>
    <w:rsid w:val="009E4EF0"/>
    <w:rsid w:val="009E4F0A"/>
    <w:rsid w:val="009E4F98"/>
    <w:rsid w:val="009E5205"/>
    <w:rsid w:val="009E5230"/>
    <w:rsid w:val="009E5233"/>
    <w:rsid w:val="009E535D"/>
    <w:rsid w:val="009E53DB"/>
    <w:rsid w:val="009E556F"/>
    <w:rsid w:val="009E564C"/>
    <w:rsid w:val="009E585A"/>
    <w:rsid w:val="009E58DB"/>
    <w:rsid w:val="009E59CC"/>
    <w:rsid w:val="009E5A33"/>
    <w:rsid w:val="009E5A58"/>
    <w:rsid w:val="009E5AC1"/>
    <w:rsid w:val="009E5BA3"/>
    <w:rsid w:val="009E5D88"/>
    <w:rsid w:val="009E5DC6"/>
    <w:rsid w:val="009E5E0F"/>
    <w:rsid w:val="009E5EE2"/>
    <w:rsid w:val="009E5F55"/>
    <w:rsid w:val="009E607A"/>
    <w:rsid w:val="009E614F"/>
    <w:rsid w:val="009E6291"/>
    <w:rsid w:val="009E63C5"/>
    <w:rsid w:val="009E66E7"/>
    <w:rsid w:val="009E6981"/>
    <w:rsid w:val="009E69C0"/>
    <w:rsid w:val="009E6B1D"/>
    <w:rsid w:val="009E6C05"/>
    <w:rsid w:val="009E6C28"/>
    <w:rsid w:val="009E6C3C"/>
    <w:rsid w:val="009E6C5A"/>
    <w:rsid w:val="009E6CC4"/>
    <w:rsid w:val="009E6CCF"/>
    <w:rsid w:val="009E6D3D"/>
    <w:rsid w:val="009E6E37"/>
    <w:rsid w:val="009E6F45"/>
    <w:rsid w:val="009E6FCA"/>
    <w:rsid w:val="009E6FF8"/>
    <w:rsid w:val="009E7154"/>
    <w:rsid w:val="009E749A"/>
    <w:rsid w:val="009E763A"/>
    <w:rsid w:val="009E772F"/>
    <w:rsid w:val="009E78C6"/>
    <w:rsid w:val="009E7929"/>
    <w:rsid w:val="009E7937"/>
    <w:rsid w:val="009E794A"/>
    <w:rsid w:val="009E7984"/>
    <w:rsid w:val="009E7989"/>
    <w:rsid w:val="009E79F6"/>
    <w:rsid w:val="009E7A22"/>
    <w:rsid w:val="009E7A2A"/>
    <w:rsid w:val="009E7AB2"/>
    <w:rsid w:val="009E7BB7"/>
    <w:rsid w:val="009E7CF5"/>
    <w:rsid w:val="009E7DAA"/>
    <w:rsid w:val="009E7E3C"/>
    <w:rsid w:val="009E7E9C"/>
    <w:rsid w:val="009E7F13"/>
    <w:rsid w:val="009F0157"/>
    <w:rsid w:val="009F046F"/>
    <w:rsid w:val="009F047D"/>
    <w:rsid w:val="009F048E"/>
    <w:rsid w:val="009F04AC"/>
    <w:rsid w:val="009F0666"/>
    <w:rsid w:val="009F06C6"/>
    <w:rsid w:val="009F076D"/>
    <w:rsid w:val="009F0791"/>
    <w:rsid w:val="009F07BA"/>
    <w:rsid w:val="009F07C6"/>
    <w:rsid w:val="009F089C"/>
    <w:rsid w:val="009F0919"/>
    <w:rsid w:val="009F0AA4"/>
    <w:rsid w:val="009F0B75"/>
    <w:rsid w:val="009F0BA4"/>
    <w:rsid w:val="009F0C6A"/>
    <w:rsid w:val="009F0D0C"/>
    <w:rsid w:val="009F0D15"/>
    <w:rsid w:val="009F0D78"/>
    <w:rsid w:val="009F0E87"/>
    <w:rsid w:val="009F0EAB"/>
    <w:rsid w:val="009F0FCA"/>
    <w:rsid w:val="009F1057"/>
    <w:rsid w:val="009F1081"/>
    <w:rsid w:val="009F10B1"/>
    <w:rsid w:val="009F1235"/>
    <w:rsid w:val="009F13AC"/>
    <w:rsid w:val="009F149F"/>
    <w:rsid w:val="009F1639"/>
    <w:rsid w:val="009F17DA"/>
    <w:rsid w:val="009F1984"/>
    <w:rsid w:val="009F19AF"/>
    <w:rsid w:val="009F1BB1"/>
    <w:rsid w:val="009F1BF1"/>
    <w:rsid w:val="009F1CBD"/>
    <w:rsid w:val="009F1D11"/>
    <w:rsid w:val="009F1E9C"/>
    <w:rsid w:val="009F1F17"/>
    <w:rsid w:val="009F1FB6"/>
    <w:rsid w:val="009F2047"/>
    <w:rsid w:val="009F20B0"/>
    <w:rsid w:val="009F20CF"/>
    <w:rsid w:val="009F21E2"/>
    <w:rsid w:val="009F2210"/>
    <w:rsid w:val="009F225C"/>
    <w:rsid w:val="009F237C"/>
    <w:rsid w:val="009F2421"/>
    <w:rsid w:val="009F245E"/>
    <w:rsid w:val="009F2535"/>
    <w:rsid w:val="009F253C"/>
    <w:rsid w:val="009F28DB"/>
    <w:rsid w:val="009F29BE"/>
    <w:rsid w:val="009F2A53"/>
    <w:rsid w:val="009F2B0E"/>
    <w:rsid w:val="009F2C74"/>
    <w:rsid w:val="009F2CDA"/>
    <w:rsid w:val="009F2CE8"/>
    <w:rsid w:val="009F2DE0"/>
    <w:rsid w:val="009F2E24"/>
    <w:rsid w:val="009F2E35"/>
    <w:rsid w:val="009F2E39"/>
    <w:rsid w:val="009F2E60"/>
    <w:rsid w:val="009F2E9F"/>
    <w:rsid w:val="009F311F"/>
    <w:rsid w:val="009F320F"/>
    <w:rsid w:val="009F324D"/>
    <w:rsid w:val="009F33B0"/>
    <w:rsid w:val="009F3590"/>
    <w:rsid w:val="009F35D7"/>
    <w:rsid w:val="009F38F3"/>
    <w:rsid w:val="009F3941"/>
    <w:rsid w:val="009F3992"/>
    <w:rsid w:val="009F3A1F"/>
    <w:rsid w:val="009F3B35"/>
    <w:rsid w:val="009F3B40"/>
    <w:rsid w:val="009F3B76"/>
    <w:rsid w:val="009F3BAF"/>
    <w:rsid w:val="009F3C56"/>
    <w:rsid w:val="009F3CF5"/>
    <w:rsid w:val="009F3D4B"/>
    <w:rsid w:val="009F405A"/>
    <w:rsid w:val="009F40C9"/>
    <w:rsid w:val="009F4191"/>
    <w:rsid w:val="009F41DA"/>
    <w:rsid w:val="009F434E"/>
    <w:rsid w:val="009F43C4"/>
    <w:rsid w:val="009F441B"/>
    <w:rsid w:val="009F45A4"/>
    <w:rsid w:val="009F464E"/>
    <w:rsid w:val="009F47F9"/>
    <w:rsid w:val="009F482B"/>
    <w:rsid w:val="009F49E0"/>
    <w:rsid w:val="009F49E9"/>
    <w:rsid w:val="009F4AA9"/>
    <w:rsid w:val="009F4C23"/>
    <w:rsid w:val="009F4C6E"/>
    <w:rsid w:val="009F4D8A"/>
    <w:rsid w:val="009F4DE4"/>
    <w:rsid w:val="009F4DF0"/>
    <w:rsid w:val="009F4F3A"/>
    <w:rsid w:val="009F4F6E"/>
    <w:rsid w:val="009F4F82"/>
    <w:rsid w:val="009F50F0"/>
    <w:rsid w:val="009F5121"/>
    <w:rsid w:val="009F513F"/>
    <w:rsid w:val="009F52DA"/>
    <w:rsid w:val="009F52E4"/>
    <w:rsid w:val="009F53B8"/>
    <w:rsid w:val="009F53ED"/>
    <w:rsid w:val="009F541F"/>
    <w:rsid w:val="009F5435"/>
    <w:rsid w:val="009F54A0"/>
    <w:rsid w:val="009F5555"/>
    <w:rsid w:val="009F5569"/>
    <w:rsid w:val="009F5619"/>
    <w:rsid w:val="009F566B"/>
    <w:rsid w:val="009F56B7"/>
    <w:rsid w:val="009F56E4"/>
    <w:rsid w:val="009F56EC"/>
    <w:rsid w:val="009F5705"/>
    <w:rsid w:val="009F571B"/>
    <w:rsid w:val="009F5726"/>
    <w:rsid w:val="009F57AC"/>
    <w:rsid w:val="009F590F"/>
    <w:rsid w:val="009F5AAF"/>
    <w:rsid w:val="009F5B2E"/>
    <w:rsid w:val="009F5BBF"/>
    <w:rsid w:val="009F5C6E"/>
    <w:rsid w:val="009F5E6E"/>
    <w:rsid w:val="009F621E"/>
    <w:rsid w:val="009F623F"/>
    <w:rsid w:val="009F62A9"/>
    <w:rsid w:val="009F63AB"/>
    <w:rsid w:val="009F6468"/>
    <w:rsid w:val="009F64C6"/>
    <w:rsid w:val="009F6549"/>
    <w:rsid w:val="009F6592"/>
    <w:rsid w:val="009F65CD"/>
    <w:rsid w:val="009F6617"/>
    <w:rsid w:val="009F6853"/>
    <w:rsid w:val="009F688A"/>
    <w:rsid w:val="009F68F6"/>
    <w:rsid w:val="009F69CC"/>
    <w:rsid w:val="009F6A7D"/>
    <w:rsid w:val="009F6BB9"/>
    <w:rsid w:val="009F6F45"/>
    <w:rsid w:val="009F6F64"/>
    <w:rsid w:val="009F701E"/>
    <w:rsid w:val="009F715E"/>
    <w:rsid w:val="009F71BA"/>
    <w:rsid w:val="009F73C2"/>
    <w:rsid w:val="009F73D6"/>
    <w:rsid w:val="009F7505"/>
    <w:rsid w:val="009F7589"/>
    <w:rsid w:val="009F75E4"/>
    <w:rsid w:val="009F7630"/>
    <w:rsid w:val="009F7734"/>
    <w:rsid w:val="009F7776"/>
    <w:rsid w:val="009F77A7"/>
    <w:rsid w:val="009F79D6"/>
    <w:rsid w:val="009F7A38"/>
    <w:rsid w:val="009F7B4B"/>
    <w:rsid w:val="009F7C1F"/>
    <w:rsid w:val="009F7D67"/>
    <w:rsid w:val="009F7EB3"/>
    <w:rsid w:val="009F7ED6"/>
    <w:rsid w:val="009F7EDB"/>
    <w:rsid w:val="009F7FB9"/>
    <w:rsid w:val="00A00010"/>
    <w:rsid w:val="00A00015"/>
    <w:rsid w:val="00A000B0"/>
    <w:rsid w:val="00A002CF"/>
    <w:rsid w:val="00A0039E"/>
    <w:rsid w:val="00A003B1"/>
    <w:rsid w:val="00A003D3"/>
    <w:rsid w:val="00A0059F"/>
    <w:rsid w:val="00A005A0"/>
    <w:rsid w:val="00A006BA"/>
    <w:rsid w:val="00A00746"/>
    <w:rsid w:val="00A009A8"/>
    <w:rsid w:val="00A009C2"/>
    <w:rsid w:val="00A00A28"/>
    <w:rsid w:val="00A00AB0"/>
    <w:rsid w:val="00A00C2D"/>
    <w:rsid w:val="00A00D1A"/>
    <w:rsid w:val="00A00D62"/>
    <w:rsid w:val="00A00F17"/>
    <w:rsid w:val="00A01058"/>
    <w:rsid w:val="00A0105C"/>
    <w:rsid w:val="00A011D1"/>
    <w:rsid w:val="00A01437"/>
    <w:rsid w:val="00A01443"/>
    <w:rsid w:val="00A016C7"/>
    <w:rsid w:val="00A017AF"/>
    <w:rsid w:val="00A0183E"/>
    <w:rsid w:val="00A01865"/>
    <w:rsid w:val="00A018DC"/>
    <w:rsid w:val="00A019F0"/>
    <w:rsid w:val="00A01AB2"/>
    <w:rsid w:val="00A01B12"/>
    <w:rsid w:val="00A01BAE"/>
    <w:rsid w:val="00A01D43"/>
    <w:rsid w:val="00A01FED"/>
    <w:rsid w:val="00A0230D"/>
    <w:rsid w:val="00A0238C"/>
    <w:rsid w:val="00A02484"/>
    <w:rsid w:val="00A02573"/>
    <w:rsid w:val="00A0260E"/>
    <w:rsid w:val="00A026AD"/>
    <w:rsid w:val="00A027F1"/>
    <w:rsid w:val="00A0284A"/>
    <w:rsid w:val="00A028B2"/>
    <w:rsid w:val="00A028D8"/>
    <w:rsid w:val="00A02995"/>
    <w:rsid w:val="00A02EE0"/>
    <w:rsid w:val="00A030CB"/>
    <w:rsid w:val="00A03121"/>
    <w:rsid w:val="00A031A9"/>
    <w:rsid w:val="00A031F9"/>
    <w:rsid w:val="00A0323E"/>
    <w:rsid w:val="00A03256"/>
    <w:rsid w:val="00A03481"/>
    <w:rsid w:val="00A034F2"/>
    <w:rsid w:val="00A03526"/>
    <w:rsid w:val="00A0356E"/>
    <w:rsid w:val="00A035AC"/>
    <w:rsid w:val="00A03867"/>
    <w:rsid w:val="00A03B08"/>
    <w:rsid w:val="00A03E00"/>
    <w:rsid w:val="00A03EF9"/>
    <w:rsid w:val="00A03FB0"/>
    <w:rsid w:val="00A03FB3"/>
    <w:rsid w:val="00A0414F"/>
    <w:rsid w:val="00A04213"/>
    <w:rsid w:val="00A042D0"/>
    <w:rsid w:val="00A0434F"/>
    <w:rsid w:val="00A0435B"/>
    <w:rsid w:val="00A04378"/>
    <w:rsid w:val="00A0443F"/>
    <w:rsid w:val="00A0446E"/>
    <w:rsid w:val="00A045AF"/>
    <w:rsid w:val="00A046DF"/>
    <w:rsid w:val="00A04713"/>
    <w:rsid w:val="00A04863"/>
    <w:rsid w:val="00A04A06"/>
    <w:rsid w:val="00A04A21"/>
    <w:rsid w:val="00A04A6C"/>
    <w:rsid w:val="00A04B3D"/>
    <w:rsid w:val="00A04BF0"/>
    <w:rsid w:val="00A04C66"/>
    <w:rsid w:val="00A04C70"/>
    <w:rsid w:val="00A04D77"/>
    <w:rsid w:val="00A04DB6"/>
    <w:rsid w:val="00A04E2F"/>
    <w:rsid w:val="00A051C6"/>
    <w:rsid w:val="00A05201"/>
    <w:rsid w:val="00A0522D"/>
    <w:rsid w:val="00A05248"/>
    <w:rsid w:val="00A053AE"/>
    <w:rsid w:val="00A05451"/>
    <w:rsid w:val="00A05559"/>
    <w:rsid w:val="00A05622"/>
    <w:rsid w:val="00A05784"/>
    <w:rsid w:val="00A057C2"/>
    <w:rsid w:val="00A05A22"/>
    <w:rsid w:val="00A05B8F"/>
    <w:rsid w:val="00A05CA1"/>
    <w:rsid w:val="00A05DF8"/>
    <w:rsid w:val="00A05F87"/>
    <w:rsid w:val="00A05FE2"/>
    <w:rsid w:val="00A06025"/>
    <w:rsid w:val="00A060B3"/>
    <w:rsid w:val="00A061CE"/>
    <w:rsid w:val="00A062AC"/>
    <w:rsid w:val="00A0630E"/>
    <w:rsid w:val="00A0653F"/>
    <w:rsid w:val="00A06562"/>
    <w:rsid w:val="00A06570"/>
    <w:rsid w:val="00A069A5"/>
    <w:rsid w:val="00A069FE"/>
    <w:rsid w:val="00A06AFA"/>
    <w:rsid w:val="00A06C08"/>
    <w:rsid w:val="00A06CAE"/>
    <w:rsid w:val="00A06FB0"/>
    <w:rsid w:val="00A070CB"/>
    <w:rsid w:val="00A0721D"/>
    <w:rsid w:val="00A073C4"/>
    <w:rsid w:val="00A073E5"/>
    <w:rsid w:val="00A07417"/>
    <w:rsid w:val="00A0770E"/>
    <w:rsid w:val="00A0771B"/>
    <w:rsid w:val="00A07785"/>
    <w:rsid w:val="00A07796"/>
    <w:rsid w:val="00A07801"/>
    <w:rsid w:val="00A0798A"/>
    <w:rsid w:val="00A079D7"/>
    <w:rsid w:val="00A07C05"/>
    <w:rsid w:val="00A07E9E"/>
    <w:rsid w:val="00A10079"/>
    <w:rsid w:val="00A10097"/>
    <w:rsid w:val="00A10140"/>
    <w:rsid w:val="00A10187"/>
    <w:rsid w:val="00A101DF"/>
    <w:rsid w:val="00A10203"/>
    <w:rsid w:val="00A1028D"/>
    <w:rsid w:val="00A103E6"/>
    <w:rsid w:val="00A105AE"/>
    <w:rsid w:val="00A105EF"/>
    <w:rsid w:val="00A1060D"/>
    <w:rsid w:val="00A10689"/>
    <w:rsid w:val="00A10810"/>
    <w:rsid w:val="00A108C6"/>
    <w:rsid w:val="00A108DD"/>
    <w:rsid w:val="00A108E3"/>
    <w:rsid w:val="00A10907"/>
    <w:rsid w:val="00A10A79"/>
    <w:rsid w:val="00A10B0D"/>
    <w:rsid w:val="00A10B3F"/>
    <w:rsid w:val="00A10B75"/>
    <w:rsid w:val="00A10DCC"/>
    <w:rsid w:val="00A10E00"/>
    <w:rsid w:val="00A10E39"/>
    <w:rsid w:val="00A11014"/>
    <w:rsid w:val="00A1103B"/>
    <w:rsid w:val="00A1117C"/>
    <w:rsid w:val="00A111C8"/>
    <w:rsid w:val="00A112CB"/>
    <w:rsid w:val="00A1144F"/>
    <w:rsid w:val="00A11546"/>
    <w:rsid w:val="00A11594"/>
    <w:rsid w:val="00A1167A"/>
    <w:rsid w:val="00A118C5"/>
    <w:rsid w:val="00A118D9"/>
    <w:rsid w:val="00A11ACA"/>
    <w:rsid w:val="00A11C44"/>
    <w:rsid w:val="00A11E47"/>
    <w:rsid w:val="00A11EDE"/>
    <w:rsid w:val="00A11F1D"/>
    <w:rsid w:val="00A1217F"/>
    <w:rsid w:val="00A125AB"/>
    <w:rsid w:val="00A12670"/>
    <w:rsid w:val="00A127FA"/>
    <w:rsid w:val="00A1295E"/>
    <w:rsid w:val="00A12991"/>
    <w:rsid w:val="00A12A43"/>
    <w:rsid w:val="00A12A93"/>
    <w:rsid w:val="00A12B14"/>
    <w:rsid w:val="00A12ECD"/>
    <w:rsid w:val="00A12FF5"/>
    <w:rsid w:val="00A1323E"/>
    <w:rsid w:val="00A13375"/>
    <w:rsid w:val="00A134DA"/>
    <w:rsid w:val="00A13631"/>
    <w:rsid w:val="00A13688"/>
    <w:rsid w:val="00A13708"/>
    <w:rsid w:val="00A1390D"/>
    <w:rsid w:val="00A13A07"/>
    <w:rsid w:val="00A13BA1"/>
    <w:rsid w:val="00A13C99"/>
    <w:rsid w:val="00A13CC0"/>
    <w:rsid w:val="00A13E5B"/>
    <w:rsid w:val="00A13E93"/>
    <w:rsid w:val="00A13FF0"/>
    <w:rsid w:val="00A1414A"/>
    <w:rsid w:val="00A1414F"/>
    <w:rsid w:val="00A14590"/>
    <w:rsid w:val="00A145E2"/>
    <w:rsid w:val="00A14693"/>
    <w:rsid w:val="00A14774"/>
    <w:rsid w:val="00A14801"/>
    <w:rsid w:val="00A14B7C"/>
    <w:rsid w:val="00A14C4B"/>
    <w:rsid w:val="00A14CC1"/>
    <w:rsid w:val="00A14E02"/>
    <w:rsid w:val="00A14E48"/>
    <w:rsid w:val="00A1522C"/>
    <w:rsid w:val="00A1531B"/>
    <w:rsid w:val="00A15719"/>
    <w:rsid w:val="00A15796"/>
    <w:rsid w:val="00A157DA"/>
    <w:rsid w:val="00A158CD"/>
    <w:rsid w:val="00A1596A"/>
    <w:rsid w:val="00A15A94"/>
    <w:rsid w:val="00A15B0D"/>
    <w:rsid w:val="00A15B34"/>
    <w:rsid w:val="00A15DD3"/>
    <w:rsid w:val="00A15E6F"/>
    <w:rsid w:val="00A15FB6"/>
    <w:rsid w:val="00A16010"/>
    <w:rsid w:val="00A1621C"/>
    <w:rsid w:val="00A163FC"/>
    <w:rsid w:val="00A16490"/>
    <w:rsid w:val="00A164ED"/>
    <w:rsid w:val="00A16541"/>
    <w:rsid w:val="00A1677A"/>
    <w:rsid w:val="00A16944"/>
    <w:rsid w:val="00A1695B"/>
    <w:rsid w:val="00A169E3"/>
    <w:rsid w:val="00A169FA"/>
    <w:rsid w:val="00A16ADF"/>
    <w:rsid w:val="00A16D47"/>
    <w:rsid w:val="00A16DA3"/>
    <w:rsid w:val="00A16E38"/>
    <w:rsid w:val="00A16E42"/>
    <w:rsid w:val="00A16F74"/>
    <w:rsid w:val="00A17124"/>
    <w:rsid w:val="00A17145"/>
    <w:rsid w:val="00A17198"/>
    <w:rsid w:val="00A17478"/>
    <w:rsid w:val="00A17517"/>
    <w:rsid w:val="00A175CE"/>
    <w:rsid w:val="00A1764C"/>
    <w:rsid w:val="00A1765E"/>
    <w:rsid w:val="00A176F1"/>
    <w:rsid w:val="00A1774A"/>
    <w:rsid w:val="00A1776F"/>
    <w:rsid w:val="00A17846"/>
    <w:rsid w:val="00A1788D"/>
    <w:rsid w:val="00A17C60"/>
    <w:rsid w:val="00A17E29"/>
    <w:rsid w:val="00A17EB9"/>
    <w:rsid w:val="00A17FAC"/>
    <w:rsid w:val="00A20005"/>
    <w:rsid w:val="00A20020"/>
    <w:rsid w:val="00A200D8"/>
    <w:rsid w:val="00A2013D"/>
    <w:rsid w:val="00A20225"/>
    <w:rsid w:val="00A202EC"/>
    <w:rsid w:val="00A203A6"/>
    <w:rsid w:val="00A204E1"/>
    <w:rsid w:val="00A20506"/>
    <w:rsid w:val="00A20603"/>
    <w:rsid w:val="00A2060D"/>
    <w:rsid w:val="00A20632"/>
    <w:rsid w:val="00A2072B"/>
    <w:rsid w:val="00A2072E"/>
    <w:rsid w:val="00A20860"/>
    <w:rsid w:val="00A20951"/>
    <w:rsid w:val="00A209F3"/>
    <w:rsid w:val="00A20B2C"/>
    <w:rsid w:val="00A20BF2"/>
    <w:rsid w:val="00A20D62"/>
    <w:rsid w:val="00A20DF0"/>
    <w:rsid w:val="00A20E36"/>
    <w:rsid w:val="00A20E89"/>
    <w:rsid w:val="00A20EB9"/>
    <w:rsid w:val="00A20FD3"/>
    <w:rsid w:val="00A2114F"/>
    <w:rsid w:val="00A2117C"/>
    <w:rsid w:val="00A2132A"/>
    <w:rsid w:val="00A2157B"/>
    <w:rsid w:val="00A21770"/>
    <w:rsid w:val="00A2179C"/>
    <w:rsid w:val="00A218CE"/>
    <w:rsid w:val="00A21B0E"/>
    <w:rsid w:val="00A21C0E"/>
    <w:rsid w:val="00A21DC6"/>
    <w:rsid w:val="00A21DC9"/>
    <w:rsid w:val="00A21E5B"/>
    <w:rsid w:val="00A21EF6"/>
    <w:rsid w:val="00A22021"/>
    <w:rsid w:val="00A22303"/>
    <w:rsid w:val="00A22392"/>
    <w:rsid w:val="00A22455"/>
    <w:rsid w:val="00A224D1"/>
    <w:rsid w:val="00A22526"/>
    <w:rsid w:val="00A22540"/>
    <w:rsid w:val="00A22577"/>
    <w:rsid w:val="00A2266A"/>
    <w:rsid w:val="00A226A6"/>
    <w:rsid w:val="00A226C7"/>
    <w:rsid w:val="00A2270D"/>
    <w:rsid w:val="00A2272E"/>
    <w:rsid w:val="00A227B7"/>
    <w:rsid w:val="00A227BD"/>
    <w:rsid w:val="00A22AE2"/>
    <w:rsid w:val="00A22B0F"/>
    <w:rsid w:val="00A22CAA"/>
    <w:rsid w:val="00A22CB7"/>
    <w:rsid w:val="00A2330E"/>
    <w:rsid w:val="00A2344C"/>
    <w:rsid w:val="00A234E8"/>
    <w:rsid w:val="00A234FA"/>
    <w:rsid w:val="00A23653"/>
    <w:rsid w:val="00A236B6"/>
    <w:rsid w:val="00A236D4"/>
    <w:rsid w:val="00A23B4B"/>
    <w:rsid w:val="00A23B5A"/>
    <w:rsid w:val="00A23BE0"/>
    <w:rsid w:val="00A23C02"/>
    <w:rsid w:val="00A23D60"/>
    <w:rsid w:val="00A240CF"/>
    <w:rsid w:val="00A24283"/>
    <w:rsid w:val="00A244E6"/>
    <w:rsid w:val="00A244FA"/>
    <w:rsid w:val="00A24555"/>
    <w:rsid w:val="00A24690"/>
    <w:rsid w:val="00A24757"/>
    <w:rsid w:val="00A24760"/>
    <w:rsid w:val="00A248D1"/>
    <w:rsid w:val="00A2499D"/>
    <w:rsid w:val="00A249EB"/>
    <w:rsid w:val="00A24AD1"/>
    <w:rsid w:val="00A24AEF"/>
    <w:rsid w:val="00A24B35"/>
    <w:rsid w:val="00A24B51"/>
    <w:rsid w:val="00A24C24"/>
    <w:rsid w:val="00A24C86"/>
    <w:rsid w:val="00A24D63"/>
    <w:rsid w:val="00A24DAA"/>
    <w:rsid w:val="00A24EDC"/>
    <w:rsid w:val="00A24F05"/>
    <w:rsid w:val="00A24F21"/>
    <w:rsid w:val="00A24F59"/>
    <w:rsid w:val="00A24FB1"/>
    <w:rsid w:val="00A251FF"/>
    <w:rsid w:val="00A25261"/>
    <w:rsid w:val="00A252F3"/>
    <w:rsid w:val="00A253A9"/>
    <w:rsid w:val="00A253B6"/>
    <w:rsid w:val="00A2562A"/>
    <w:rsid w:val="00A256BE"/>
    <w:rsid w:val="00A25700"/>
    <w:rsid w:val="00A257E8"/>
    <w:rsid w:val="00A25918"/>
    <w:rsid w:val="00A25BDD"/>
    <w:rsid w:val="00A25C56"/>
    <w:rsid w:val="00A25C88"/>
    <w:rsid w:val="00A25E86"/>
    <w:rsid w:val="00A25FBC"/>
    <w:rsid w:val="00A260AF"/>
    <w:rsid w:val="00A262A8"/>
    <w:rsid w:val="00A262EB"/>
    <w:rsid w:val="00A263B9"/>
    <w:rsid w:val="00A265C0"/>
    <w:rsid w:val="00A266F6"/>
    <w:rsid w:val="00A26705"/>
    <w:rsid w:val="00A268CF"/>
    <w:rsid w:val="00A26982"/>
    <w:rsid w:val="00A26B4E"/>
    <w:rsid w:val="00A26BA6"/>
    <w:rsid w:val="00A26D41"/>
    <w:rsid w:val="00A26FE7"/>
    <w:rsid w:val="00A27071"/>
    <w:rsid w:val="00A271A3"/>
    <w:rsid w:val="00A2720F"/>
    <w:rsid w:val="00A27247"/>
    <w:rsid w:val="00A27298"/>
    <w:rsid w:val="00A2731A"/>
    <w:rsid w:val="00A275C9"/>
    <w:rsid w:val="00A276FB"/>
    <w:rsid w:val="00A27765"/>
    <w:rsid w:val="00A2784A"/>
    <w:rsid w:val="00A2787A"/>
    <w:rsid w:val="00A278CD"/>
    <w:rsid w:val="00A2790B"/>
    <w:rsid w:val="00A279BA"/>
    <w:rsid w:val="00A27A84"/>
    <w:rsid w:val="00A27AB3"/>
    <w:rsid w:val="00A27B46"/>
    <w:rsid w:val="00A27B4D"/>
    <w:rsid w:val="00A27CC1"/>
    <w:rsid w:val="00A27CD1"/>
    <w:rsid w:val="00A27CE2"/>
    <w:rsid w:val="00A27D89"/>
    <w:rsid w:val="00A27E77"/>
    <w:rsid w:val="00A27F5E"/>
    <w:rsid w:val="00A30032"/>
    <w:rsid w:val="00A30175"/>
    <w:rsid w:val="00A30242"/>
    <w:rsid w:val="00A303DB"/>
    <w:rsid w:val="00A30595"/>
    <w:rsid w:val="00A3061D"/>
    <w:rsid w:val="00A30797"/>
    <w:rsid w:val="00A308A3"/>
    <w:rsid w:val="00A30997"/>
    <w:rsid w:val="00A309C2"/>
    <w:rsid w:val="00A309E1"/>
    <w:rsid w:val="00A30AB5"/>
    <w:rsid w:val="00A30B09"/>
    <w:rsid w:val="00A30B7D"/>
    <w:rsid w:val="00A30C02"/>
    <w:rsid w:val="00A30D33"/>
    <w:rsid w:val="00A30D41"/>
    <w:rsid w:val="00A30E14"/>
    <w:rsid w:val="00A30E64"/>
    <w:rsid w:val="00A30EF3"/>
    <w:rsid w:val="00A31007"/>
    <w:rsid w:val="00A31031"/>
    <w:rsid w:val="00A3116C"/>
    <w:rsid w:val="00A312D3"/>
    <w:rsid w:val="00A31314"/>
    <w:rsid w:val="00A31384"/>
    <w:rsid w:val="00A315BE"/>
    <w:rsid w:val="00A31605"/>
    <w:rsid w:val="00A316C8"/>
    <w:rsid w:val="00A3183F"/>
    <w:rsid w:val="00A31904"/>
    <w:rsid w:val="00A31947"/>
    <w:rsid w:val="00A3197B"/>
    <w:rsid w:val="00A31B1A"/>
    <w:rsid w:val="00A31BB7"/>
    <w:rsid w:val="00A31BE2"/>
    <w:rsid w:val="00A31C08"/>
    <w:rsid w:val="00A31C1B"/>
    <w:rsid w:val="00A31C64"/>
    <w:rsid w:val="00A31D81"/>
    <w:rsid w:val="00A31D88"/>
    <w:rsid w:val="00A31DF4"/>
    <w:rsid w:val="00A31F9C"/>
    <w:rsid w:val="00A321D0"/>
    <w:rsid w:val="00A322C3"/>
    <w:rsid w:val="00A32374"/>
    <w:rsid w:val="00A324CA"/>
    <w:rsid w:val="00A324CC"/>
    <w:rsid w:val="00A325E5"/>
    <w:rsid w:val="00A327EB"/>
    <w:rsid w:val="00A328A4"/>
    <w:rsid w:val="00A328BF"/>
    <w:rsid w:val="00A329EF"/>
    <w:rsid w:val="00A32B02"/>
    <w:rsid w:val="00A32B39"/>
    <w:rsid w:val="00A33144"/>
    <w:rsid w:val="00A3314A"/>
    <w:rsid w:val="00A3315F"/>
    <w:rsid w:val="00A3331C"/>
    <w:rsid w:val="00A33391"/>
    <w:rsid w:val="00A3339C"/>
    <w:rsid w:val="00A33682"/>
    <w:rsid w:val="00A33685"/>
    <w:rsid w:val="00A337DC"/>
    <w:rsid w:val="00A33935"/>
    <w:rsid w:val="00A33970"/>
    <w:rsid w:val="00A33A21"/>
    <w:rsid w:val="00A33AC7"/>
    <w:rsid w:val="00A33DFC"/>
    <w:rsid w:val="00A33EA0"/>
    <w:rsid w:val="00A33F3D"/>
    <w:rsid w:val="00A33FB9"/>
    <w:rsid w:val="00A340B9"/>
    <w:rsid w:val="00A3421A"/>
    <w:rsid w:val="00A34377"/>
    <w:rsid w:val="00A343BA"/>
    <w:rsid w:val="00A34455"/>
    <w:rsid w:val="00A34583"/>
    <w:rsid w:val="00A3467B"/>
    <w:rsid w:val="00A34845"/>
    <w:rsid w:val="00A3486B"/>
    <w:rsid w:val="00A34928"/>
    <w:rsid w:val="00A349E2"/>
    <w:rsid w:val="00A34B56"/>
    <w:rsid w:val="00A34B7B"/>
    <w:rsid w:val="00A34DB1"/>
    <w:rsid w:val="00A34E57"/>
    <w:rsid w:val="00A35027"/>
    <w:rsid w:val="00A351AD"/>
    <w:rsid w:val="00A35364"/>
    <w:rsid w:val="00A3564A"/>
    <w:rsid w:val="00A35767"/>
    <w:rsid w:val="00A35796"/>
    <w:rsid w:val="00A358C3"/>
    <w:rsid w:val="00A359F3"/>
    <w:rsid w:val="00A35A87"/>
    <w:rsid w:val="00A35AB6"/>
    <w:rsid w:val="00A35CAE"/>
    <w:rsid w:val="00A35D0B"/>
    <w:rsid w:val="00A35F03"/>
    <w:rsid w:val="00A35F49"/>
    <w:rsid w:val="00A36110"/>
    <w:rsid w:val="00A3612F"/>
    <w:rsid w:val="00A36269"/>
    <w:rsid w:val="00A36318"/>
    <w:rsid w:val="00A36322"/>
    <w:rsid w:val="00A36407"/>
    <w:rsid w:val="00A364C3"/>
    <w:rsid w:val="00A364CE"/>
    <w:rsid w:val="00A36506"/>
    <w:rsid w:val="00A365D6"/>
    <w:rsid w:val="00A365EE"/>
    <w:rsid w:val="00A3668C"/>
    <w:rsid w:val="00A369A4"/>
    <w:rsid w:val="00A36A6B"/>
    <w:rsid w:val="00A36BB0"/>
    <w:rsid w:val="00A36BC1"/>
    <w:rsid w:val="00A36EE4"/>
    <w:rsid w:val="00A36F2B"/>
    <w:rsid w:val="00A37066"/>
    <w:rsid w:val="00A370D9"/>
    <w:rsid w:val="00A372C8"/>
    <w:rsid w:val="00A37344"/>
    <w:rsid w:val="00A37348"/>
    <w:rsid w:val="00A37381"/>
    <w:rsid w:val="00A37414"/>
    <w:rsid w:val="00A37470"/>
    <w:rsid w:val="00A3748B"/>
    <w:rsid w:val="00A374B1"/>
    <w:rsid w:val="00A37525"/>
    <w:rsid w:val="00A3753B"/>
    <w:rsid w:val="00A3764E"/>
    <w:rsid w:val="00A37763"/>
    <w:rsid w:val="00A379DE"/>
    <w:rsid w:val="00A379F7"/>
    <w:rsid w:val="00A37A75"/>
    <w:rsid w:val="00A37B66"/>
    <w:rsid w:val="00A37BD1"/>
    <w:rsid w:val="00A37C00"/>
    <w:rsid w:val="00A37C9B"/>
    <w:rsid w:val="00A37D08"/>
    <w:rsid w:val="00A37D89"/>
    <w:rsid w:val="00A37DCA"/>
    <w:rsid w:val="00A37E1A"/>
    <w:rsid w:val="00A37EAB"/>
    <w:rsid w:val="00A37EC4"/>
    <w:rsid w:val="00A40043"/>
    <w:rsid w:val="00A4005C"/>
    <w:rsid w:val="00A40088"/>
    <w:rsid w:val="00A4016F"/>
    <w:rsid w:val="00A40172"/>
    <w:rsid w:val="00A402A4"/>
    <w:rsid w:val="00A402B4"/>
    <w:rsid w:val="00A40355"/>
    <w:rsid w:val="00A404E8"/>
    <w:rsid w:val="00A404F1"/>
    <w:rsid w:val="00A4058A"/>
    <w:rsid w:val="00A407D8"/>
    <w:rsid w:val="00A4083C"/>
    <w:rsid w:val="00A40885"/>
    <w:rsid w:val="00A408AC"/>
    <w:rsid w:val="00A408CA"/>
    <w:rsid w:val="00A408D2"/>
    <w:rsid w:val="00A408E7"/>
    <w:rsid w:val="00A40986"/>
    <w:rsid w:val="00A40AC1"/>
    <w:rsid w:val="00A40C66"/>
    <w:rsid w:val="00A40C91"/>
    <w:rsid w:val="00A40CB0"/>
    <w:rsid w:val="00A40D12"/>
    <w:rsid w:val="00A4104E"/>
    <w:rsid w:val="00A41068"/>
    <w:rsid w:val="00A410F9"/>
    <w:rsid w:val="00A4114E"/>
    <w:rsid w:val="00A41198"/>
    <w:rsid w:val="00A411F2"/>
    <w:rsid w:val="00A412FA"/>
    <w:rsid w:val="00A41429"/>
    <w:rsid w:val="00A4185E"/>
    <w:rsid w:val="00A41B6E"/>
    <w:rsid w:val="00A41CEF"/>
    <w:rsid w:val="00A41D32"/>
    <w:rsid w:val="00A41D47"/>
    <w:rsid w:val="00A41E1E"/>
    <w:rsid w:val="00A41E5A"/>
    <w:rsid w:val="00A41FD3"/>
    <w:rsid w:val="00A420A1"/>
    <w:rsid w:val="00A42128"/>
    <w:rsid w:val="00A421B8"/>
    <w:rsid w:val="00A42284"/>
    <w:rsid w:val="00A423F3"/>
    <w:rsid w:val="00A4242F"/>
    <w:rsid w:val="00A4254E"/>
    <w:rsid w:val="00A425CF"/>
    <w:rsid w:val="00A42740"/>
    <w:rsid w:val="00A427A0"/>
    <w:rsid w:val="00A42966"/>
    <w:rsid w:val="00A4296D"/>
    <w:rsid w:val="00A429CB"/>
    <w:rsid w:val="00A42A77"/>
    <w:rsid w:val="00A42C57"/>
    <w:rsid w:val="00A42D40"/>
    <w:rsid w:val="00A42FDD"/>
    <w:rsid w:val="00A42FE3"/>
    <w:rsid w:val="00A430E1"/>
    <w:rsid w:val="00A430FB"/>
    <w:rsid w:val="00A4313F"/>
    <w:rsid w:val="00A43182"/>
    <w:rsid w:val="00A431F3"/>
    <w:rsid w:val="00A4340A"/>
    <w:rsid w:val="00A43436"/>
    <w:rsid w:val="00A4355E"/>
    <w:rsid w:val="00A43665"/>
    <w:rsid w:val="00A43682"/>
    <w:rsid w:val="00A436B1"/>
    <w:rsid w:val="00A43880"/>
    <w:rsid w:val="00A43A0D"/>
    <w:rsid w:val="00A43A5F"/>
    <w:rsid w:val="00A43A68"/>
    <w:rsid w:val="00A43A7A"/>
    <w:rsid w:val="00A43AE3"/>
    <w:rsid w:val="00A43B36"/>
    <w:rsid w:val="00A43C37"/>
    <w:rsid w:val="00A43C5A"/>
    <w:rsid w:val="00A43CDE"/>
    <w:rsid w:val="00A43CF7"/>
    <w:rsid w:val="00A43CFD"/>
    <w:rsid w:val="00A43D0F"/>
    <w:rsid w:val="00A43D2A"/>
    <w:rsid w:val="00A43D41"/>
    <w:rsid w:val="00A43E85"/>
    <w:rsid w:val="00A43F36"/>
    <w:rsid w:val="00A43FD1"/>
    <w:rsid w:val="00A44070"/>
    <w:rsid w:val="00A44170"/>
    <w:rsid w:val="00A4421C"/>
    <w:rsid w:val="00A4425D"/>
    <w:rsid w:val="00A4427A"/>
    <w:rsid w:val="00A4428F"/>
    <w:rsid w:val="00A442F7"/>
    <w:rsid w:val="00A444F4"/>
    <w:rsid w:val="00A4454B"/>
    <w:rsid w:val="00A44591"/>
    <w:rsid w:val="00A44703"/>
    <w:rsid w:val="00A4477A"/>
    <w:rsid w:val="00A447D3"/>
    <w:rsid w:val="00A448FA"/>
    <w:rsid w:val="00A4494A"/>
    <w:rsid w:val="00A44C79"/>
    <w:rsid w:val="00A44CA8"/>
    <w:rsid w:val="00A44CEA"/>
    <w:rsid w:val="00A44DAF"/>
    <w:rsid w:val="00A44E29"/>
    <w:rsid w:val="00A44EB1"/>
    <w:rsid w:val="00A44F86"/>
    <w:rsid w:val="00A45143"/>
    <w:rsid w:val="00A452D0"/>
    <w:rsid w:val="00A4533A"/>
    <w:rsid w:val="00A453B4"/>
    <w:rsid w:val="00A455C5"/>
    <w:rsid w:val="00A45876"/>
    <w:rsid w:val="00A4594A"/>
    <w:rsid w:val="00A45A07"/>
    <w:rsid w:val="00A45A44"/>
    <w:rsid w:val="00A45AF9"/>
    <w:rsid w:val="00A45B83"/>
    <w:rsid w:val="00A45C4A"/>
    <w:rsid w:val="00A45DE1"/>
    <w:rsid w:val="00A45DEE"/>
    <w:rsid w:val="00A45F13"/>
    <w:rsid w:val="00A4601D"/>
    <w:rsid w:val="00A460D8"/>
    <w:rsid w:val="00A46200"/>
    <w:rsid w:val="00A4646A"/>
    <w:rsid w:val="00A46557"/>
    <w:rsid w:val="00A465CD"/>
    <w:rsid w:val="00A465E9"/>
    <w:rsid w:val="00A46618"/>
    <w:rsid w:val="00A4663B"/>
    <w:rsid w:val="00A46697"/>
    <w:rsid w:val="00A46836"/>
    <w:rsid w:val="00A468DE"/>
    <w:rsid w:val="00A4696E"/>
    <w:rsid w:val="00A46A42"/>
    <w:rsid w:val="00A46A45"/>
    <w:rsid w:val="00A46A5B"/>
    <w:rsid w:val="00A47068"/>
    <w:rsid w:val="00A4710D"/>
    <w:rsid w:val="00A47146"/>
    <w:rsid w:val="00A471FA"/>
    <w:rsid w:val="00A47633"/>
    <w:rsid w:val="00A477F1"/>
    <w:rsid w:val="00A47807"/>
    <w:rsid w:val="00A47BEA"/>
    <w:rsid w:val="00A47C3E"/>
    <w:rsid w:val="00A47CEE"/>
    <w:rsid w:val="00A47E0E"/>
    <w:rsid w:val="00A47E44"/>
    <w:rsid w:val="00A47E50"/>
    <w:rsid w:val="00A47EE9"/>
    <w:rsid w:val="00A5007C"/>
    <w:rsid w:val="00A5017A"/>
    <w:rsid w:val="00A501BA"/>
    <w:rsid w:val="00A5029D"/>
    <w:rsid w:val="00A50316"/>
    <w:rsid w:val="00A50420"/>
    <w:rsid w:val="00A50460"/>
    <w:rsid w:val="00A50461"/>
    <w:rsid w:val="00A505E1"/>
    <w:rsid w:val="00A506B7"/>
    <w:rsid w:val="00A50A89"/>
    <w:rsid w:val="00A50B12"/>
    <w:rsid w:val="00A50B21"/>
    <w:rsid w:val="00A50CBD"/>
    <w:rsid w:val="00A50F76"/>
    <w:rsid w:val="00A51023"/>
    <w:rsid w:val="00A51063"/>
    <w:rsid w:val="00A5114E"/>
    <w:rsid w:val="00A514ED"/>
    <w:rsid w:val="00A5176B"/>
    <w:rsid w:val="00A517A3"/>
    <w:rsid w:val="00A517B4"/>
    <w:rsid w:val="00A518B9"/>
    <w:rsid w:val="00A51903"/>
    <w:rsid w:val="00A51998"/>
    <w:rsid w:val="00A519E0"/>
    <w:rsid w:val="00A51BA5"/>
    <w:rsid w:val="00A51C97"/>
    <w:rsid w:val="00A51D14"/>
    <w:rsid w:val="00A51D5D"/>
    <w:rsid w:val="00A51D6B"/>
    <w:rsid w:val="00A51E7B"/>
    <w:rsid w:val="00A51F68"/>
    <w:rsid w:val="00A51F75"/>
    <w:rsid w:val="00A52504"/>
    <w:rsid w:val="00A52537"/>
    <w:rsid w:val="00A5283D"/>
    <w:rsid w:val="00A52998"/>
    <w:rsid w:val="00A52A39"/>
    <w:rsid w:val="00A52A7F"/>
    <w:rsid w:val="00A52A87"/>
    <w:rsid w:val="00A52A88"/>
    <w:rsid w:val="00A52BCE"/>
    <w:rsid w:val="00A52E57"/>
    <w:rsid w:val="00A52E76"/>
    <w:rsid w:val="00A52E85"/>
    <w:rsid w:val="00A52E91"/>
    <w:rsid w:val="00A52F15"/>
    <w:rsid w:val="00A53090"/>
    <w:rsid w:val="00A5318B"/>
    <w:rsid w:val="00A531E1"/>
    <w:rsid w:val="00A5351E"/>
    <w:rsid w:val="00A535B2"/>
    <w:rsid w:val="00A535C0"/>
    <w:rsid w:val="00A538BE"/>
    <w:rsid w:val="00A538E1"/>
    <w:rsid w:val="00A53A0F"/>
    <w:rsid w:val="00A53A58"/>
    <w:rsid w:val="00A53B71"/>
    <w:rsid w:val="00A53BA5"/>
    <w:rsid w:val="00A53BE7"/>
    <w:rsid w:val="00A53C21"/>
    <w:rsid w:val="00A53C8F"/>
    <w:rsid w:val="00A53F44"/>
    <w:rsid w:val="00A53F57"/>
    <w:rsid w:val="00A54040"/>
    <w:rsid w:val="00A54065"/>
    <w:rsid w:val="00A54119"/>
    <w:rsid w:val="00A5414F"/>
    <w:rsid w:val="00A541CD"/>
    <w:rsid w:val="00A541FA"/>
    <w:rsid w:val="00A54215"/>
    <w:rsid w:val="00A5437B"/>
    <w:rsid w:val="00A5453F"/>
    <w:rsid w:val="00A5455E"/>
    <w:rsid w:val="00A54586"/>
    <w:rsid w:val="00A54642"/>
    <w:rsid w:val="00A546C2"/>
    <w:rsid w:val="00A54947"/>
    <w:rsid w:val="00A5497B"/>
    <w:rsid w:val="00A54A73"/>
    <w:rsid w:val="00A54BE5"/>
    <w:rsid w:val="00A54C7E"/>
    <w:rsid w:val="00A54DB0"/>
    <w:rsid w:val="00A5507E"/>
    <w:rsid w:val="00A550A5"/>
    <w:rsid w:val="00A550CC"/>
    <w:rsid w:val="00A55288"/>
    <w:rsid w:val="00A552E2"/>
    <w:rsid w:val="00A553C7"/>
    <w:rsid w:val="00A5557A"/>
    <w:rsid w:val="00A555E3"/>
    <w:rsid w:val="00A558C6"/>
    <w:rsid w:val="00A55913"/>
    <w:rsid w:val="00A55932"/>
    <w:rsid w:val="00A55A0B"/>
    <w:rsid w:val="00A55A0D"/>
    <w:rsid w:val="00A55A79"/>
    <w:rsid w:val="00A55ACE"/>
    <w:rsid w:val="00A55B14"/>
    <w:rsid w:val="00A55BB1"/>
    <w:rsid w:val="00A55BB3"/>
    <w:rsid w:val="00A55C4B"/>
    <w:rsid w:val="00A55CB4"/>
    <w:rsid w:val="00A55CD9"/>
    <w:rsid w:val="00A55CDF"/>
    <w:rsid w:val="00A55D17"/>
    <w:rsid w:val="00A55E30"/>
    <w:rsid w:val="00A55E9B"/>
    <w:rsid w:val="00A55F99"/>
    <w:rsid w:val="00A56097"/>
    <w:rsid w:val="00A5612E"/>
    <w:rsid w:val="00A56146"/>
    <w:rsid w:val="00A561A0"/>
    <w:rsid w:val="00A562C1"/>
    <w:rsid w:val="00A562F0"/>
    <w:rsid w:val="00A56311"/>
    <w:rsid w:val="00A5638E"/>
    <w:rsid w:val="00A56394"/>
    <w:rsid w:val="00A565E0"/>
    <w:rsid w:val="00A56643"/>
    <w:rsid w:val="00A5676B"/>
    <w:rsid w:val="00A56A45"/>
    <w:rsid w:val="00A56A95"/>
    <w:rsid w:val="00A56B17"/>
    <w:rsid w:val="00A56EED"/>
    <w:rsid w:val="00A56F19"/>
    <w:rsid w:val="00A56FE7"/>
    <w:rsid w:val="00A57013"/>
    <w:rsid w:val="00A57046"/>
    <w:rsid w:val="00A57088"/>
    <w:rsid w:val="00A570F7"/>
    <w:rsid w:val="00A57110"/>
    <w:rsid w:val="00A5711B"/>
    <w:rsid w:val="00A572DF"/>
    <w:rsid w:val="00A572FB"/>
    <w:rsid w:val="00A57458"/>
    <w:rsid w:val="00A575A3"/>
    <w:rsid w:val="00A57616"/>
    <w:rsid w:val="00A576DD"/>
    <w:rsid w:val="00A57743"/>
    <w:rsid w:val="00A5774B"/>
    <w:rsid w:val="00A57A38"/>
    <w:rsid w:val="00A57BB9"/>
    <w:rsid w:val="00A57C77"/>
    <w:rsid w:val="00A57CC7"/>
    <w:rsid w:val="00A57D96"/>
    <w:rsid w:val="00A57DC9"/>
    <w:rsid w:val="00A60085"/>
    <w:rsid w:val="00A6009B"/>
    <w:rsid w:val="00A603B3"/>
    <w:rsid w:val="00A60467"/>
    <w:rsid w:val="00A605B7"/>
    <w:rsid w:val="00A60675"/>
    <w:rsid w:val="00A60790"/>
    <w:rsid w:val="00A608E6"/>
    <w:rsid w:val="00A60A3C"/>
    <w:rsid w:val="00A60BEB"/>
    <w:rsid w:val="00A60C07"/>
    <w:rsid w:val="00A60C2F"/>
    <w:rsid w:val="00A60C6B"/>
    <w:rsid w:val="00A60C6E"/>
    <w:rsid w:val="00A60CCF"/>
    <w:rsid w:val="00A60E3D"/>
    <w:rsid w:val="00A60F28"/>
    <w:rsid w:val="00A60FE3"/>
    <w:rsid w:val="00A60FF9"/>
    <w:rsid w:val="00A610DD"/>
    <w:rsid w:val="00A611F6"/>
    <w:rsid w:val="00A613DF"/>
    <w:rsid w:val="00A6142E"/>
    <w:rsid w:val="00A61499"/>
    <w:rsid w:val="00A614B4"/>
    <w:rsid w:val="00A615BE"/>
    <w:rsid w:val="00A616F5"/>
    <w:rsid w:val="00A61737"/>
    <w:rsid w:val="00A61798"/>
    <w:rsid w:val="00A618D8"/>
    <w:rsid w:val="00A6191F"/>
    <w:rsid w:val="00A61B53"/>
    <w:rsid w:val="00A61B58"/>
    <w:rsid w:val="00A61BBE"/>
    <w:rsid w:val="00A61CCE"/>
    <w:rsid w:val="00A61CE1"/>
    <w:rsid w:val="00A61E79"/>
    <w:rsid w:val="00A61F46"/>
    <w:rsid w:val="00A623D0"/>
    <w:rsid w:val="00A62490"/>
    <w:rsid w:val="00A624A1"/>
    <w:rsid w:val="00A62563"/>
    <w:rsid w:val="00A6257C"/>
    <w:rsid w:val="00A626DD"/>
    <w:rsid w:val="00A6279B"/>
    <w:rsid w:val="00A628CB"/>
    <w:rsid w:val="00A62920"/>
    <w:rsid w:val="00A6298E"/>
    <w:rsid w:val="00A62BCD"/>
    <w:rsid w:val="00A62C1E"/>
    <w:rsid w:val="00A62CFE"/>
    <w:rsid w:val="00A62DF5"/>
    <w:rsid w:val="00A62E63"/>
    <w:rsid w:val="00A62F03"/>
    <w:rsid w:val="00A633D2"/>
    <w:rsid w:val="00A635BB"/>
    <w:rsid w:val="00A63705"/>
    <w:rsid w:val="00A6373D"/>
    <w:rsid w:val="00A638F4"/>
    <w:rsid w:val="00A63924"/>
    <w:rsid w:val="00A63B75"/>
    <w:rsid w:val="00A63BA2"/>
    <w:rsid w:val="00A63CC0"/>
    <w:rsid w:val="00A63DA9"/>
    <w:rsid w:val="00A63DAF"/>
    <w:rsid w:val="00A63E27"/>
    <w:rsid w:val="00A63E66"/>
    <w:rsid w:val="00A63F12"/>
    <w:rsid w:val="00A63F93"/>
    <w:rsid w:val="00A63FF1"/>
    <w:rsid w:val="00A641BB"/>
    <w:rsid w:val="00A641DA"/>
    <w:rsid w:val="00A64280"/>
    <w:rsid w:val="00A64322"/>
    <w:rsid w:val="00A64337"/>
    <w:rsid w:val="00A64452"/>
    <w:rsid w:val="00A6447A"/>
    <w:rsid w:val="00A64509"/>
    <w:rsid w:val="00A64524"/>
    <w:rsid w:val="00A6454C"/>
    <w:rsid w:val="00A64551"/>
    <w:rsid w:val="00A64563"/>
    <w:rsid w:val="00A645F4"/>
    <w:rsid w:val="00A64612"/>
    <w:rsid w:val="00A64681"/>
    <w:rsid w:val="00A6468A"/>
    <w:rsid w:val="00A648F8"/>
    <w:rsid w:val="00A64A6D"/>
    <w:rsid w:val="00A64B09"/>
    <w:rsid w:val="00A64C0E"/>
    <w:rsid w:val="00A64C38"/>
    <w:rsid w:val="00A64D51"/>
    <w:rsid w:val="00A64E7A"/>
    <w:rsid w:val="00A64EC0"/>
    <w:rsid w:val="00A64F09"/>
    <w:rsid w:val="00A65044"/>
    <w:rsid w:val="00A65053"/>
    <w:rsid w:val="00A65148"/>
    <w:rsid w:val="00A651C7"/>
    <w:rsid w:val="00A65242"/>
    <w:rsid w:val="00A65254"/>
    <w:rsid w:val="00A652CF"/>
    <w:rsid w:val="00A65403"/>
    <w:rsid w:val="00A65419"/>
    <w:rsid w:val="00A65643"/>
    <w:rsid w:val="00A6564C"/>
    <w:rsid w:val="00A65683"/>
    <w:rsid w:val="00A656A6"/>
    <w:rsid w:val="00A65700"/>
    <w:rsid w:val="00A6573E"/>
    <w:rsid w:val="00A657DB"/>
    <w:rsid w:val="00A657EF"/>
    <w:rsid w:val="00A658FB"/>
    <w:rsid w:val="00A65945"/>
    <w:rsid w:val="00A65956"/>
    <w:rsid w:val="00A65A9C"/>
    <w:rsid w:val="00A65AAE"/>
    <w:rsid w:val="00A65B7C"/>
    <w:rsid w:val="00A65BA2"/>
    <w:rsid w:val="00A65CCC"/>
    <w:rsid w:val="00A65D2F"/>
    <w:rsid w:val="00A65E0D"/>
    <w:rsid w:val="00A65E86"/>
    <w:rsid w:val="00A65EBE"/>
    <w:rsid w:val="00A660C4"/>
    <w:rsid w:val="00A66255"/>
    <w:rsid w:val="00A66259"/>
    <w:rsid w:val="00A664CC"/>
    <w:rsid w:val="00A665B9"/>
    <w:rsid w:val="00A66656"/>
    <w:rsid w:val="00A666A8"/>
    <w:rsid w:val="00A667C0"/>
    <w:rsid w:val="00A66805"/>
    <w:rsid w:val="00A66BB7"/>
    <w:rsid w:val="00A66BDD"/>
    <w:rsid w:val="00A66C04"/>
    <w:rsid w:val="00A66E2D"/>
    <w:rsid w:val="00A66ED2"/>
    <w:rsid w:val="00A66EFA"/>
    <w:rsid w:val="00A6707B"/>
    <w:rsid w:val="00A67277"/>
    <w:rsid w:val="00A6732B"/>
    <w:rsid w:val="00A67454"/>
    <w:rsid w:val="00A67654"/>
    <w:rsid w:val="00A6766F"/>
    <w:rsid w:val="00A6774E"/>
    <w:rsid w:val="00A6791D"/>
    <w:rsid w:val="00A6795A"/>
    <w:rsid w:val="00A67984"/>
    <w:rsid w:val="00A67A2F"/>
    <w:rsid w:val="00A67A3B"/>
    <w:rsid w:val="00A67B22"/>
    <w:rsid w:val="00A67B41"/>
    <w:rsid w:val="00A67CF7"/>
    <w:rsid w:val="00A67D3A"/>
    <w:rsid w:val="00A67F73"/>
    <w:rsid w:val="00A67FCC"/>
    <w:rsid w:val="00A7031C"/>
    <w:rsid w:val="00A703DC"/>
    <w:rsid w:val="00A70470"/>
    <w:rsid w:val="00A7051D"/>
    <w:rsid w:val="00A70971"/>
    <w:rsid w:val="00A70A91"/>
    <w:rsid w:val="00A70BD6"/>
    <w:rsid w:val="00A70C5B"/>
    <w:rsid w:val="00A71018"/>
    <w:rsid w:val="00A71046"/>
    <w:rsid w:val="00A71068"/>
    <w:rsid w:val="00A71115"/>
    <w:rsid w:val="00A711AD"/>
    <w:rsid w:val="00A7122D"/>
    <w:rsid w:val="00A71242"/>
    <w:rsid w:val="00A713E3"/>
    <w:rsid w:val="00A71513"/>
    <w:rsid w:val="00A7168E"/>
    <w:rsid w:val="00A71717"/>
    <w:rsid w:val="00A7183C"/>
    <w:rsid w:val="00A71849"/>
    <w:rsid w:val="00A718F8"/>
    <w:rsid w:val="00A7190C"/>
    <w:rsid w:val="00A71942"/>
    <w:rsid w:val="00A71A34"/>
    <w:rsid w:val="00A71CCB"/>
    <w:rsid w:val="00A71D64"/>
    <w:rsid w:val="00A71FFE"/>
    <w:rsid w:val="00A72062"/>
    <w:rsid w:val="00A722E5"/>
    <w:rsid w:val="00A7236C"/>
    <w:rsid w:val="00A7236E"/>
    <w:rsid w:val="00A723C8"/>
    <w:rsid w:val="00A7261B"/>
    <w:rsid w:val="00A726FE"/>
    <w:rsid w:val="00A72832"/>
    <w:rsid w:val="00A728D3"/>
    <w:rsid w:val="00A729F7"/>
    <w:rsid w:val="00A72B7F"/>
    <w:rsid w:val="00A72BDA"/>
    <w:rsid w:val="00A72D5C"/>
    <w:rsid w:val="00A72E8E"/>
    <w:rsid w:val="00A73087"/>
    <w:rsid w:val="00A732BE"/>
    <w:rsid w:val="00A733D8"/>
    <w:rsid w:val="00A7340E"/>
    <w:rsid w:val="00A7342B"/>
    <w:rsid w:val="00A73567"/>
    <w:rsid w:val="00A7357F"/>
    <w:rsid w:val="00A7362E"/>
    <w:rsid w:val="00A739B1"/>
    <w:rsid w:val="00A73A3E"/>
    <w:rsid w:val="00A73A67"/>
    <w:rsid w:val="00A73BAF"/>
    <w:rsid w:val="00A73CE0"/>
    <w:rsid w:val="00A73D2D"/>
    <w:rsid w:val="00A73DEA"/>
    <w:rsid w:val="00A73F37"/>
    <w:rsid w:val="00A73F6A"/>
    <w:rsid w:val="00A73FB2"/>
    <w:rsid w:val="00A740E2"/>
    <w:rsid w:val="00A7411B"/>
    <w:rsid w:val="00A74192"/>
    <w:rsid w:val="00A741CB"/>
    <w:rsid w:val="00A74289"/>
    <w:rsid w:val="00A74371"/>
    <w:rsid w:val="00A74385"/>
    <w:rsid w:val="00A743A2"/>
    <w:rsid w:val="00A744B3"/>
    <w:rsid w:val="00A744D1"/>
    <w:rsid w:val="00A744EB"/>
    <w:rsid w:val="00A74681"/>
    <w:rsid w:val="00A74738"/>
    <w:rsid w:val="00A748A6"/>
    <w:rsid w:val="00A749E3"/>
    <w:rsid w:val="00A74A35"/>
    <w:rsid w:val="00A74A84"/>
    <w:rsid w:val="00A74BA7"/>
    <w:rsid w:val="00A74CC7"/>
    <w:rsid w:val="00A74DD0"/>
    <w:rsid w:val="00A74EB9"/>
    <w:rsid w:val="00A74ECE"/>
    <w:rsid w:val="00A74FAB"/>
    <w:rsid w:val="00A750A5"/>
    <w:rsid w:val="00A750AB"/>
    <w:rsid w:val="00A75112"/>
    <w:rsid w:val="00A751E7"/>
    <w:rsid w:val="00A75332"/>
    <w:rsid w:val="00A7536C"/>
    <w:rsid w:val="00A7549F"/>
    <w:rsid w:val="00A756C3"/>
    <w:rsid w:val="00A75739"/>
    <w:rsid w:val="00A75782"/>
    <w:rsid w:val="00A75894"/>
    <w:rsid w:val="00A75913"/>
    <w:rsid w:val="00A75BAD"/>
    <w:rsid w:val="00A75BDD"/>
    <w:rsid w:val="00A75C2D"/>
    <w:rsid w:val="00A75C30"/>
    <w:rsid w:val="00A75D11"/>
    <w:rsid w:val="00A75EF4"/>
    <w:rsid w:val="00A75F5A"/>
    <w:rsid w:val="00A7605F"/>
    <w:rsid w:val="00A761D0"/>
    <w:rsid w:val="00A761D8"/>
    <w:rsid w:val="00A76353"/>
    <w:rsid w:val="00A7635F"/>
    <w:rsid w:val="00A763F3"/>
    <w:rsid w:val="00A7643B"/>
    <w:rsid w:val="00A76569"/>
    <w:rsid w:val="00A76570"/>
    <w:rsid w:val="00A76594"/>
    <w:rsid w:val="00A765A0"/>
    <w:rsid w:val="00A765D8"/>
    <w:rsid w:val="00A76691"/>
    <w:rsid w:val="00A766E2"/>
    <w:rsid w:val="00A76778"/>
    <w:rsid w:val="00A76BB2"/>
    <w:rsid w:val="00A76C9E"/>
    <w:rsid w:val="00A76E7B"/>
    <w:rsid w:val="00A76E98"/>
    <w:rsid w:val="00A76F66"/>
    <w:rsid w:val="00A76FA0"/>
    <w:rsid w:val="00A76FA3"/>
    <w:rsid w:val="00A77070"/>
    <w:rsid w:val="00A7714C"/>
    <w:rsid w:val="00A77272"/>
    <w:rsid w:val="00A77313"/>
    <w:rsid w:val="00A773E0"/>
    <w:rsid w:val="00A77446"/>
    <w:rsid w:val="00A775C5"/>
    <w:rsid w:val="00A77607"/>
    <w:rsid w:val="00A7761F"/>
    <w:rsid w:val="00A77749"/>
    <w:rsid w:val="00A777A8"/>
    <w:rsid w:val="00A7782E"/>
    <w:rsid w:val="00A77A15"/>
    <w:rsid w:val="00A77A27"/>
    <w:rsid w:val="00A77ACA"/>
    <w:rsid w:val="00A77B5C"/>
    <w:rsid w:val="00A77C51"/>
    <w:rsid w:val="00A77C5B"/>
    <w:rsid w:val="00A77C9A"/>
    <w:rsid w:val="00A77CAB"/>
    <w:rsid w:val="00A77CAD"/>
    <w:rsid w:val="00A77CEF"/>
    <w:rsid w:val="00A77E22"/>
    <w:rsid w:val="00A77E9F"/>
    <w:rsid w:val="00A77EA4"/>
    <w:rsid w:val="00A77F8E"/>
    <w:rsid w:val="00A801AA"/>
    <w:rsid w:val="00A802D4"/>
    <w:rsid w:val="00A803D0"/>
    <w:rsid w:val="00A803D8"/>
    <w:rsid w:val="00A80588"/>
    <w:rsid w:val="00A80609"/>
    <w:rsid w:val="00A806B8"/>
    <w:rsid w:val="00A8081C"/>
    <w:rsid w:val="00A8092D"/>
    <w:rsid w:val="00A8094D"/>
    <w:rsid w:val="00A80AE9"/>
    <w:rsid w:val="00A80AF8"/>
    <w:rsid w:val="00A80B19"/>
    <w:rsid w:val="00A80B35"/>
    <w:rsid w:val="00A80CFC"/>
    <w:rsid w:val="00A810C9"/>
    <w:rsid w:val="00A8123D"/>
    <w:rsid w:val="00A8127E"/>
    <w:rsid w:val="00A812DB"/>
    <w:rsid w:val="00A81355"/>
    <w:rsid w:val="00A8135A"/>
    <w:rsid w:val="00A8146D"/>
    <w:rsid w:val="00A81527"/>
    <w:rsid w:val="00A8152E"/>
    <w:rsid w:val="00A81564"/>
    <w:rsid w:val="00A817DC"/>
    <w:rsid w:val="00A8189B"/>
    <w:rsid w:val="00A818B8"/>
    <w:rsid w:val="00A818BF"/>
    <w:rsid w:val="00A818C0"/>
    <w:rsid w:val="00A819AD"/>
    <w:rsid w:val="00A819B5"/>
    <w:rsid w:val="00A81B00"/>
    <w:rsid w:val="00A81C1D"/>
    <w:rsid w:val="00A81DB3"/>
    <w:rsid w:val="00A81F2F"/>
    <w:rsid w:val="00A81F43"/>
    <w:rsid w:val="00A81FBB"/>
    <w:rsid w:val="00A82120"/>
    <w:rsid w:val="00A82387"/>
    <w:rsid w:val="00A8238C"/>
    <w:rsid w:val="00A82465"/>
    <w:rsid w:val="00A824A7"/>
    <w:rsid w:val="00A826FB"/>
    <w:rsid w:val="00A8274F"/>
    <w:rsid w:val="00A82770"/>
    <w:rsid w:val="00A82B91"/>
    <w:rsid w:val="00A82D6E"/>
    <w:rsid w:val="00A82E48"/>
    <w:rsid w:val="00A82E5C"/>
    <w:rsid w:val="00A8305D"/>
    <w:rsid w:val="00A830E6"/>
    <w:rsid w:val="00A8311F"/>
    <w:rsid w:val="00A8313A"/>
    <w:rsid w:val="00A831FB"/>
    <w:rsid w:val="00A831FD"/>
    <w:rsid w:val="00A8322A"/>
    <w:rsid w:val="00A832BA"/>
    <w:rsid w:val="00A83310"/>
    <w:rsid w:val="00A83366"/>
    <w:rsid w:val="00A837A8"/>
    <w:rsid w:val="00A838A5"/>
    <w:rsid w:val="00A839D4"/>
    <w:rsid w:val="00A83AA3"/>
    <w:rsid w:val="00A83ACB"/>
    <w:rsid w:val="00A83B19"/>
    <w:rsid w:val="00A83C6F"/>
    <w:rsid w:val="00A83CE1"/>
    <w:rsid w:val="00A83D70"/>
    <w:rsid w:val="00A83E5B"/>
    <w:rsid w:val="00A83EEE"/>
    <w:rsid w:val="00A83F77"/>
    <w:rsid w:val="00A84141"/>
    <w:rsid w:val="00A8428E"/>
    <w:rsid w:val="00A843D7"/>
    <w:rsid w:val="00A843E0"/>
    <w:rsid w:val="00A84431"/>
    <w:rsid w:val="00A84589"/>
    <w:rsid w:val="00A845B0"/>
    <w:rsid w:val="00A84763"/>
    <w:rsid w:val="00A8479A"/>
    <w:rsid w:val="00A84885"/>
    <w:rsid w:val="00A848B5"/>
    <w:rsid w:val="00A848F4"/>
    <w:rsid w:val="00A849C2"/>
    <w:rsid w:val="00A849F8"/>
    <w:rsid w:val="00A84A02"/>
    <w:rsid w:val="00A84DA8"/>
    <w:rsid w:val="00A84EE9"/>
    <w:rsid w:val="00A84F50"/>
    <w:rsid w:val="00A84F76"/>
    <w:rsid w:val="00A85183"/>
    <w:rsid w:val="00A852ED"/>
    <w:rsid w:val="00A85458"/>
    <w:rsid w:val="00A854DF"/>
    <w:rsid w:val="00A854ED"/>
    <w:rsid w:val="00A85552"/>
    <w:rsid w:val="00A8571C"/>
    <w:rsid w:val="00A85978"/>
    <w:rsid w:val="00A85A0A"/>
    <w:rsid w:val="00A85A35"/>
    <w:rsid w:val="00A85A69"/>
    <w:rsid w:val="00A85A72"/>
    <w:rsid w:val="00A85AA8"/>
    <w:rsid w:val="00A85AEF"/>
    <w:rsid w:val="00A85B38"/>
    <w:rsid w:val="00A85C79"/>
    <w:rsid w:val="00A85D87"/>
    <w:rsid w:val="00A85ED1"/>
    <w:rsid w:val="00A85FAA"/>
    <w:rsid w:val="00A8603A"/>
    <w:rsid w:val="00A8614E"/>
    <w:rsid w:val="00A86161"/>
    <w:rsid w:val="00A861E2"/>
    <w:rsid w:val="00A8622D"/>
    <w:rsid w:val="00A862F8"/>
    <w:rsid w:val="00A864A4"/>
    <w:rsid w:val="00A864C7"/>
    <w:rsid w:val="00A86628"/>
    <w:rsid w:val="00A86657"/>
    <w:rsid w:val="00A8668C"/>
    <w:rsid w:val="00A866C7"/>
    <w:rsid w:val="00A8674B"/>
    <w:rsid w:val="00A867ED"/>
    <w:rsid w:val="00A8681D"/>
    <w:rsid w:val="00A86842"/>
    <w:rsid w:val="00A86AB0"/>
    <w:rsid w:val="00A86BF4"/>
    <w:rsid w:val="00A86E44"/>
    <w:rsid w:val="00A86E6A"/>
    <w:rsid w:val="00A86EDD"/>
    <w:rsid w:val="00A86F44"/>
    <w:rsid w:val="00A87156"/>
    <w:rsid w:val="00A8720B"/>
    <w:rsid w:val="00A87271"/>
    <w:rsid w:val="00A8739D"/>
    <w:rsid w:val="00A8742C"/>
    <w:rsid w:val="00A8768E"/>
    <w:rsid w:val="00A87715"/>
    <w:rsid w:val="00A877B4"/>
    <w:rsid w:val="00A878AE"/>
    <w:rsid w:val="00A87ACB"/>
    <w:rsid w:val="00A87B2F"/>
    <w:rsid w:val="00A87BA6"/>
    <w:rsid w:val="00A87BD4"/>
    <w:rsid w:val="00A87BDD"/>
    <w:rsid w:val="00A87CA9"/>
    <w:rsid w:val="00A87CC5"/>
    <w:rsid w:val="00A87ED8"/>
    <w:rsid w:val="00A87EDB"/>
    <w:rsid w:val="00A90042"/>
    <w:rsid w:val="00A9011E"/>
    <w:rsid w:val="00A90191"/>
    <w:rsid w:val="00A903CA"/>
    <w:rsid w:val="00A903F3"/>
    <w:rsid w:val="00A90519"/>
    <w:rsid w:val="00A9051B"/>
    <w:rsid w:val="00A907E4"/>
    <w:rsid w:val="00A909CE"/>
    <w:rsid w:val="00A90A44"/>
    <w:rsid w:val="00A90B95"/>
    <w:rsid w:val="00A90BDD"/>
    <w:rsid w:val="00A90CB1"/>
    <w:rsid w:val="00A90D14"/>
    <w:rsid w:val="00A90E15"/>
    <w:rsid w:val="00A90E9E"/>
    <w:rsid w:val="00A90FBE"/>
    <w:rsid w:val="00A91041"/>
    <w:rsid w:val="00A91058"/>
    <w:rsid w:val="00A9124D"/>
    <w:rsid w:val="00A91270"/>
    <w:rsid w:val="00A91336"/>
    <w:rsid w:val="00A9135E"/>
    <w:rsid w:val="00A91369"/>
    <w:rsid w:val="00A915CA"/>
    <w:rsid w:val="00A91774"/>
    <w:rsid w:val="00A91807"/>
    <w:rsid w:val="00A919C8"/>
    <w:rsid w:val="00A91AD0"/>
    <w:rsid w:val="00A91AD4"/>
    <w:rsid w:val="00A91AFA"/>
    <w:rsid w:val="00A91B11"/>
    <w:rsid w:val="00A91C11"/>
    <w:rsid w:val="00A91C50"/>
    <w:rsid w:val="00A91DFF"/>
    <w:rsid w:val="00A91F5A"/>
    <w:rsid w:val="00A9200B"/>
    <w:rsid w:val="00A92115"/>
    <w:rsid w:val="00A92196"/>
    <w:rsid w:val="00A9222B"/>
    <w:rsid w:val="00A922E7"/>
    <w:rsid w:val="00A923E2"/>
    <w:rsid w:val="00A924C8"/>
    <w:rsid w:val="00A924DA"/>
    <w:rsid w:val="00A924DC"/>
    <w:rsid w:val="00A9257F"/>
    <w:rsid w:val="00A925EF"/>
    <w:rsid w:val="00A9272F"/>
    <w:rsid w:val="00A92858"/>
    <w:rsid w:val="00A928D7"/>
    <w:rsid w:val="00A92ABF"/>
    <w:rsid w:val="00A92ACF"/>
    <w:rsid w:val="00A92CB8"/>
    <w:rsid w:val="00A92FF3"/>
    <w:rsid w:val="00A93034"/>
    <w:rsid w:val="00A93079"/>
    <w:rsid w:val="00A9311C"/>
    <w:rsid w:val="00A93126"/>
    <w:rsid w:val="00A93276"/>
    <w:rsid w:val="00A932B2"/>
    <w:rsid w:val="00A932FF"/>
    <w:rsid w:val="00A933C3"/>
    <w:rsid w:val="00A93446"/>
    <w:rsid w:val="00A934FC"/>
    <w:rsid w:val="00A93544"/>
    <w:rsid w:val="00A93698"/>
    <w:rsid w:val="00A936D7"/>
    <w:rsid w:val="00A9370A"/>
    <w:rsid w:val="00A937B8"/>
    <w:rsid w:val="00A9397A"/>
    <w:rsid w:val="00A93A4D"/>
    <w:rsid w:val="00A93B56"/>
    <w:rsid w:val="00A93B98"/>
    <w:rsid w:val="00A93CDB"/>
    <w:rsid w:val="00A93D0B"/>
    <w:rsid w:val="00A93F55"/>
    <w:rsid w:val="00A93FA6"/>
    <w:rsid w:val="00A94061"/>
    <w:rsid w:val="00A94107"/>
    <w:rsid w:val="00A94127"/>
    <w:rsid w:val="00A943C2"/>
    <w:rsid w:val="00A944F3"/>
    <w:rsid w:val="00A94549"/>
    <w:rsid w:val="00A94576"/>
    <w:rsid w:val="00A94587"/>
    <w:rsid w:val="00A945D5"/>
    <w:rsid w:val="00A94621"/>
    <w:rsid w:val="00A94655"/>
    <w:rsid w:val="00A9469A"/>
    <w:rsid w:val="00A94A26"/>
    <w:rsid w:val="00A94B10"/>
    <w:rsid w:val="00A94C8C"/>
    <w:rsid w:val="00A94CF4"/>
    <w:rsid w:val="00A94DFA"/>
    <w:rsid w:val="00A94EF3"/>
    <w:rsid w:val="00A94FF1"/>
    <w:rsid w:val="00A9500A"/>
    <w:rsid w:val="00A95021"/>
    <w:rsid w:val="00A95075"/>
    <w:rsid w:val="00A9512E"/>
    <w:rsid w:val="00A951B9"/>
    <w:rsid w:val="00A9525C"/>
    <w:rsid w:val="00A953D3"/>
    <w:rsid w:val="00A95439"/>
    <w:rsid w:val="00A95490"/>
    <w:rsid w:val="00A954A5"/>
    <w:rsid w:val="00A95614"/>
    <w:rsid w:val="00A95632"/>
    <w:rsid w:val="00A95668"/>
    <w:rsid w:val="00A95847"/>
    <w:rsid w:val="00A95972"/>
    <w:rsid w:val="00A95A62"/>
    <w:rsid w:val="00A95D55"/>
    <w:rsid w:val="00A95D60"/>
    <w:rsid w:val="00A95E46"/>
    <w:rsid w:val="00A962A4"/>
    <w:rsid w:val="00A962AC"/>
    <w:rsid w:val="00A963BA"/>
    <w:rsid w:val="00A9651E"/>
    <w:rsid w:val="00A96542"/>
    <w:rsid w:val="00A966D3"/>
    <w:rsid w:val="00A9679C"/>
    <w:rsid w:val="00A96855"/>
    <w:rsid w:val="00A9690E"/>
    <w:rsid w:val="00A96931"/>
    <w:rsid w:val="00A969A2"/>
    <w:rsid w:val="00A969CE"/>
    <w:rsid w:val="00A96A99"/>
    <w:rsid w:val="00A96C5F"/>
    <w:rsid w:val="00A96CAD"/>
    <w:rsid w:val="00A96D29"/>
    <w:rsid w:val="00A96D42"/>
    <w:rsid w:val="00A96E4E"/>
    <w:rsid w:val="00A96ECF"/>
    <w:rsid w:val="00A96F11"/>
    <w:rsid w:val="00A96F8E"/>
    <w:rsid w:val="00A97058"/>
    <w:rsid w:val="00A97356"/>
    <w:rsid w:val="00A973EA"/>
    <w:rsid w:val="00A97508"/>
    <w:rsid w:val="00A976BA"/>
    <w:rsid w:val="00A97797"/>
    <w:rsid w:val="00A9781B"/>
    <w:rsid w:val="00A97842"/>
    <w:rsid w:val="00A978C2"/>
    <w:rsid w:val="00A979A5"/>
    <w:rsid w:val="00A979F2"/>
    <w:rsid w:val="00A97B22"/>
    <w:rsid w:val="00A97BC2"/>
    <w:rsid w:val="00A97C80"/>
    <w:rsid w:val="00A97D02"/>
    <w:rsid w:val="00A97D25"/>
    <w:rsid w:val="00A97D39"/>
    <w:rsid w:val="00A97D44"/>
    <w:rsid w:val="00A97DE0"/>
    <w:rsid w:val="00A97EBE"/>
    <w:rsid w:val="00A97EEB"/>
    <w:rsid w:val="00AA009F"/>
    <w:rsid w:val="00AA00B9"/>
    <w:rsid w:val="00AA01D0"/>
    <w:rsid w:val="00AA0224"/>
    <w:rsid w:val="00AA0248"/>
    <w:rsid w:val="00AA0265"/>
    <w:rsid w:val="00AA02EC"/>
    <w:rsid w:val="00AA0335"/>
    <w:rsid w:val="00AA0457"/>
    <w:rsid w:val="00AA055C"/>
    <w:rsid w:val="00AA073D"/>
    <w:rsid w:val="00AA082A"/>
    <w:rsid w:val="00AA0878"/>
    <w:rsid w:val="00AA08CF"/>
    <w:rsid w:val="00AA0AB7"/>
    <w:rsid w:val="00AA0ADC"/>
    <w:rsid w:val="00AA0BCA"/>
    <w:rsid w:val="00AA0D0A"/>
    <w:rsid w:val="00AA0DF7"/>
    <w:rsid w:val="00AA0E53"/>
    <w:rsid w:val="00AA0EEA"/>
    <w:rsid w:val="00AA0F1A"/>
    <w:rsid w:val="00AA0F35"/>
    <w:rsid w:val="00AA0FD3"/>
    <w:rsid w:val="00AA0FE0"/>
    <w:rsid w:val="00AA116D"/>
    <w:rsid w:val="00AA11D1"/>
    <w:rsid w:val="00AA134A"/>
    <w:rsid w:val="00AA153F"/>
    <w:rsid w:val="00AA16E7"/>
    <w:rsid w:val="00AA1719"/>
    <w:rsid w:val="00AA19F2"/>
    <w:rsid w:val="00AA19F3"/>
    <w:rsid w:val="00AA1B72"/>
    <w:rsid w:val="00AA1B8C"/>
    <w:rsid w:val="00AA1D40"/>
    <w:rsid w:val="00AA1DEC"/>
    <w:rsid w:val="00AA1FAB"/>
    <w:rsid w:val="00AA2085"/>
    <w:rsid w:val="00AA216D"/>
    <w:rsid w:val="00AA2236"/>
    <w:rsid w:val="00AA2275"/>
    <w:rsid w:val="00AA22BD"/>
    <w:rsid w:val="00AA22DE"/>
    <w:rsid w:val="00AA2315"/>
    <w:rsid w:val="00AA23C9"/>
    <w:rsid w:val="00AA24A7"/>
    <w:rsid w:val="00AA24AB"/>
    <w:rsid w:val="00AA2581"/>
    <w:rsid w:val="00AA2608"/>
    <w:rsid w:val="00AA2724"/>
    <w:rsid w:val="00AA2899"/>
    <w:rsid w:val="00AA2A3C"/>
    <w:rsid w:val="00AA2AEC"/>
    <w:rsid w:val="00AA2B15"/>
    <w:rsid w:val="00AA2B6B"/>
    <w:rsid w:val="00AA2BB0"/>
    <w:rsid w:val="00AA2CDA"/>
    <w:rsid w:val="00AA2D5D"/>
    <w:rsid w:val="00AA2D9E"/>
    <w:rsid w:val="00AA2DA6"/>
    <w:rsid w:val="00AA3002"/>
    <w:rsid w:val="00AA3015"/>
    <w:rsid w:val="00AA34BF"/>
    <w:rsid w:val="00AA372B"/>
    <w:rsid w:val="00AA373C"/>
    <w:rsid w:val="00AA378E"/>
    <w:rsid w:val="00AA37D2"/>
    <w:rsid w:val="00AA3800"/>
    <w:rsid w:val="00AA382E"/>
    <w:rsid w:val="00AA387B"/>
    <w:rsid w:val="00AA38AB"/>
    <w:rsid w:val="00AA38AF"/>
    <w:rsid w:val="00AA39E6"/>
    <w:rsid w:val="00AA3A36"/>
    <w:rsid w:val="00AA3A69"/>
    <w:rsid w:val="00AA3D99"/>
    <w:rsid w:val="00AA3DA7"/>
    <w:rsid w:val="00AA3DF0"/>
    <w:rsid w:val="00AA3ED1"/>
    <w:rsid w:val="00AA3F16"/>
    <w:rsid w:val="00AA4076"/>
    <w:rsid w:val="00AA40C3"/>
    <w:rsid w:val="00AA40F8"/>
    <w:rsid w:val="00AA4104"/>
    <w:rsid w:val="00AA416A"/>
    <w:rsid w:val="00AA423B"/>
    <w:rsid w:val="00AA4311"/>
    <w:rsid w:val="00AA432C"/>
    <w:rsid w:val="00AA436F"/>
    <w:rsid w:val="00AA443C"/>
    <w:rsid w:val="00AA45D1"/>
    <w:rsid w:val="00AA4687"/>
    <w:rsid w:val="00AA478B"/>
    <w:rsid w:val="00AA47ED"/>
    <w:rsid w:val="00AA4858"/>
    <w:rsid w:val="00AA4906"/>
    <w:rsid w:val="00AA4958"/>
    <w:rsid w:val="00AA4C02"/>
    <w:rsid w:val="00AA4C8C"/>
    <w:rsid w:val="00AA4CCA"/>
    <w:rsid w:val="00AA4D0F"/>
    <w:rsid w:val="00AA4D36"/>
    <w:rsid w:val="00AA4D38"/>
    <w:rsid w:val="00AA4E11"/>
    <w:rsid w:val="00AA4E31"/>
    <w:rsid w:val="00AA4E68"/>
    <w:rsid w:val="00AA5251"/>
    <w:rsid w:val="00AA5310"/>
    <w:rsid w:val="00AA5485"/>
    <w:rsid w:val="00AA54D1"/>
    <w:rsid w:val="00AA54FC"/>
    <w:rsid w:val="00AA5547"/>
    <w:rsid w:val="00AA5725"/>
    <w:rsid w:val="00AA5883"/>
    <w:rsid w:val="00AA58F5"/>
    <w:rsid w:val="00AA59FD"/>
    <w:rsid w:val="00AA5A6E"/>
    <w:rsid w:val="00AA5D3F"/>
    <w:rsid w:val="00AA5F09"/>
    <w:rsid w:val="00AA5F18"/>
    <w:rsid w:val="00AA5FA3"/>
    <w:rsid w:val="00AA5FC6"/>
    <w:rsid w:val="00AA5FD4"/>
    <w:rsid w:val="00AA6343"/>
    <w:rsid w:val="00AA6370"/>
    <w:rsid w:val="00AA63AC"/>
    <w:rsid w:val="00AA64E6"/>
    <w:rsid w:val="00AA650A"/>
    <w:rsid w:val="00AA6552"/>
    <w:rsid w:val="00AA6561"/>
    <w:rsid w:val="00AA670B"/>
    <w:rsid w:val="00AA6837"/>
    <w:rsid w:val="00AA683C"/>
    <w:rsid w:val="00AA6898"/>
    <w:rsid w:val="00AA68C9"/>
    <w:rsid w:val="00AA6993"/>
    <w:rsid w:val="00AA6AC5"/>
    <w:rsid w:val="00AA6AF7"/>
    <w:rsid w:val="00AA6B06"/>
    <w:rsid w:val="00AA6E11"/>
    <w:rsid w:val="00AA6E89"/>
    <w:rsid w:val="00AA6E8B"/>
    <w:rsid w:val="00AA6E9C"/>
    <w:rsid w:val="00AA6F7F"/>
    <w:rsid w:val="00AA6FCC"/>
    <w:rsid w:val="00AA721B"/>
    <w:rsid w:val="00AA7261"/>
    <w:rsid w:val="00AA7343"/>
    <w:rsid w:val="00AA73EA"/>
    <w:rsid w:val="00AA7701"/>
    <w:rsid w:val="00AA772B"/>
    <w:rsid w:val="00AA77E7"/>
    <w:rsid w:val="00AA7886"/>
    <w:rsid w:val="00AA7887"/>
    <w:rsid w:val="00AA7A44"/>
    <w:rsid w:val="00AA7A68"/>
    <w:rsid w:val="00AA7B5C"/>
    <w:rsid w:val="00AA7B6D"/>
    <w:rsid w:val="00AA7B8F"/>
    <w:rsid w:val="00AA7C6A"/>
    <w:rsid w:val="00AA7C8D"/>
    <w:rsid w:val="00AA7CBB"/>
    <w:rsid w:val="00AA7DA7"/>
    <w:rsid w:val="00AA7DB3"/>
    <w:rsid w:val="00AA7DBF"/>
    <w:rsid w:val="00AA7EF6"/>
    <w:rsid w:val="00AA7F74"/>
    <w:rsid w:val="00AA7F85"/>
    <w:rsid w:val="00AA7FCF"/>
    <w:rsid w:val="00AB014F"/>
    <w:rsid w:val="00AB01BF"/>
    <w:rsid w:val="00AB0217"/>
    <w:rsid w:val="00AB025C"/>
    <w:rsid w:val="00AB02AD"/>
    <w:rsid w:val="00AB03AC"/>
    <w:rsid w:val="00AB05D6"/>
    <w:rsid w:val="00AB064E"/>
    <w:rsid w:val="00AB0767"/>
    <w:rsid w:val="00AB085D"/>
    <w:rsid w:val="00AB0A5D"/>
    <w:rsid w:val="00AB0AE1"/>
    <w:rsid w:val="00AB0B33"/>
    <w:rsid w:val="00AB0BD5"/>
    <w:rsid w:val="00AB0C2C"/>
    <w:rsid w:val="00AB0C34"/>
    <w:rsid w:val="00AB0D55"/>
    <w:rsid w:val="00AB0DB9"/>
    <w:rsid w:val="00AB0F7F"/>
    <w:rsid w:val="00AB1079"/>
    <w:rsid w:val="00AB10E1"/>
    <w:rsid w:val="00AB1179"/>
    <w:rsid w:val="00AB1258"/>
    <w:rsid w:val="00AB1310"/>
    <w:rsid w:val="00AB131F"/>
    <w:rsid w:val="00AB13BA"/>
    <w:rsid w:val="00AB13F9"/>
    <w:rsid w:val="00AB1445"/>
    <w:rsid w:val="00AB14E6"/>
    <w:rsid w:val="00AB154A"/>
    <w:rsid w:val="00AB1960"/>
    <w:rsid w:val="00AB1995"/>
    <w:rsid w:val="00AB1A41"/>
    <w:rsid w:val="00AB1ACB"/>
    <w:rsid w:val="00AB1B48"/>
    <w:rsid w:val="00AB1B4F"/>
    <w:rsid w:val="00AB1C14"/>
    <w:rsid w:val="00AB1C56"/>
    <w:rsid w:val="00AB1C95"/>
    <w:rsid w:val="00AB1E95"/>
    <w:rsid w:val="00AB1F02"/>
    <w:rsid w:val="00AB1F31"/>
    <w:rsid w:val="00AB200E"/>
    <w:rsid w:val="00AB2131"/>
    <w:rsid w:val="00AB2139"/>
    <w:rsid w:val="00AB221E"/>
    <w:rsid w:val="00AB2292"/>
    <w:rsid w:val="00AB23DD"/>
    <w:rsid w:val="00AB247B"/>
    <w:rsid w:val="00AB2483"/>
    <w:rsid w:val="00AB2484"/>
    <w:rsid w:val="00AB2573"/>
    <w:rsid w:val="00AB273F"/>
    <w:rsid w:val="00AB27D9"/>
    <w:rsid w:val="00AB2836"/>
    <w:rsid w:val="00AB289C"/>
    <w:rsid w:val="00AB2A43"/>
    <w:rsid w:val="00AB2B04"/>
    <w:rsid w:val="00AB2BFB"/>
    <w:rsid w:val="00AB2C50"/>
    <w:rsid w:val="00AB2CBE"/>
    <w:rsid w:val="00AB2CC2"/>
    <w:rsid w:val="00AB2CFA"/>
    <w:rsid w:val="00AB2EA9"/>
    <w:rsid w:val="00AB2FFB"/>
    <w:rsid w:val="00AB3002"/>
    <w:rsid w:val="00AB3045"/>
    <w:rsid w:val="00AB31BC"/>
    <w:rsid w:val="00AB3278"/>
    <w:rsid w:val="00AB3315"/>
    <w:rsid w:val="00AB3382"/>
    <w:rsid w:val="00AB35ED"/>
    <w:rsid w:val="00AB36CF"/>
    <w:rsid w:val="00AB3768"/>
    <w:rsid w:val="00AB37F4"/>
    <w:rsid w:val="00AB3850"/>
    <w:rsid w:val="00AB38D6"/>
    <w:rsid w:val="00AB3958"/>
    <w:rsid w:val="00AB3B46"/>
    <w:rsid w:val="00AB3BB0"/>
    <w:rsid w:val="00AB3BFD"/>
    <w:rsid w:val="00AB3EB2"/>
    <w:rsid w:val="00AB3F4E"/>
    <w:rsid w:val="00AB414C"/>
    <w:rsid w:val="00AB4457"/>
    <w:rsid w:val="00AB46C4"/>
    <w:rsid w:val="00AB47B3"/>
    <w:rsid w:val="00AB4895"/>
    <w:rsid w:val="00AB48A5"/>
    <w:rsid w:val="00AB48A8"/>
    <w:rsid w:val="00AB4B18"/>
    <w:rsid w:val="00AB4B3A"/>
    <w:rsid w:val="00AB4D63"/>
    <w:rsid w:val="00AB4E0C"/>
    <w:rsid w:val="00AB4EC8"/>
    <w:rsid w:val="00AB4FCA"/>
    <w:rsid w:val="00AB4FE7"/>
    <w:rsid w:val="00AB5056"/>
    <w:rsid w:val="00AB50CC"/>
    <w:rsid w:val="00AB5110"/>
    <w:rsid w:val="00AB5301"/>
    <w:rsid w:val="00AB5354"/>
    <w:rsid w:val="00AB55DD"/>
    <w:rsid w:val="00AB577A"/>
    <w:rsid w:val="00AB580E"/>
    <w:rsid w:val="00AB58E6"/>
    <w:rsid w:val="00AB5907"/>
    <w:rsid w:val="00AB59CF"/>
    <w:rsid w:val="00AB5A0A"/>
    <w:rsid w:val="00AB5B6A"/>
    <w:rsid w:val="00AB5C34"/>
    <w:rsid w:val="00AB5D02"/>
    <w:rsid w:val="00AB5DD5"/>
    <w:rsid w:val="00AB5EFB"/>
    <w:rsid w:val="00AB6029"/>
    <w:rsid w:val="00AB605C"/>
    <w:rsid w:val="00AB6114"/>
    <w:rsid w:val="00AB6135"/>
    <w:rsid w:val="00AB622F"/>
    <w:rsid w:val="00AB6286"/>
    <w:rsid w:val="00AB6368"/>
    <w:rsid w:val="00AB63FA"/>
    <w:rsid w:val="00AB6418"/>
    <w:rsid w:val="00AB6631"/>
    <w:rsid w:val="00AB6967"/>
    <w:rsid w:val="00AB6C1B"/>
    <w:rsid w:val="00AB6C4C"/>
    <w:rsid w:val="00AB6D5B"/>
    <w:rsid w:val="00AB6DFF"/>
    <w:rsid w:val="00AB6E5E"/>
    <w:rsid w:val="00AB727A"/>
    <w:rsid w:val="00AB7297"/>
    <w:rsid w:val="00AB7400"/>
    <w:rsid w:val="00AB770C"/>
    <w:rsid w:val="00AB77E7"/>
    <w:rsid w:val="00AB7945"/>
    <w:rsid w:val="00AB7955"/>
    <w:rsid w:val="00AB7A14"/>
    <w:rsid w:val="00AB7A36"/>
    <w:rsid w:val="00AB7EBE"/>
    <w:rsid w:val="00AB7F0A"/>
    <w:rsid w:val="00AB7F25"/>
    <w:rsid w:val="00AC0029"/>
    <w:rsid w:val="00AC0176"/>
    <w:rsid w:val="00AC01F6"/>
    <w:rsid w:val="00AC02B5"/>
    <w:rsid w:val="00AC0459"/>
    <w:rsid w:val="00AC055A"/>
    <w:rsid w:val="00AC0663"/>
    <w:rsid w:val="00AC070A"/>
    <w:rsid w:val="00AC0888"/>
    <w:rsid w:val="00AC0A08"/>
    <w:rsid w:val="00AC0AAC"/>
    <w:rsid w:val="00AC0ACD"/>
    <w:rsid w:val="00AC0BC1"/>
    <w:rsid w:val="00AC0BCF"/>
    <w:rsid w:val="00AC0D19"/>
    <w:rsid w:val="00AC0E08"/>
    <w:rsid w:val="00AC0FA9"/>
    <w:rsid w:val="00AC10E9"/>
    <w:rsid w:val="00AC1246"/>
    <w:rsid w:val="00AC14D3"/>
    <w:rsid w:val="00AC14DE"/>
    <w:rsid w:val="00AC150D"/>
    <w:rsid w:val="00AC1609"/>
    <w:rsid w:val="00AC17B8"/>
    <w:rsid w:val="00AC18E0"/>
    <w:rsid w:val="00AC1A03"/>
    <w:rsid w:val="00AC1A63"/>
    <w:rsid w:val="00AC1A73"/>
    <w:rsid w:val="00AC1BB2"/>
    <w:rsid w:val="00AC1BDC"/>
    <w:rsid w:val="00AC1BF8"/>
    <w:rsid w:val="00AC1C71"/>
    <w:rsid w:val="00AC1D6F"/>
    <w:rsid w:val="00AC1DBD"/>
    <w:rsid w:val="00AC1E3A"/>
    <w:rsid w:val="00AC20AA"/>
    <w:rsid w:val="00AC2158"/>
    <w:rsid w:val="00AC21E6"/>
    <w:rsid w:val="00AC237B"/>
    <w:rsid w:val="00AC23EB"/>
    <w:rsid w:val="00AC2453"/>
    <w:rsid w:val="00AC2474"/>
    <w:rsid w:val="00AC2708"/>
    <w:rsid w:val="00AC2794"/>
    <w:rsid w:val="00AC2B24"/>
    <w:rsid w:val="00AC2B45"/>
    <w:rsid w:val="00AC2D10"/>
    <w:rsid w:val="00AC2D28"/>
    <w:rsid w:val="00AC2E40"/>
    <w:rsid w:val="00AC3128"/>
    <w:rsid w:val="00AC317E"/>
    <w:rsid w:val="00AC3299"/>
    <w:rsid w:val="00AC32AE"/>
    <w:rsid w:val="00AC340B"/>
    <w:rsid w:val="00AC344D"/>
    <w:rsid w:val="00AC3454"/>
    <w:rsid w:val="00AC3662"/>
    <w:rsid w:val="00AC36CE"/>
    <w:rsid w:val="00AC36EB"/>
    <w:rsid w:val="00AC3B7E"/>
    <w:rsid w:val="00AC3C0C"/>
    <w:rsid w:val="00AC3E9E"/>
    <w:rsid w:val="00AC3F83"/>
    <w:rsid w:val="00AC3F93"/>
    <w:rsid w:val="00AC3FC4"/>
    <w:rsid w:val="00AC4043"/>
    <w:rsid w:val="00AC4045"/>
    <w:rsid w:val="00AC4067"/>
    <w:rsid w:val="00AC4076"/>
    <w:rsid w:val="00AC40D8"/>
    <w:rsid w:val="00AC4143"/>
    <w:rsid w:val="00AC416B"/>
    <w:rsid w:val="00AC4202"/>
    <w:rsid w:val="00AC42BC"/>
    <w:rsid w:val="00AC4309"/>
    <w:rsid w:val="00AC4592"/>
    <w:rsid w:val="00AC45AB"/>
    <w:rsid w:val="00AC464E"/>
    <w:rsid w:val="00AC46D2"/>
    <w:rsid w:val="00AC46F0"/>
    <w:rsid w:val="00AC4807"/>
    <w:rsid w:val="00AC4809"/>
    <w:rsid w:val="00AC4838"/>
    <w:rsid w:val="00AC48FF"/>
    <w:rsid w:val="00AC495D"/>
    <w:rsid w:val="00AC4B05"/>
    <w:rsid w:val="00AC4C38"/>
    <w:rsid w:val="00AC4EF6"/>
    <w:rsid w:val="00AC4FB7"/>
    <w:rsid w:val="00AC50D4"/>
    <w:rsid w:val="00AC50F5"/>
    <w:rsid w:val="00AC5132"/>
    <w:rsid w:val="00AC5178"/>
    <w:rsid w:val="00AC524A"/>
    <w:rsid w:val="00AC5398"/>
    <w:rsid w:val="00AC53E5"/>
    <w:rsid w:val="00AC5438"/>
    <w:rsid w:val="00AC54B9"/>
    <w:rsid w:val="00AC54EB"/>
    <w:rsid w:val="00AC551C"/>
    <w:rsid w:val="00AC557F"/>
    <w:rsid w:val="00AC5602"/>
    <w:rsid w:val="00AC56A0"/>
    <w:rsid w:val="00AC5869"/>
    <w:rsid w:val="00AC5900"/>
    <w:rsid w:val="00AC5997"/>
    <w:rsid w:val="00AC5A1E"/>
    <w:rsid w:val="00AC5A3A"/>
    <w:rsid w:val="00AC5BA7"/>
    <w:rsid w:val="00AC5CA6"/>
    <w:rsid w:val="00AC5DD9"/>
    <w:rsid w:val="00AC5E4F"/>
    <w:rsid w:val="00AC5F71"/>
    <w:rsid w:val="00AC5FB8"/>
    <w:rsid w:val="00AC6104"/>
    <w:rsid w:val="00AC6232"/>
    <w:rsid w:val="00AC62FF"/>
    <w:rsid w:val="00AC631A"/>
    <w:rsid w:val="00AC631E"/>
    <w:rsid w:val="00AC6327"/>
    <w:rsid w:val="00AC6543"/>
    <w:rsid w:val="00AC65EC"/>
    <w:rsid w:val="00AC688F"/>
    <w:rsid w:val="00AC6916"/>
    <w:rsid w:val="00AC6975"/>
    <w:rsid w:val="00AC6AB0"/>
    <w:rsid w:val="00AC6BC6"/>
    <w:rsid w:val="00AC6C73"/>
    <w:rsid w:val="00AC6CB8"/>
    <w:rsid w:val="00AC6CCF"/>
    <w:rsid w:val="00AC6CD4"/>
    <w:rsid w:val="00AC6E3F"/>
    <w:rsid w:val="00AC6F6C"/>
    <w:rsid w:val="00AC709C"/>
    <w:rsid w:val="00AC713E"/>
    <w:rsid w:val="00AC71E4"/>
    <w:rsid w:val="00AC7442"/>
    <w:rsid w:val="00AC760B"/>
    <w:rsid w:val="00AC7676"/>
    <w:rsid w:val="00AC768C"/>
    <w:rsid w:val="00AC76EB"/>
    <w:rsid w:val="00AC777A"/>
    <w:rsid w:val="00AC7798"/>
    <w:rsid w:val="00AC781D"/>
    <w:rsid w:val="00AC78AA"/>
    <w:rsid w:val="00AC790E"/>
    <w:rsid w:val="00AC79DE"/>
    <w:rsid w:val="00AC7A13"/>
    <w:rsid w:val="00AC7A19"/>
    <w:rsid w:val="00AC7A7E"/>
    <w:rsid w:val="00AC7AF1"/>
    <w:rsid w:val="00AC7BC6"/>
    <w:rsid w:val="00AC7DE5"/>
    <w:rsid w:val="00AC7E20"/>
    <w:rsid w:val="00AC7E79"/>
    <w:rsid w:val="00AC7EEC"/>
    <w:rsid w:val="00AD00AC"/>
    <w:rsid w:val="00AD00DB"/>
    <w:rsid w:val="00AD00F1"/>
    <w:rsid w:val="00AD02EC"/>
    <w:rsid w:val="00AD05D2"/>
    <w:rsid w:val="00AD074D"/>
    <w:rsid w:val="00AD077B"/>
    <w:rsid w:val="00AD09ED"/>
    <w:rsid w:val="00AD0A47"/>
    <w:rsid w:val="00AD0B4C"/>
    <w:rsid w:val="00AD0BED"/>
    <w:rsid w:val="00AD0CE0"/>
    <w:rsid w:val="00AD0E05"/>
    <w:rsid w:val="00AD0E30"/>
    <w:rsid w:val="00AD0EDD"/>
    <w:rsid w:val="00AD0EFE"/>
    <w:rsid w:val="00AD0FCA"/>
    <w:rsid w:val="00AD1450"/>
    <w:rsid w:val="00AD1610"/>
    <w:rsid w:val="00AD16FC"/>
    <w:rsid w:val="00AD17FD"/>
    <w:rsid w:val="00AD18FB"/>
    <w:rsid w:val="00AD1A10"/>
    <w:rsid w:val="00AD1A9D"/>
    <w:rsid w:val="00AD1CC2"/>
    <w:rsid w:val="00AD1D9F"/>
    <w:rsid w:val="00AD1E8D"/>
    <w:rsid w:val="00AD1F87"/>
    <w:rsid w:val="00AD1FE3"/>
    <w:rsid w:val="00AD2020"/>
    <w:rsid w:val="00AD2070"/>
    <w:rsid w:val="00AD211C"/>
    <w:rsid w:val="00AD2146"/>
    <w:rsid w:val="00AD2268"/>
    <w:rsid w:val="00AD2386"/>
    <w:rsid w:val="00AD24C4"/>
    <w:rsid w:val="00AD2549"/>
    <w:rsid w:val="00AD2637"/>
    <w:rsid w:val="00AD28A2"/>
    <w:rsid w:val="00AD2913"/>
    <w:rsid w:val="00AD299A"/>
    <w:rsid w:val="00AD29A8"/>
    <w:rsid w:val="00AD2AE0"/>
    <w:rsid w:val="00AD2B48"/>
    <w:rsid w:val="00AD2ECC"/>
    <w:rsid w:val="00AD3035"/>
    <w:rsid w:val="00AD30C5"/>
    <w:rsid w:val="00AD30CF"/>
    <w:rsid w:val="00AD31A2"/>
    <w:rsid w:val="00AD3239"/>
    <w:rsid w:val="00AD3254"/>
    <w:rsid w:val="00AD32FB"/>
    <w:rsid w:val="00AD335F"/>
    <w:rsid w:val="00AD3491"/>
    <w:rsid w:val="00AD34D8"/>
    <w:rsid w:val="00AD350A"/>
    <w:rsid w:val="00AD35A2"/>
    <w:rsid w:val="00AD3681"/>
    <w:rsid w:val="00AD3711"/>
    <w:rsid w:val="00AD38AD"/>
    <w:rsid w:val="00AD3ACA"/>
    <w:rsid w:val="00AD3C81"/>
    <w:rsid w:val="00AD3D04"/>
    <w:rsid w:val="00AD3E37"/>
    <w:rsid w:val="00AD3E96"/>
    <w:rsid w:val="00AD3EEB"/>
    <w:rsid w:val="00AD3FE3"/>
    <w:rsid w:val="00AD3FE7"/>
    <w:rsid w:val="00AD4104"/>
    <w:rsid w:val="00AD418D"/>
    <w:rsid w:val="00AD42F9"/>
    <w:rsid w:val="00AD433E"/>
    <w:rsid w:val="00AD43DE"/>
    <w:rsid w:val="00AD443E"/>
    <w:rsid w:val="00AD449C"/>
    <w:rsid w:val="00AD44B8"/>
    <w:rsid w:val="00AD451D"/>
    <w:rsid w:val="00AD4521"/>
    <w:rsid w:val="00AD4567"/>
    <w:rsid w:val="00AD45A8"/>
    <w:rsid w:val="00AD45AD"/>
    <w:rsid w:val="00AD45C1"/>
    <w:rsid w:val="00AD45F7"/>
    <w:rsid w:val="00AD472C"/>
    <w:rsid w:val="00AD47D0"/>
    <w:rsid w:val="00AD4983"/>
    <w:rsid w:val="00AD4AC1"/>
    <w:rsid w:val="00AD4C15"/>
    <w:rsid w:val="00AD4CD0"/>
    <w:rsid w:val="00AD4D0F"/>
    <w:rsid w:val="00AD4D23"/>
    <w:rsid w:val="00AD4D3B"/>
    <w:rsid w:val="00AD4D80"/>
    <w:rsid w:val="00AD4EDD"/>
    <w:rsid w:val="00AD4F4E"/>
    <w:rsid w:val="00AD4F69"/>
    <w:rsid w:val="00AD4FA7"/>
    <w:rsid w:val="00AD5110"/>
    <w:rsid w:val="00AD5175"/>
    <w:rsid w:val="00AD517A"/>
    <w:rsid w:val="00AD5246"/>
    <w:rsid w:val="00AD549B"/>
    <w:rsid w:val="00AD5546"/>
    <w:rsid w:val="00AD5564"/>
    <w:rsid w:val="00AD5568"/>
    <w:rsid w:val="00AD56BF"/>
    <w:rsid w:val="00AD5903"/>
    <w:rsid w:val="00AD5905"/>
    <w:rsid w:val="00AD5A27"/>
    <w:rsid w:val="00AD5A31"/>
    <w:rsid w:val="00AD5A87"/>
    <w:rsid w:val="00AD5CF4"/>
    <w:rsid w:val="00AD5D3A"/>
    <w:rsid w:val="00AD5EF9"/>
    <w:rsid w:val="00AD6038"/>
    <w:rsid w:val="00AD6280"/>
    <w:rsid w:val="00AD628D"/>
    <w:rsid w:val="00AD6301"/>
    <w:rsid w:val="00AD63C1"/>
    <w:rsid w:val="00AD64E5"/>
    <w:rsid w:val="00AD690B"/>
    <w:rsid w:val="00AD6C94"/>
    <w:rsid w:val="00AD6E5D"/>
    <w:rsid w:val="00AD705F"/>
    <w:rsid w:val="00AD70D6"/>
    <w:rsid w:val="00AD736F"/>
    <w:rsid w:val="00AD73FA"/>
    <w:rsid w:val="00AD743F"/>
    <w:rsid w:val="00AD7442"/>
    <w:rsid w:val="00AD74FE"/>
    <w:rsid w:val="00AD75F0"/>
    <w:rsid w:val="00AD76E4"/>
    <w:rsid w:val="00AD777F"/>
    <w:rsid w:val="00AD7787"/>
    <w:rsid w:val="00AD7890"/>
    <w:rsid w:val="00AD7973"/>
    <w:rsid w:val="00AD7AF1"/>
    <w:rsid w:val="00AD7AF2"/>
    <w:rsid w:val="00AD7B7B"/>
    <w:rsid w:val="00AD7D5E"/>
    <w:rsid w:val="00AD7F13"/>
    <w:rsid w:val="00AD7F52"/>
    <w:rsid w:val="00AD7FC2"/>
    <w:rsid w:val="00AE0128"/>
    <w:rsid w:val="00AE0759"/>
    <w:rsid w:val="00AE07EA"/>
    <w:rsid w:val="00AE08BF"/>
    <w:rsid w:val="00AE09B6"/>
    <w:rsid w:val="00AE0A63"/>
    <w:rsid w:val="00AE0A75"/>
    <w:rsid w:val="00AE0AD2"/>
    <w:rsid w:val="00AE0B03"/>
    <w:rsid w:val="00AE0B6E"/>
    <w:rsid w:val="00AE0CFE"/>
    <w:rsid w:val="00AE0D04"/>
    <w:rsid w:val="00AE0EFC"/>
    <w:rsid w:val="00AE0F07"/>
    <w:rsid w:val="00AE0F5C"/>
    <w:rsid w:val="00AE0FA8"/>
    <w:rsid w:val="00AE118F"/>
    <w:rsid w:val="00AE12A0"/>
    <w:rsid w:val="00AE13CB"/>
    <w:rsid w:val="00AE146B"/>
    <w:rsid w:val="00AE1513"/>
    <w:rsid w:val="00AE1515"/>
    <w:rsid w:val="00AE1587"/>
    <w:rsid w:val="00AE15AA"/>
    <w:rsid w:val="00AE1790"/>
    <w:rsid w:val="00AE192A"/>
    <w:rsid w:val="00AE192E"/>
    <w:rsid w:val="00AE1A61"/>
    <w:rsid w:val="00AE1AD6"/>
    <w:rsid w:val="00AE1E5E"/>
    <w:rsid w:val="00AE1EFC"/>
    <w:rsid w:val="00AE1F4E"/>
    <w:rsid w:val="00AE1F89"/>
    <w:rsid w:val="00AE2054"/>
    <w:rsid w:val="00AE206C"/>
    <w:rsid w:val="00AE20A4"/>
    <w:rsid w:val="00AE2102"/>
    <w:rsid w:val="00AE2121"/>
    <w:rsid w:val="00AE2177"/>
    <w:rsid w:val="00AE2250"/>
    <w:rsid w:val="00AE22F8"/>
    <w:rsid w:val="00AE2354"/>
    <w:rsid w:val="00AE23A9"/>
    <w:rsid w:val="00AE24BF"/>
    <w:rsid w:val="00AE25DA"/>
    <w:rsid w:val="00AE2610"/>
    <w:rsid w:val="00AE263E"/>
    <w:rsid w:val="00AE2670"/>
    <w:rsid w:val="00AE2683"/>
    <w:rsid w:val="00AE276E"/>
    <w:rsid w:val="00AE2803"/>
    <w:rsid w:val="00AE285A"/>
    <w:rsid w:val="00AE285F"/>
    <w:rsid w:val="00AE28C9"/>
    <w:rsid w:val="00AE2923"/>
    <w:rsid w:val="00AE2999"/>
    <w:rsid w:val="00AE2A8A"/>
    <w:rsid w:val="00AE2C56"/>
    <w:rsid w:val="00AE2DFF"/>
    <w:rsid w:val="00AE2EF2"/>
    <w:rsid w:val="00AE30C7"/>
    <w:rsid w:val="00AE324E"/>
    <w:rsid w:val="00AE329B"/>
    <w:rsid w:val="00AE3304"/>
    <w:rsid w:val="00AE33BC"/>
    <w:rsid w:val="00AE3605"/>
    <w:rsid w:val="00AE365F"/>
    <w:rsid w:val="00AE3750"/>
    <w:rsid w:val="00AE37BA"/>
    <w:rsid w:val="00AE3B3A"/>
    <w:rsid w:val="00AE3B87"/>
    <w:rsid w:val="00AE3B90"/>
    <w:rsid w:val="00AE3BCF"/>
    <w:rsid w:val="00AE3C0B"/>
    <w:rsid w:val="00AE3E39"/>
    <w:rsid w:val="00AE4322"/>
    <w:rsid w:val="00AE4370"/>
    <w:rsid w:val="00AE44B6"/>
    <w:rsid w:val="00AE44B8"/>
    <w:rsid w:val="00AE453C"/>
    <w:rsid w:val="00AE4655"/>
    <w:rsid w:val="00AE479D"/>
    <w:rsid w:val="00AE47E6"/>
    <w:rsid w:val="00AE47F2"/>
    <w:rsid w:val="00AE4809"/>
    <w:rsid w:val="00AE4880"/>
    <w:rsid w:val="00AE4A35"/>
    <w:rsid w:val="00AE4AE4"/>
    <w:rsid w:val="00AE4D10"/>
    <w:rsid w:val="00AE4E02"/>
    <w:rsid w:val="00AE4FC2"/>
    <w:rsid w:val="00AE50C1"/>
    <w:rsid w:val="00AE52DA"/>
    <w:rsid w:val="00AE536F"/>
    <w:rsid w:val="00AE54D5"/>
    <w:rsid w:val="00AE54E1"/>
    <w:rsid w:val="00AE5615"/>
    <w:rsid w:val="00AE5BA6"/>
    <w:rsid w:val="00AE5C1C"/>
    <w:rsid w:val="00AE5C6B"/>
    <w:rsid w:val="00AE5C6D"/>
    <w:rsid w:val="00AE5C78"/>
    <w:rsid w:val="00AE5C7C"/>
    <w:rsid w:val="00AE5D28"/>
    <w:rsid w:val="00AE5F5F"/>
    <w:rsid w:val="00AE5F91"/>
    <w:rsid w:val="00AE6015"/>
    <w:rsid w:val="00AE639B"/>
    <w:rsid w:val="00AE6410"/>
    <w:rsid w:val="00AE652D"/>
    <w:rsid w:val="00AE6755"/>
    <w:rsid w:val="00AE67B9"/>
    <w:rsid w:val="00AE685B"/>
    <w:rsid w:val="00AE686A"/>
    <w:rsid w:val="00AE68E1"/>
    <w:rsid w:val="00AE6A34"/>
    <w:rsid w:val="00AE6BF9"/>
    <w:rsid w:val="00AE6D98"/>
    <w:rsid w:val="00AE70F8"/>
    <w:rsid w:val="00AE71B3"/>
    <w:rsid w:val="00AE71D3"/>
    <w:rsid w:val="00AE74BD"/>
    <w:rsid w:val="00AE74DD"/>
    <w:rsid w:val="00AE7555"/>
    <w:rsid w:val="00AE75D2"/>
    <w:rsid w:val="00AE760F"/>
    <w:rsid w:val="00AE7633"/>
    <w:rsid w:val="00AE791E"/>
    <w:rsid w:val="00AE79D5"/>
    <w:rsid w:val="00AE7B03"/>
    <w:rsid w:val="00AE7C4B"/>
    <w:rsid w:val="00AE7D7C"/>
    <w:rsid w:val="00AE7FA4"/>
    <w:rsid w:val="00AF00DD"/>
    <w:rsid w:val="00AF0105"/>
    <w:rsid w:val="00AF0195"/>
    <w:rsid w:val="00AF042A"/>
    <w:rsid w:val="00AF042B"/>
    <w:rsid w:val="00AF04A1"/>
    <w:rsid w:val="00AF04A6"/>
    <w:rsid w:val="00AF063E"/>
    <w:rsid w:val="00AF0650"/>
    <w:rsid w:val="00AF0683"/>
    <w:rsid w:val="00AF094A"/>
    <w:rsid w:val="00AF09CA"/>
    <w:rsid w:val="00AF09E2"/>
    <w:rsid w:val="00AF0AEB"/>
    <w:rsid w:val="00AF0BC1"/>
    <w:rsid w:val="00AF0F60"/>
    <w:rsid w:val="00AF0F71"/>
    <w:rsid w:val="00AF0FD0"/>
    <w:rsid w:val="00AF1457"/>
    <w:rsid w:val="00AF16C0"/>
    <w:rsid w:val="00AF16E2"/>
    <w:rsid w:val="00AF1991"/>
    <w:rsid w:val="00AF19F0"/>
    <w:rsid w:val="00AF1AD0"/>
    <w:rsid w:val="00AF1C41"/>
    <w:rsid w:val="00AF1C71"/>
    <w:rsid w:val="00AF1DE2"/>
    <w:rsid w:val="00AF1DEA"/>
    <w:rsid w:val="00AF1F53"/>
    <w:rsid w:val="00AF2059"/>
    <w:rsid w:val="00AF206A"/>
    <w:rsid w:val="00AF2093"/>
    <w:rsid w:val="00AF20A3"/>
    <w:rsid w:val="00AF2180"/>
    <w:rsid w:val="00AF21FF"/>
    <w:rsid w:val="00AF2292"/>
    <w:rsid w:val="00AF23E4"/>
    <w:rsid w:val="00AF24A4"/>
    <w:rsid w:val="00AF2557"/>
    <w:rsid w:val="00AF257E"/>
    <w:rsid w:val="00AF271C"/>
    <w:rsid w:val="00AF28C7"/>
    <w:rsid w:val="00AF28E3"/>
    <w:rsid w:val="00AF2939"/>
    <w:rsid w:val="00AF2A8E"/>
    <w:rsid w:val="00AF2AE4"/>
    <w:rsid w:val="00AF2E38"/>
    <w:rsid w:val="00AF2E49"/>
    <w:rsid w:val="00AF302D"/>
    <w:rsid w:val="00AF3030"/>
    <w:rsid w:val="00AF3154"/>
    <w:rsid w:val="00AF3184"/>
    <w:rsid w:val="00AF3278"/>
    <w:rsid w:val="00AF35A4"/>
    <w:rsid w:val="00AF3600"/>
    <w:rsid w:val="00AF3756"/>
    <w:rsid w:val="00AF38CC"/>
    <w:rsid w:val="00AF3DD5"/>
    <w:rsid w:val="00AF3E41"/>
    <w:rsid w:val="00AF3E68"/>
    <w:rsid w:val="00AF3EFF"/>
    <w:rsid w:val="00AF3FF6"/>
    <w:rsid w:val="00AF4007"/>
    <w:rsid w:val="00AF41B7"/>
    <w:rsid w:val="00AF43D7"/>
    <w:rsid w:val="00AF4550"/>
    <w:rsid w:val="00AF4577"/>
    <w:rsid w:val="00AF4605"/>
    <w:rsid w:val="00AF462B"/>
    <w:rsid w:val="00AF46F9"/>
    <w:rsid w:val="00AF4A46"/>
    <w:rsid w:val="00AF4AA4"/>
    <w:rsid w:val="00AF4AB5"/>
    <w:rsid w:val="00AF4B95"/>
    <w:rsid w:val="00AF4C40"/>
    <w:rsid w:val="00AF4C55"/>
    <w:rsid w:val="00AF4E07"/>
    <w:rsid w:val="00AF4EC5"/>
    <w:rsid w:val="00AF5097"/>
    <w:rsid w:val="00AF510C"/>
    <w:rsid w:val="00AF5165"/>
    <w:rsid w:val="00AF5248"/>
    <w:rsid w:val="00AF5315"/>
    <w:rsid w:val="00AF53BA"/>
    <w:rsid w:val="00AF540C"/>
    <w:rsid w:val="00AF542B"/>
    <w:rsid w:val="00AF557F"/>
    <w:rsid w:val="00AF55C5"/>
    <w:rsid w:val="00AF5729"/>
    <w:rsid w:val="00AF574F"/>
    <w:rsid w:val="00AF5750"/>
    <w:rsid w:val="00AF5965"/>
    <w:rsid w:val="00AF5983"/>
    <w:rsid w:val="00AF59DA"/>
    <w:rsid w:val="00AF5A69"/>
    <w:rsid w:val="00AF5AB1"/>
    <w:rsid w:val="00AF5C88"/>
    <w:rsid w:val="00AF5DC1"/>
    <w:rsid w:val="00AF5DC2"/>
    <w:rsid w:val="00AF5E45"/>
    <w:rsid w:val="00AF5E74"/>
    <w:rsid w:val="00AF5F30"/>
    <w:rsid w:val="00AF6005"/>
    <w:rsid w:val="00AF602B"/>
    <w:rsid w:val="00AF6093"/>
    <w:rsid w:val="00AF6207"/>
    <w:rsid w:val="00AF6361"/>
    <w:rsid w:val="00AF64BC"/>
    <w:rsid w:val="00AF66C6"/>
    <w:rsid w:val="00AF66FC"/>
    <w:rsid w:val="00AF681B"/>
    <w:rsid w:val="00AF6976"/>
    <w:rsid w:val="00AF69A3"/>
    <w:rsid w:val="00AF69C8"/>
    <w:rsid w:val="00AF6D61"/>
    <w:rsid w:val="00AF6E26"/>
    <w:rsid w:val="00AF6FF6"/>
    <w:rsid w:val="00AF7009"/>
    <w:rsid w:val="00AF7058"/>
    <w:rsid w:val="00AF7122"/>
    <w:rsid w:val="00AF72A2"/>
    <w:rsid w:val="00AF72FE"/>
    <w:rsid w:val="00AF73A7"/>
    <w:rsid w:val="00AF73F2"/>
    <w:rsid w:val="00AF74FF"/>
    <w:rsid w:val="00AF783E"/>
    <w:rsid w:val="00AF7906"/>
    <w:rsid w:val="00AF79E4"/>
    <w:rsid w:val="00AF7A20"/>
    <w:rsid w:val="00AF7C55"/>
    <w:rsid w:val="00AF7D3C"/>
    <w:rsid w:val="00AF7D7F"/>
    <w:rsid w:val="00AF7E5C"/>
    <w:rsid w:val="00AF7FB7"/>
    <w:rsid w:val="00B00067"/>
    <w:rsid w:val="00B001B0"/>
    <w:rsid w:val="00B002C3"/>
    <w:rsid w:val="00B00342"/>
    <w:rsid w:val="00B004E1"/>
    <w:rsid w:val="00B00539"/>
    <w:rsid w:val="00B00587"/>
    <w:rsid w:val="00B006B4"/>
    <w:rsid w:val="00B0090C"/>
    <w:rsid w:val="00B009B3"/>
    <w:rsid w:val="00B00AFA"/>
    <w:rsid w:val="00B00C6E"/>
    <w:rsid w:val="00B00DD3"/>
    <w:rsid w:val="00B00E22"/>
    <w:rsid w:val="00B00F43"/>
    <w:rsid w:val="00B00FA3"/>
    <w:rsid w:val="00B01111"/>
    <w:rsid w:val="00B011EA"/>
    <w:rsid w:val="00B01344"/>
    <w:rsid w:val="00B01398"/>
    <w:rsid w:val="00B0140E"/>
    <w:rsid w:val="00B01479"/>
    <w:rsid w:val="00B01503"/>
    <w:rsid w:val="00B0150C"/>
    <w:rsid w:val="00B0150D"/>
    <w:rsid w:val="00B01548"/>
    <w:rsid w:val="00B01551"/>
    <w:rsid w:val="00B01679"/>
    <w:rsid w:val="00B01713"/>
    <w:rsid w:val="00B01721"/>
    <w:rsid w:val="00B01857"/>
    <w:rsid w:val="00B01884"/>
    <w:rsid w:val="00B0189E"/>
    <w:rsid w:val="00B01A9D"/>
    <w:rsid w:val="00B01B54"/>
    <w:rsid w:val="00B01BBE"/>
    <w:rsid w:val="00B01C4C"/>
    <w:rsid w:val="00B01C9B"/>
    <w:rsid w:val="00B01D89"/>
    <w:rsid w:val="00B01DD9"/>
    <w:rsid w:val="00B01E9D"/>
    <w:rsid w:val="00B01FD5"/>
    <w:rsid w:val="00B02086"/>
    <w:rsid w:val="00B020E0"/>
    <w:rsid w:val="00B020F8"/>
    <w:rsid w:val="00B02145"/>
    <w:rsid w:val="00B02159"/>
    <w:rsid w:val="00B02241"/>
    <w:rsid w:val="00B0248B"/>
    <w:rsid w:val="00B024E9"/>
    <w:rsid w:val="00B024FB"/>
    <w:rsid w:val="00B02659"/>
    <w:rsid w:val="00B02688"/>
    <w:rsid w:val="00B0289B"/>
    <w:rsid w:val="00B029BF"/>
    <w:rsid w:val="00B02A30"/>
    <w:rsid w:val="00B02A76"/>
    <w:rsid w:val="00B02AF4"/>
    <w:rsid w:val="00B02B51"/>
    <w:rsid w:val="00B02CF1"/>
    <w:rsid w:val="00B02D62"/>
    <w:rsid w:val="00B02E73"/>
    <w:rsid w:val="00B02EF1"/>
    <w:rsid w:val="00B02FAE"/>
    <w:rsid w:val="00B0328D"/>
    <w:rsid w:val="00B0332D"/>
    <w:rsid w:val="00B03403"/>
    <w:rsid w:val="00B035D3"/>
    <w:rsid w:val="00B038DA"/>
    <w:rsid w:val="00B038FD"/>
    <w:rsid w:val="00B039CE"/>
    <w:rsid w:val="00B03AB4"/>
    <w:rsid w:val="00B03BA8"/>
    <w:rsid w:val="00B03BB6"/>
    <w:rsid w:val="00B03BDA"/>
    <w:rsid w:val="00B03C11"/>
    <w:rsid w:val="00B03F3E"/>
    <w:rsid w:val="00B03FB0"/>
    <w:rsid w:val="00B040C4"/>
    <w:rsid w:val="00B040ED"/>
    <w:rsid w:val="00B04117"/>
    <w:rsid w:val="00B04149"/>
    <w:rsid w:val="00B04180"/>
    <w:rsid w:val="00B0428F"/>
    <w:rsid w:val="00B042A2"/>
    <w:rsid w:val="00B042A9"/>
    <w:rsid w:val="00B042AA"/>
    <w:rsid w:val="00B0432A"/>
    <w:rsid w:val="00B043D8"/>
    <w:rsid w:val="00B04428"/>
    <w:rsid w:val="00B04594"/>
    <w:rsid w:val="00B045A4"/>
    <w:rsid w:val="00B047F6"/>
    <w:rsid w:val="00B04812"/>
    <w:rsid w:val="00B048F4"/>
    <w:rsid w:val="00B04918"/>
    <w:rsid w:val="00B0494F"/>
    <w:rsid w:val="00B04996"/>
    <w:rsid w:val="00B049D4"/>
    <w:rsid w:val="00B049E9"/>
    <w:rsid w:val="00B04D10"/>
    <w:rsid w:val="00B04D1F"/>
    <w:rsid w:val="00B04DAA"/>
    <w:rsid w:val="00B04E5D"/>
    <w:rsid w:val="00B04F86"/>
    <w:rsid w:val="00B050D2"/>
    <w:rsid w:val="00B051EB"/>
    <w:rsid w:val="00B052D5"/>
    <w:rsid w:val="00B0536A"/>
    <w:rsid w:val="00B053BD"/>
    <w:rsid w:val="00B053DB"/>
    <w:rsid w:val="00B0557C"/>
    <w:rsid w:val="00B055DE"/>
    <w:rsid w:val="00B0577A"/>
    <w:rsid w:val="00B05821"/>
    <w:rsid w:val="00B05AA3"/>
    <w:rsid w:val="00B05ADA"/>
    <w:rsid w:val="00B05B81"/>
    <w:rsid w:val="00B05EBA"/>
    <w:rsid w:val="00B05FEB"/>
    <w:rsid w:val="00B06223"/>
    <w:rsid w:val="00B06314"/>
    <w:rsid w:val="00B065A5"/>
    <w:rsid w:val="00B066C0"/>
    <w:rsid w:val="00B066F5"/>
    <w:rsid w:val="00B0672C"/>
    <w:rsid w:val="00B06A79"/>
    <w:rsid w:val="00B06A89"/>
    <w:rsid w:val="00B06A95"/>
    <w:rsid w:val="00B06B62"/>
    <w:rsid w:val="00B06BB0"/>
    <w:rsid w:val="00B06C11"/>
    <w:rsid w:val="00B06F05"/>
    <w:rsid w:val="00B06F15"/>
    <w:rsid w:val="00B06F37"/>
    <w:rsid w:val="00B06F60"/>
    <w:rsid w:val="00B06FF2"/>
    <w:rsid w:val="00B07127"/>
    <w:rsid w:val="00B071A7"/>
    <w:rsid w:val="00B071BC"/>
    <w:rsid w:val="00B07235"/>
    <w:rsid w:val="00B072D7"/>
    <w:rsid w:val="00B07368"/>
    <w:rsid w:val="00B07397"/>
    <w:rsid w:val="00B074CB"/>
    <w:rsid w:val="00B07528"/>
    <w:rsid w:val="00B075CF"/>
    <w:rsid w:val="00B07908"/>
    <w:rsid w:val="00B079B1"/>
    <w:rsid w:val="00B07D57"/>
    <w:rsid w:val="00B07DBE"/>
    <w:rsid w:val="00B07DFD"/>
    <w:rsid w:val="00B07E44"/>
    <w:rsid w:val="00B07ECA"/>
    <w:rsid w:val="00B101C4"/>
    <w:rsid w:val="00B1033C"/>
    <w:rsid w:val="00B10398"/>
    <w:rsid w:val="00B10415"/>
    <w:rsid w:val="00B104E7"/>
    <w:rsid w:val="00B10766"/>
    <w:rsid w:val="00B1076C"/>
    <w:rsid w:val="00B10793"/>
    <w:rsid w:val="00B10AF7"/>
    <w:rsid w:val="00B10CBA"/>
    <w:rsid w:val="00B10D07"/>
    <w:rsid w:val="00B10DAC"/>
    <w:rsid w:val="00B10DDE"/>
    <w:rsid w:val="00B10E44"/>
    <w:rsid w:val="00B10EC2"/>
    <w:rsid w:val="00B10FAD"/>
    <w:rsid w:val="00B110A7"/>
    <w:rsid w:val="00B110CF"/>
    <w:rsid w:val="00B111B2"/>
    <w:rsid w:val="00B11510"/>
    <w:rsid w:val="00B11534"/>
    <w:rsid w:val="00B1167F"/>
    <w:rsid w:val="00B116FF"/>
    <w:rsid w:val="00B117A5"/>
    <w:rsid w:val="00B1183C"/>
    <w:rsid w:val="00B11872"/>
    <w:rsid w:val="00B11A7A"/>
    <w:rsid w:val="00B11B8A"/>
    <w:rsid w:val="00B11C23"/>
    <w:rsid w:val="00B11CE1"/>
    <w:rsid w:val="00B11D36"/>
    <w:rsid w:val="00B11E2A"/>
    <w:rsid w:val="00B11E9C"/>
    <w:rsid w:val="00B11EB5"/>
    <w:rsid w:val="00B11EFC"/>
    <w:rsid w:val="00B11F3B"/>
    <w:rsid w:val="00B11F91"/>
    <w:rsid w:val="00B12083"/>
    <w:rsid w:val="00B1229F"/>
    <w:rsid w:val="00B123DA"/>
    <w:rsid w:val="00B126CD"/>
    <w:rsid w:val="00B126E6"/>
    <w:rsid w:val="00B1277D"/>
    <w:rsid w:val="00B12931"/>
    <w:rsid w:val="00B1294E"/>
    <w:rsid w:val="00B129E0"/>
    <w:rsid w:val="00B12A56"/>
    <w:rsid w:val="00B12B4D"/>
    <w:rsid w:val="00B12BD6"/>
    <w:rsid w:val="00B12D68"/>
    <w:rsid w:val="00B12E00"/>
    <w:rsid w:val="00B137A1"/>
    <w:rsid w:val="00B13A16"/>
    <w:rsid w:val="00B13AB2"/>
    <w:rsid w:val="00B13BF0"/>
    <w:rsid w:val="00B13CA9"/>
    <w:rsid w:val="00B13CBD"/>
    <w:rsid w:val="00B13CC9"/>
    <w:rsid w:val="00B13D6A"/>
    <w:rsid w:val="00B13F97"/>
    <w:rsid w:val="00B14304"/>
    <w:rsid w:val="00B1432E"/>
    <w:rsid w:val="00B14399"/>
    <w:rsid w:val="00B1449B"/>
    <w:rsid w:val="00B144EC"/>
    <w:rsid w:val="00B14518"/>
    <w:rsid w:val="00B14693"/>
    <w:rsid w:val="00B14705"/>
    <w:rsid w:val="00B1481E"/>
    <w:rsid w:val="00B14A0C"/>
    <w:rsid w:val="00B14CBA"/>
    <w:rsid w:val="00B14D68"/>
    <w:rsid w:val="00B14DAB"/>
    <w:rsid w:val="00B14EFE"/>
    <w:rsid w:val="00B14F17"/>
    <w:rsid w:val="00B14FE0"/>
    <w:rsid w:val="00B151D7"/>
    <w:rsid w:val="00B1528E"/>
    <w:rsid w:val="00B152AB"/>
    <w:rsid w:val="00B152C1"/>
    <w:rsid w:val="00B1540F"/>
    <w:rsid w:val="00B15446"/>
    <w:rsid w:val="00B155AA"/>
    <w:rsid w:val="00B15693"/>
    <w:rsid w:val="00B15963"/>
    <w:rsid w:val="00B15ADF"/>
    <w:rsid w:val="00B15B13"/>
    <w:rsid w:val="00B15B89"/>
    <w:rsid w:val="00B15C0B"/>
    <w:rsid w:val="00B15F03"/>
    <w:rsid w:val="00B15F25"/>
    <w:rsid w:val="00B15F56"/>
    <w:rsid w:val="00B16061"/>
    <w:rsid w:val="00B16155"/>
    <w:rsid w:val="00B16297"/>
    <w:rsid w:val="00B1656C"/>
    <w:rsid w:val="00B165CB"/>
    <w:rsid w:val="00B16660"/>
    <w:rsid w:val="00B16663"/>
    <w:rsid w:val="00B166C3"/>
    <w:rsid w:val="00B167E8"/>
    <w:rsid w:val="00B168A5"/>
    <w:rsid w:val="00B168CF"/>
    <w:rsid w:val="00B1697F"/>
    <w:rsid w:val="00B16983"/>
    <w:rsid w:val="00B16A34"/>
    <w:rsid w:val="00B16A3E"/>
    <w:rsid w:val="00B16ABB"/>
    <w:rsid w:val="00B16AF4"/>
    <w:rsid w:val="00B16B54"/>
    <w:rsid w:val="00B16C06"/>
    <w:rsid w:val="00B16CBA"/>
    <w:rsid w:val="00B16D86"/>
    <w:rsid w:val="00B16F1F"/>
    <w:rsid w:val="00B16F55"/>
    <w:rsid w:val="00B16FD7"/>
    <w:rsid w:val="00B17112"/>
    <w:rsid w:val="00B17146"/>
    <w:rsid w:val="00B171A6"/>
    <w:rsid w:val="00B171AF"/>
    <w:rsid w:val="00B17219"/>
    <w:rsid w:val="00B1725E"/>
    <w:rsid w:val="00B172AB"/>
    <w:rsid w:val="00B17308"/>
    <w:rsid w:val="00B17578"/>
    <w:rsid w:val="00B175CA"/>
    <w:rsid w:val="00B17617"/>
    <w:rsid w:val="00B17662"/>
    <w:rsid w:val="00B176F8"/>
    <w:rsid w:val="00B1798B"/>
    <w:rsid w:val="00B179BD"/>
    <w:rsid w:val="00B17BD2"/>
    <w:rsid w:val="00B17F0D"/>
    <w:rsid w:val="00B2012D"/>
    <w:rsid w:val="00B20174"/>
    <w:rsid w:val="00B201AF"/>
    <w:rsid w:val="00B2021C"/>
    <w:rsid w:val="00B20475"/>
    <w:rsid w:val="00B206AB"/>
    <w:rsid w:val="00B20978"/>
    <w:rsid w:val="00B2099F"/>
    <w:rsid w:val="00B209FF"/>
    <w:rsid w:val="00B20A22"/>
    <w:rsid w:val="00B20CD4"/>
    <w:rsid w:val="00B20DFB"/>
    <w:rsid w:val="00B20E2C"/>
    <w:rsid w:val="00B20ED6"/>
    <w:rsid w:val="00B21111"/>
    <w:rsid w:val="00B21130"/>
    <w:rsid w:val="00B211FB"/>
    <w:rsid w:val="00B21232"/>
    <w:rsid w:val="00B212BA"/>
    <w:rsid w:val="00B21597"/>
    <w:rsid w:val="00B215CF"/>
    <w:rsid w:val="00B215FF"/>
    <w:rsid w:val="00B2162F"/>
    <w:rsid w:val="00B21B91"/>
    <w:rsid w:val="00B21BD3"/>
    <w:rsid w:val="00B21BE3"/>
    <w:rsid w:val="00B21CEB"/>
    <w:rsid w:val="00B21E03"/>
    <w:rsid w:val="00B21E09"/>
    <w:rsid w:val="00B21E19"/>
    <w:rsid w:val="00B21EFC"/>
    <w:rsid w:val="00B21EFF"/>
    <w:rsid w:val="00B21FCB"/>
    <w:rsid w:val="00B22057"/>
    <w:rsid w:val="00B22093"/>
    <w:rsid w:val="00B222A3"/>
    <w:rsid w:val="00B22407"/>
    <w:rsid w:val="00B2243F"/>
    <w:rsid w:val="00B22462"/>
    <w:rsid w:val="00B224DA"/>
    <w:rsid w:val="00B224F6"/>
    <w:rsid w:val="00B22663"/>
    <w:rsid w:val="00B2271D"/>
    <w:rsid w:val="00B22CDE"/>
    <w:rsid w:val="00B22D8E"/>
    <w:rsid w:val="00B22DF3"/>
    <w:rsid w:val="00B22EA1"/>
    <w:rsid w:val="00B22EAD"/>
    <w:rsid w:val="00B22F55"/>
    <w:rsid w:val="00B2336D"/>
    <w:rsid w:val="00B233B4"/>
    <w:rsid w:val="00B234A6"/>
    <w:rsid w:val="00B2350B"/>
    <w:rsid w:val="00B23708"/>
    <w:rsid w:val="00B2371F"/>
    <w:rsid w:val="00B23763"/>
    <w:rsid w:val="00B237A3"/>
    <w:rsid w:val="00B2393F"/>
    <w:rsid w:val="00B23B87"/>
    <w:rsid w:val="00B23C44"/>
    <w:rsid w:val="00B23CC7"/>
    <w:rsid w:val="00B23EEB"/>
    <w:rsid w:val="00B23F1B"/>
    <w:rsid w:val="00B24061"/>
    <w:rsid w:val="00B24252"/>
    <w:rsid w:val="00B24415"/>
    <w:rsid w:val="00B24587"/>
    <w:rsid w:val="00B245A4"/>
    <w:rsid w:val="00B245A5"/>
    <w:rsid w:val="00B245E6"/>
    <w:rsid w:val="00B2462D"/>
    <w:rsid w:val="00B24686"/>
    <w:rsid w:val="00B2481E"/>
    <w:rsid w:val="00B248D3"/>
    <w:rsid w:val="00B24908"/>
    <w:rsid w:val="00B24A40"/>
    <w:rsid w:val="00B24A93"/>
    <w:rsid w:val="00B24B63"/>
    <w:rsid w:val="00B24C4F"/>
    <w:rsid w:val="00B24C96"/>
    <w:rsid w:val="00B24D30"/>
    <w:rsid w:val="00B24DE4"/>
    <w:rsid w:val="00B24E55"/>
    <w:rsid w:val="00B25031"/>
    <w:rsid w:val="00B25090"/>
    <w:rsid w:val="00B251E2"/>
    <w:rsid w:val="00B251F4"/>
    <w:rsid w:val="00B25207"/>
    <w:rsid w:val="00B2520F"/>
    <w:rsid w:val="00B25361"/>
    <w:rsid w:val="00B25416"/>
    <w:rsid w:val="00B255D6"/>
    <w:rsid w:val="00B255F2"/>
    <w:rsid w:val="00B2567D"/>
    <w:rsid w:val="00B256E5"/>
    <w:rsid w:val="00B256F3"/>
    <w:rsid w:val="00B2585B"/>
    <w:rsid w:val="00B258A6"/>
    <w:rsid w:val="00B25A39"/>
    <w:rsid w:val="00B25B0B"/>
    <w:rsid w:val="00B25B59"/>
    <w:rsid w:val="00B25B90"/>
    <w:rsid w:val="00B25B92"/>
    <w:rsid w:val="00B25BBD"/>
    <w:rsid w:val="00B25BC4"/>
    <w:rsid w:val="00B25BFC"/>
    <w:rsid w:val="00B25DA6"/>
    <w:rsid w:val="00B25E4D"/>
    <w:rsid w:val="00B25EA4"/>
    <w:rsid w:val="00B25EE4"/>
    <w:rsid w:val="00B25FDD"/>
    <w:rsid w:val="00B2600E"/>
    <w:rsid w:val="00B2631B"/>
    <w:rsid w:val="00B26383"/>
    <w:rsid w:val="00B263CA"/>
    <w:rsid w:val="00B2645C"/>
    <w:rsid w:val="00B264B8"/>
    <w:rsid w:val="00B2652D"/>
    <w:rsid w:val="00B2657A"/>
    <w:rsid w:val="00B265F7"/>
    <w:rsid w:val="00B26637"/>
    <w:rsid w:val="00B266FB"/>
    <w:rsid w:val="00B26794"/>
    <w:rsid w:val="00B267C7"/>
    <w:rsid w:val="00B26900"/>
    <w:rsid w:val="00B26BC9"/>
    <w:rsid w:val="00B26DA0"/>
    <w:rsid w:val="00B26E10"/>
    <w:rsid w:val="00B2706B"/>
    <w:rsid w:val="00B27087"/>
    <w:rsid w:val="00B270EA"/>
    <w:rsid w:val="00B271F0"/>
    <w:rsid w:val="00B27294"/>
    <w:rsid w:val="00B272F9"/>
    <w:rsid w:val="00B273FC"/>
    <w:rsid w:val="00B27404"/>
    <w:rsid w:val="00B27591"/>
    <w:rsid w:val="00B27696"/>
    <w:rsid w:val="00B276B5"/>
    <w:rsid w:val="00B27765"/>
    <w:rsid w:val="00B277B0"/>
    <w:rsid w:val="00B277BF"/>
    <w:rsid w:val="00B277D1"/>
    <w:rsid w:val="00B2788F"/>
    <w:rsid w:val="00B278B7"/>
    <w:rsid w:val="00B279DA"/>
    <w:rsid w:val="00B27A0B"/>
    <w:rsid w:val="00B27A57"/>
    <w:rsid w:val="00B27B85"/>
    <w:rsid w:val="00B27C32"/>
    <w:rsid w:val="00B27DE8"/>
    <w:rsid w:val="00B27E36"/>
    <w:rsid w:val="00B27EF7"/>
    <w:rsid w:val="00B3018B"/>
    <w:rsid w:val="00B301DE"/>
    <w:rsid w:val="00B3035B"/>
    <w:rsid w:val="00B304ED"/>
    <w:rsid w:val="00B30500"/>
    <w:rsid w:val="00B3064C"/>
    <w:rsid w:val="00B3064E"/>
    <w:rsid w:val="00B308BE"/>
    <w:rsid w:val="00B308CC"/>
    <w:rsid w:val="00B30A84"/>
    <w:rsid w:val="00B30BBD"/>
    <w:rsid w:val="00B30C1D"/>
    <w:rsid w:val="00B30C60"/>
    <w:rsid w:val="00B30CB8"/>
    <w:rsid w:val="00B30F20"/>
    <w:rsid w:val="00B3107E"/>
    <w:rsid w:val="00B310BD"/>
    <w:rsid w:val="00B310C5"/>
    <w:rsid w:val="00B31268"/>
    <w:rsid w:val="00B3128C"/>
    <w:rsid w:val="00B312FF"/>
    <w:rsid w:val="00B31542"/>
    <w:rsid w:val="00B31728"/>
    <w:rsid w:val="00B3172C"/>
    <w:rsid w:val="00B317DA"/>
    <w:rsid w:val="00B3189E"/>
    <w:rsid w:val="00B318CD"/>
    <w:rsid w:val="00B318FA"/>
    <w:rsid w:val="00B3192B"/>
    <w:rsid w:val="00B31943"/>
    <w:rsid w:val="00B319CB"/>
    <w:rsid w:val="00B31AB1"/>
    <w:rsid w:val="00B31BB7"/>
    <w:rsid w:val="00B31CA3"/>
    <w:rsid w:val="00B31CA7"/>
    <w:rsid w:val="00B31E18"/>
    <w:rsid w:val="00B31EC0"/>
    <w:rsid w:val="00B31F66"/>
    <w:rsid w:val="00B31FBE"/>
    <w:rsid w:val="00B31FE8"/>
    <w:rsid w:val="00B32149"/>
    <w:rsid w:val="00B32214"/>
    <w:rsid w:val="00B3229A"/>
    <w:rsid w:val="00B32347"/>
    <w:rsid w:val="00B32486"/>
    <w:rsid w:val="00B324AC"/>
    <w:rsid w:val="00B324D6"/>
    <w:rsid w:val="00B324FB"/>
    <w:rsid w:val="00B3251F"/>
    <w:rsid w:val="00B325AD"/>
    <w:rsid w:val="00B325E5"/>
    <w:rsid w:val="00B3262A"/>
    <w:rsid w:val="00B32652"/>
    <w:rsid w:val="00B3267F"/>
    <w:rsid w:val="00B32716"/>
    <w:rsid w:val="00B3285A"/>
    <w:rsid w:val="00B3287F"/>
    <w:rsid w:val="00B328CE"/>
    <w:rsid w:val="00B32B0F"/>
    <w:rsid w:val="00B32B7B"/>
    <w:rsid w:val="00B32C25"/>
    <w:rsid w:val="00B32C43"/>
    <w:rsid w:val="00B32C6C"/>
    <w:rsid w:val="00B32D7B"/>
    <w:rsid w:val="00B32DC6"/>
    <w:rsid w:val="00B32DFE"/>
    <w:rsid w:val="00B32F89"/>
    <w:rsid w:val="00B32FAD"/>
    <w:rsid w:val="00B33133"/>
    <w:rsid w:val="00B331F3"/>
    <w:rsid w:val="00B33344"/>
    <w:rsid w:val="00B333F1"/>
    <w:rsid w:val="00B33430"/>
    <w:rsid w:val="00B334A5"/>
    <w:rsid w:val="00B33500"/>
    <w:rsid w:val="00B335D8"/>
    <w:rsid w:val="00B3361F"/>
    <w:rsid w:val="00B3366F"/>
    <w:rsid w:val="00B33841"/>
    <w:rsid w:val="00B3386E"/>
    <w:rsid w:val="00B33D06"/>
    <w:rsid w:val="00B33D1E"/>
    <w:rsid w:val="00B33D89"/>
    <w:rsid w:val="00B33DDE"/>
    <w:rsid w:val="00B33DEB"/>
    <w:rsid w:val="00B33E6E"/>
    <w:rsid w:val="00B33F65"/>
    <w:rsid w:val="00B33FD7"/>
    <w:rsid w:val="00B34072"/>
    <w:rsid w:val="00B3407F"/>
    <w:rsid w:val="00B340CA"/>
    <w:rsid w:val="00B3415E"/>
    <w:rsid w:val="00B34261"/>
    <w:rsid w:val="00B34310"/>
    <w:rsid w:val="00B34339"/>
    <w:rsid w:val="00B34380"/>
    <w:rsid w:val="00B344B5"/>
    <w:rsid w:val="00B34684"/>
    <w:rsid w:val="00B346F9"/>
    <w:rsid w:val="00B34843"/>
    <w:rsid w:val="00B348BA"/>
    <w:rsid w:val="00B3499C"/>
    <w:rsid w:val="00B349B7"/>
    <w:rsid w:val="00B34A2E"/>
    <w:rsid w:val="00B34C97"/>
    <w:rsid w:val="00B34CCF"/>
    <w:rsid w:val="00B34D1A"/>
    <w:rsid w:val="00B34E62"/>
    <w:rsid w:val="00B34EF0"/>
    <w:rsid w:val="00B350F1"/>
    <w:rsid w:val="00B351A6"/>
    <w:rsid w:val="00B351C1"/>
    <w:rsid w:val="00B35210"/>
    <w:rsid w:val="00B355FE"/>
    <w:rsid w:val="00B35753"/>
    <w:rsid w:val="00B3580B"/>
    <w:rsid w:val="00B35868"/>
    <w:rsid w:val="00B358B6"/>
    <w:rsid w:val="00B35950"/>
    <w:rsid w:val="00B35A3A"/>
    <w:rsid w:val="00B35BC1"/>
    <w:rsid w:val="00B35C82"/>
    <w:rsid w:val="00B35C93"/>
    <w:rsid w:val="00B35F9B"/>
    <w:rsid w:val="00B36134"/>
    <w:rsid w:val="00B3628D"/>
    <w:rsid w:val="00B365A7"/>
    <w:rsid w:val="00B36668"/>
    <w:rsid w:val="00B369E9"/>
    <w:rsid w:val="00B36C33"/>
    <w:rsid w:val="00B36CAE"/>
    <w:rsid w:val="00B36CCC"/>
    <w:rsid w:val="00B36D15"/>
    <w:rsid w:val="00B36F67"/>
    <w:rsid w:val="00B37048"/>
    <w:rsid w:val="00B370D9"/>
    <w:rsid w:val="00B37204"/>
    <w:rsid w:val="00B37272"/>
    <w:rsid w:val="00B373FD"/>
    <w:rsid w:val="00B3742A"/>
    <w:rsid w:val="00B37508"/>
    <w:rsid w:val="00B37562"/>
    <w:rsid w:val="00B3756D"/>
    <w:rsid w:val="00B375C5"/>
    <w:rsid w:val="00B37825"/>
    <w:rsid w:val="00B3787D"/>
    <w:rsid w:val="00B37AAC"/>
    <w:rsid w:val="00B37AF0"/>
    <w:rsid w:val="00B37B2C"/>
    <w:rsid w:val="00B37C0B"/>
    <w:rsid w:val="00B37E0A"/>
    <w:rsid w:val="00B37EC3"/>
    <w:rsid w:val="00B4017B"/>
    <w:rsid w:val="00B4021C"/>
    <w:rsid w:val="00B40323"/>
    <w:rsid w:val="00B4038B"/>
    <w:rsid w:val="00B4053B"/>
    <w:rsid w:val="00B4060B"/>
    <w:rsid w:val="00B4071A"/>
    <w:rsid w:val="00B4082B"/>
    <w:rsid w:val="00B408B0"/>
    <w:rsid w:val="00B40BFA"/>
    <w:rsid w:val="00B40C61"/>
    <w:rsid w:val="00B40C94"/>
    <w:rsid w:val="00B40CBD"/>
    <w:rsid w:val="00B40CEA"/>
    <w:rsid w:val="00B40F1B"/>
    <w:rsid w:val="00B41050"/>
    <w:rsid w:val="00B41064"/>
    <w:rsid w:val="00B4113D"/>
    <w:rsid w:val="00B41162"/>
    <w:rsid w:val="00B4126A"/>
    <w:rsid w:val="00B41284"/>
    <w:rsid w:val="00B41337"/>
    <w:rsid w:val="00B41380"/>
    <w:rsid w:val="00B415A0"/>
    <w:rsid w:val="00B415EA"/>
    <w:rsid w:val="00B419AB"/>
    <w:rsid w:val="00B41A0D"/>
    <w:rsid w:val="00B41B73"/>
    <w:rsid w:val="00B41C10"/>
    <w:rsid w:val="00B41C54"/>
    <w:rsid w:val="00B41CBF"/>
    <w:rsid w:val="00B41D2A"/>
    <w:rsid w:val="00B41DD9"/>
    <w:rsid w:val="00B41E92"/>
    <w:rsid w:val="00B41F77"/>
    <w:rsid w:val="00B4208B"/>
    <w:rsid w:val="00B420F8"/>
    <w:rsid w:val="00B421B5"/>
    <w:rsid w:val="00B42260"/>
    <w:rsid w:val="00B422DB"/>
    <w:rsid w:val="00B422E4"/>
    <w:rsid w:val="00B42368"/>
    <w:rsid w:val="00B423DC"/>
    <w:rsid w:val="00B42650"/>
    <w:rsid w:val="00B426F0"/>
    <w:rsid w:val="00B4289B"/>
    <w:rsid w:val="00B4296A"/>
    <w:rsid w:val="00B42993"/>
    <w:rsid w:val="00B42E72"/>
    <w:rsid w:val="00B42EC0"/>
    <w:rsid w:val="00B42F23"/>
    <w:rsid w:val="00B43197"/>
    <w:rsid w:val="00B43494"/>
    <w:rsid w:val="00B434ED"/>
    <w:rsid w:val="00B437EC"/>
    <w:rsid w:val="00B438B4"/>
    <w:rsid w:val="00B438F1"/>
    <w:rsid w:val="00B43A52"/>
    <w:rsid w:val="00B43F2E"/>
    <w:rsid w:val="00B43F8C"/>
    <w:rsid w:val="00B440EE"/>
    <w:rsid w:val="00B444EB"/>
    <w:rsid w:val="00B445B0"/>
    <w:rsid w:val="00B446B6"/>
    <w:rsid w:val="00B446F4"/>
    <w:rsid w:val="00B4473B"/>
    <w:rsid w:val="00B44782"/>
    <w:rsid w:val="00B447E4"/>
    <w:rsid w:val="00B447F4"/>
    <w:rsid w:val="00B448DF"/>
    <w:rsid w:val="00B44928"/>
    <w:rsid w:val="00B44AEF"/>
    <w:rsid w:val="00B44B8B"/>
    <w:rsid w:val="00B44D11"/>
    <w:rsid w:val="00B44DAD"/>
    <w:rsid w:val="00B44DB6"/>
    <w:rsid w:val="00B44E8A"/>
    <w:rsid w:val="00B44EA0"/>
    <w:rsid w:val="00B44EC6"/>
    <w:rsid w:val="00B44EC9"/>
    <w:rsid w:val="00B45006"/>
    <w:rsid w:val="00B45077"/>
    <w:rsid w:val="00B4512D"/>
    <w:rsid w:val="00B453B7"/>
    <w:rsid w:val="00B453FA"/>
    <w:rsid w:val="00B454BE"/>
    <w:rsid w:val="00B455CE"/>
    <w:rsid w:val="00B45623"/>
    <w:rsid w:val="00B456B6"/>
    <w:rsid w:val="00B456F4"/>
    <w:rsid w:val="00B456FB"/>
    <w:rsid w:val="00B45841"/>
    <w:rsid w:val="00B4599F"/>
    <w:rsid w:val="00B45B18"/>
    <w:rsid w:val="00B45C1B"/>
    <w:rsid w:val="00B45D49"/>
    <w:rsid w:val="00B45E97"/>
    <w:rsid w:val="00B45EB1"/>
    <w:rsid w:val="00B46142"/>
    <w:rsid w:val="00B461E6"/>
    <w:rsid w:val="00B46222"/>
    <w:rsid w:val="00B4628E"/>
    <w:rsid w:val="00B46397"/>
    <w:rsid w:val="00B464DC"/>
    <w:rsid w:val="00B46521"/>
    <w:rsid w:val="00B46638"/>
    <w:rsid w:val="00B46665"/>
    <w:rsid w:val="00B46754"/>
    <w:rsid w:val="00B4680C"/>
    <w:rsid w:val="00B46946"/>
    <w:rsid w:val="00B46A7F"/>
    <w:rsid w:val="00B46AD7"/>
    <w:rsid w:val="00B46B02"/>
    <w:rsid w:val="00B46C17"/>
    <w:rsid w:val="00B46C18"/>
    <w:rsid w:val="00B46D74"/>
    <w:rsid w:val="00B470FA"/>
    <w:rsid w:val="00B4715B"/>
    <w:rsid w:val="00B47161"/>
    <w:rsid w:val="00B472CC"/>
    <w:rsid w:val="00B47459"/>
    <w:rsid w:val="00B4745A"/>
    <w:rsid w:val="00B474E9"/>
    <w:rsid w:val="00B47625"/>
    <w:rsid w:val="00B47673"/>
    <w:rsid w:val="00B4769B"/>
    <w:rsid w:val="00B47768"/>
    <w:rsid w:val="00B4779C"/>
    <w:rsid w:val="00B4783A"/>
    <w:rsid w:val="00B4790E"/>
    <w:rsid w:val="00B4793B"/>
    <w:rsid w:val="00B479CA"/>
    <w:rsid w:val="00B47BB8"/>
    <w:rsid w:val="00B47BF1"/>
    <w:rsid w:val="00B47C0C"/>
    <w:rsid w:val="00B47C3B"/>
    <w:rsid w:val="00B47C94"/>
    <w:rsid w:val="00B47D70"/>
    <w:rsid w:val="00B47D8C"/>
    <w:rsid w:val="00B47E06"/>
    <w:rsid w:val="00B47E88"/>
    <w:rsid w:val="00B47F3F"/>
    <w:rsid w:val="00B50146"/>
    <w:rsid w:val="00B5022F"/>
    <w:rsid w:val="00B502BF"/>
    <w:rsid w:val="00B50332"/>
    <w:rsid w:val="00B50344"/>
    <w:rsid w:val="00B5049B"/>
    <w:rsid w:val="00B504D1"/>
    <w:rsid w:val="00B5072D"/>
    <w:rsid w:val="00B507B2"/>
    <w:rsid w:val="00B507D9"/>
    <w:rsid w:val="00B508E2"/>
    <w:rsid w:val="00B50939"/>
    <w:rsid w:val="00B50D24"/>
    <w:rsid w:val="00B50D9D"/>
    <w:rsid w:val="00B50E19"/>
    <w:rsid w:val="00B50E9B"/>
    <w:rsid w:val="00B50F2E"/>
    <w:rsid w:val="00B50F74"/>
    <w:rsid w:val="00B51016"/>
    <w:rsid w:val="00B5103A"/>
    <w:rsid w:val="00B511E2"/>
    <w:rsid w:val="00B51200"/>
    <w:rsid w:val="00B51235"/>
    <w:rsid w:val="00B51254"/>
    <w:rsid w:val="00B5138B"/>
    <w:rsid w:val="00B51783"/>
    <w:rsid w:val="00B517A8"/>
    <w:rsid w:val="00B51857"/>
    <w:rsid w:val="00B51D9C"/>
    <w:rsid w:val="00B51EAD"/>
    <w:rsid w:val="00B51EB7"/>
    <w:rsid w:val="00B51EF6"/>
    <w:rsid w:val="00B51F03"/>
    <w:rsid w:val="00B51FD9"/>
    <w:rsid w:val="00B5202D"/>
    <w:rsid w:val="00B52061"/>
    <w:rsid w:val="00B52176"/>
    <w:rsid w:val="00B521A5"/>
    <w:rsid w:val="00B52340"/>
    <w:rsid w:val="00B52356"/>
    <w:rsid w:val="00B5236A"/>
    <w:rsid w:val="00B52380"/>
    <w:rsid w:val="00B523EC"/>
    <w:rsid w:val="00B52519"/>
    <w:rsid w:val="00B5298F"/>
    <w:rsid w:val="00B52A64"/>
    <w:rsid w:val="00B52AB7"/>
    <w:rsid w:val="00B52B60"/>
    <w:rsid w:val="00B52E59"/>
    <w:rsid w:val="00B5300A"/>
    <w:rsid w:val="00B53113"/>
    <w:rsid w:val="00B5311D"/>
    <w:rsid w:val="00B53163"/>
    <w:rsid w:val="00B531EC"/>
    <w:rsid w:val="00B53446"/>
    <w:rsid w:val="00B534C9"/>
    <w:rsid w:val="00B5355E"/>
    <w:rsid w:val="00B535D7"/>
    <w:rsid w:val="00B53640"/>
    <w:rsid w:val="00B53717"/>
    <w:rsid w:val="00B53775"/>
    <w:rsid w:val="00B53782"/>
    <w:rsid w:val="00B537A4"/>
    <w:rsid w:val="00B5396B"/>
    <w:rsid w:val="00B5397B"/>
    <w:rsid w:val="00B53A12"/>
    <w:rsid w:val="00B53A48"/>
    <w:rsid w:val="00B53B6B"/>
    <w:rsid w:val="00B53BE7"/>
    <w:rsid w:val="00B53C36"/>
    <w:rsid w:val="00B53C6A"/>
    <w:rsid w:val="00B53C8E"/>
    <w:rsid w:val="00B53D00"/>
    <w:rsid w:val="00B53E0C"/>
    <w:rsid w:val="00B53E25"/>
    <w:rsid w:val="00B53E48"/>
    <w:rsid w:val="00B53E66"/>
    <w:rsid w:val="00B54022"/>
    <w:rsid w:val="00B5406B"/>
    <w:rsid w:val="00B540BB"/>
    <w:rsid w:val="00B541C4"/>
    <w:rsid w:val="00B5421D"/>
    <w:rsid w:val="00B5425C"/>
    <w:rsid w:val="00B542C5"/>
    <w:rsid w:val="00B54376"/>
    <w:rsid w:val="00B5462A"/>
    <w:rsid w:val="00B547F4"/>
    <w:rsid w:val="00B54812"/>
    <w:rsid w:val="00B54893"/>
    <w:rsid w:val="00B548CE"/>
    <w:rsid w:val="00B548D1"/>
    <w:rsid w:val="00B549E3"/>
    <w:rsid w:val="00B54BE3"/>
    <w:rsid w:val="00B54C26"/>
    <w:rsid w:val="00B54CEF"/>
    <w:rsid w:val="00B54D62"/>
    <w:rsid w:val="00B54E32"/>
    <w:rsid w:val="00B550CF"/>
    <w:rsid w:val="00B550DD"/>
    <w:rsid w:val="00B5536D"/>
    <w:rsid w:val="00B5544E"/>
    <w:rsid w:val="00B556D7"/>
    <w:rsid w:val="00B556E4"/>
    <w:rsid w:val="00B558F5"/>
    <w:rsid w:val="00B55992"/>
    <w:rsid w:val="00B559BA"/>
    <w:rsid w:val="00B55B2E"/>
    <w:rsid w:val="00B55C08"/>
    <w:rsid w:val="00B55C24"/>
    <w:rsid w:val="00B55C91"/>
    <w:rsid w:val="00B55D02"/>
    <w:rsid w:val="00B55D9C"/>
    <w:rsid w:val="00B55DA3"/>
    <w:rsid w:val="00B55E0B"/>
    <w:rsid w:val="00B55EDD"/>
    <w:rsid w:val="00B55F3B"/>
    <w:rsid w:val="00B55F4F"/>
    <w:rsid w:val="00B55FB4"/>
    <w:rsid w:val="00B56323"/>
    <w:rsid w:val="00B5639A"/>
    <w:rsid w:val="00B563F4"/>
    <w:rsid w:val="00B5640B"/>
    <w:rsid w:val="00B56415"/>
    <w:rsid w:val="00B56436"/>
    <w:rsid w:val="00B5656A"/>
    <w:rsid w:val="00B5664F"/>
    <w:rsid w:val="00B5678C"/>
    <w:rsid w:val="00B567AB"/>
    <w:rsid w:val="00B568E9"/>
    <w:rsid w:val="00B56980"/>
    <w:rsid w:val="00B56A76"/>
    <w:rsid w:val="00B56BBD"/>
    <w:rsid w:val="00B56C8A"/>
    <w:rsid w:val="00B56C8E"/>
    <w:rsid w:val="00B56DD5"/>
    <w:rsid w:val="00B56DDE"/>
    <w:rsid w:val="00B56EF4"/>
    <w:rsid w:val="00B56F4B"/>
    <w:rsid w:val="00B56FF3"/>
    <w:rsid w:val="00B56FFE"/>
    <w:rsid w:val="00B570C4"/>
    <w:rsid w:val="00B5717B"/>
    <w:rsid w:val="00B572B4"/>
    <w:rsid w:val="00B572CA"/>
    <w:rsid w:val="00B572DB"/>
    <w:rsid w:val="00B5739D"/>
    <w:rsid w:val="00B57677"/>
    <w:rsid w:val="00B577D1"/>
    <w:rsid w:val="00B579AB"/>
    <w:rsid w:val="00B57C0E"/>
    <w:rsid w:val="00B57C82"/>
    <w:rsid w:val="00B57D03"/>
    <w:rsid w:val="00B57D08"/>
    <w:rsid w:val="00B57D55"/>
    <w:rsid w:val="00B57FDD"/>
    <w:rsid w:val="00B57FEC"/>
    <w:rsid w:val="00B6009A"/>
    <w:rsid w:val="00B600D7"/>
    <w:rsid w:val="00B60380"/>
    <w:rsid w:val="00B6053B"/>
    <w:rsid w:val="00B60553"/>
    <w:rsid w:val="00B60788"/>
    <w:rsid w:val="00B60938"/>
    <w:rsid w:val="00B60A7C"/>
    <w:rsid w:val="00B60A88"/>
    <w:rsid w:val="00B60B89"/>
    <w:rsid w:val="00B60C54"/>
    <w:rsid w:val="00B60D85"/>
    <w:rsid w:val="00B60DBA"/>
    <w:rsid w:val="00B60EAD"/>
    <w:rsid w:val="00B60F26"/>
    <w:rsid w:val="00B60F3F"/>
    <w:rsid w:val="00B6102D"/>
    <w:rsid w:val="00B61103"/>
    <w:rsid w:val="00B611B1"/>
    <w:rsid w:val="00B6123C"/>
    <w:rsid w:val="00B61275"/>
    <w:rsid w:val="00B612C7"/>
    <w:rsid w:val="00B613C7"/>
    <w:rsid w:val="00B6142E"/>
    <w:rsid w:val="00B614C2"/>
    <w:rsid w:val="00B6160C"/>
    <w:rsid w:val="00B61833"/>
    <w:rsid w:val="00B618C5"/>
    <w:rsid w:val="00B6190F"/>
    <w:rsid w:val="00B6198E"/>
    <w:rsid w:val="00B619DD"/>
    <w:rsid w:val="00B619E7"/>
    <w:rsid w:val="00B61B6F"/>
    <w:rsid w:val="00B61C32"/>
    <w:rsid w:val="00B61C8A"/>
    <w:rsid w:val="00B61D6E"/>
    <w:rsid w:val="00B61D71"/>
    <w:rsid w:val="00B61E28"/>
    <w:rsid w:val="00B61EC6"/>
    <w:rsid w:val="00B61FCF"/>
    <w:rsid w:val="00B62050"/>
    <w:rsid w:val="00B62188"/>
    <w:rsid w:val="00B6218B"/>
    <w:rsid w:val="00B621FE"/>
    <w:rsid w:val="00B62224"/>
    <w:rsid w:val="00B62375"/>
    <w:rsid w:val="00B624C1"/>
    <w:rsid w:val="00B625CB"/>
    <w:rsid w:val="00B62667"/>
    <w:rsid w:val="00B6275E"/>
    <w:rsid w:val="00B62769"/>
    <w:rsid w:val="00B627C9"/>
    <w:rsid w:val="00B628AC"/>
    <w:rsid w:val="00B62A9C"/>
    <w:rsid w:val="00B62AEC"/>
    <w:rsid w:val="00B62CB2"/>
    <w:rsid w:val="00B62D9B"/>
    <w:rsid w:val="00B62E9C"/>
    <w:rsid w:val="00B62FFA"/>
    <w:rsid w:val="00B63044"/>
    <w:rsid w:val="00B63270"/>
    <w:rsid w:val="00B632DB"/>
    <w:rsid w:val="00B63452"/>
    <w:rsid w:val="00B634DA"/>
    <w:rsid w:val="00B635ED"/>
    <w:rsid w:val="00B63773"/>
    <w:rsid w:val="00B637B5"/>
    <w:rsid w:val="00B637C5"/>
    <w:rsid w:val="00B63806"/>
    <w:rsid w:val="00B638B7"/>
    <w:rsid w:val="00B63AAB"/>
    <w:rsid w:val="00B63AF2"/>
    <w:rsid w:val="00B63B81"/>
    <w:rsid w:val="00B63C29"/>
    <w:rsid w:val="00B63C66"/>
    <w:rsid w:val="00B63CCA"/>
    <w:rsid w:val="00B63D4F"/>
    <w:rsid w:val="00B63E03"/>
    <w:rsid w:val="00B63ED4"/>
    <w:rsid w:val="00B63F10"/>
    <w:rsid w:val="00B6411D"/>
    <w:rsid w:val="00B64173"/>
    <w:rsid w:val="00B642EA"/>
    <w:rsid w:val="00B644C6"/>
    <w:rsid w:val="00B6452F"/>
    <w:rsid w:val="00B64665"/>
    <w:rsid w:val="00B64746"/>
    <w:rsid w:val="00B64859"/>
    <w:rsid w:val="00B64888"/>
    <w:rsid w:val="00B648C6"/>
    <w:rsid w:val="00B649DA"/>
    <w:rsid w:val="00B64A08"/>
    <w:rsid w:val="00B64E16"/>
    <w:rsid w:val="00B64F7C"/>
    <w:rsid w:val="00B65149"/>
    <w:rsid w:val="00B65180"/>
    <w:rsid w:val="00B651CD"/>
    <w:rsid w:val="00B651E4"/>
    <w:rsid w:val="00B65302"/>
    <w:rsid w:val="00B65362"/>
    <w:rsid w:val="00B6547C"/>
    <w:rsid w:val="00B657A9"/>
    <w:rsid w:val="00B65832"/>
    <w:rsid w:val="00B65B01"/>
    <w:rsid w:val="00B65B1B"/>
    <w:rsid w:val="00B65B26"/>
    <w:rsid w:val="00B65EBE"/>
    <w:rsid w:val="00B66018"/>
    <w:rsid w:val="00B66053"/>
    <w:rsid w:val="00B663E0"/>
    <w:rsid w:val="00B66515"/>
    <w:rsid w:val="00B6677D"/>
    <w:rsid w:val="00B668CF"/>
    <w:rsid w:val="00B669E1"/>
    <w:rsid w:val="00B66BE9"/>
    <w:rsid w:val="00B66CA1"/>
    <w:rsid w:val="00B66D81"/>
    <w:rsid w:val="00B66E6D"/>
    <w:rsid w:val="00B67136"/>
    <w:rsid w:val="00B67158"/>
    <w:rsid w:val="00B67239"/>
    <w:rsid w:val="00B67373"/>
    <w:rsid w:val="00B673BD"/>
    <w:rsid w:val="00B67466"/>
    <w:rsid w:val="00B6776A"/>
    <w:rsid w:val="00B67A86"/>
    <w:rsid w:val="00B67BE2"/>
    <w:rsid w:val="00B67BFE"/>
    <w:rsid w:val="00B67C0B"/>
    <w:rsid w:val="00B67D95"/>
    <w:rsid w:val="00B67EB8"/>
    <w:rsid w:val="00B67ED6"/>
    <w:rsid w:val="00B700B6"/>
    <w:rsid w:val="00B703CB"/>
    <w:rsid w:val="00B70414"/>
    <w:rsid w:val="00B70416"/>
    <w:rsid w:val="00B70637"/>
    <w:rsid w:val="00B70652"/>
    <w:rsid w:val="00B70668"/>
    <w:rsid w:val="00B7070E"/>
    <w:rsid w:val="00B707FC"/>
    <w:rsid w:val="00B708AF"/>
    <w:rsid w:val="00B70924"/>
    <w:rsid w:val="00B70963"/>
    <w:rsid w:val="00B709E4"/>
    <w:rsid w:val="00B70A12"/>
    <w:rsid w:val="00B70A78"/>
    <w:rsid w:val="00B70BB1"/>
    <w:rsid w:val="00B70C34"/>
    <w:rsid w:val="00B70D26"/>
    <w:rsid w:val="00B70ECF"/>
    <w:rsid w:val="00B711C6"/>
    <w:rsid w:val="00B71536"/>
    <w:rsid w:val="00B71591"/>
    <w:rsid w:val="00B71696"/>
    <w:rsid w:val="00B716A3"/>
    <w:rsid w:val="00B71707"/>
    <w:rsid w:val="00B71846"/>
    <w:rsid w:val="00B71868"/>
    <w:rsid w:val="00B719E6"/>
    <w:rsid w:val="00B719F9"/>
    <w:rsid w:val="00B71A47"/>
    <w:rsid w:val="00B71ADC"/>
    <w:rsid w:val="00B71B4D"/>
    <w:rsid w:val="00B71BF6"/>
    <w:rsid w:val="00B71D2A"/>
    <w:rsid w:val="00B71D4C"/>
    <w:rsid w:val="00B71E20"/>
    <w:rsid w:val="00B71E4A"/>
    <w:rsid w:val="00B71F69"/>
    <w:rsid w:val="00B7201F"/>
    <w:rsid w:val="00B72043"/>
    <w:rsid w:val="00B7235F"/>
    <w:rsid w:val="00B72436"/>
    <w:rsid w:val="00B724D4"/>
    <w:rsid w:val="00B72610"/>
    <w:rsid w:val="00B7263F"/>
    <w:rsid w:val="00B727F3"/>
    <w:rsid w:val="00B72817"/>
    <w:rsid w:val="00B728E7"/>
    <w:rsid w:val="00B7295A"/>
    <w:rsid w:val="00B72B62"/>
    <w:rsid w:val="00B72CA3"/>
    <w:rsid w:val="00B72CEF"/>
    <w:rsid w:val="00B72D19"/>
    <w:rsid w:val="00B72E24"/>
    <w:rsid w:val="00B72E4B"/>
    <w:rsid w:val="00B72F71"/>
    <w:rsid w:val="00B72FC8"/>
    <w:rsid w:val="00B730A6"/>
    <w:rsid w:val="00B7326A"/>
    <w:rsid w:val="00B73331"/>
    <w:rsid w:val="00B73529"/>
    <w:rsid w:val="00B735E6"/>
    <w:rsid w:val="00B737F4"/>
    <w:rsid w:val="00B738DE"/>
    <w:rsid w:val="00B7392B"/>
    <w:rsid w:val="00B739A3"/>
    <w:rsid w:val="00B739A8"/>
    <w:rsid w:val="00B73A3A"/>
    <w:rsid w:val="00B73C18"/>
    <w:rsid w:val="00B73C77"/>
    <w:rsid w:val="00B73F5B"/>
    <w:rsid w:val="00B73FBB"/>
    <w:rsid w:val="00B7400E"/>
    <w:rsid w:val="00B740BA"/>
    <w:rsid w:val="00B74239"/>
    <w:rsid w:val="00B742B9"/>
    <w:rsid w:val="00B74331"/>
    <w:rsid w:val="00B7448F"/>
    <w:rsid w:val="00B7455D"/>
    <w:rsid w:val="00B74593"/>
    <w:rsid w:val="00B74727"/>
    <w:rsid w:val="00B748EA"/>
    <w:rsid w:val="00B749E3"/>
    <w:rsid w:val="00B74A10"/>
    <w:rsid w:val="00B74B80"/>
    <w:rsid w:val="00B74D7F"/>
    <w:rsid w:val="00B74FDE"/>
    <w:rsid w:val="00B75013"/>
    <w:rsid w:val="00B7515E"/>
    <w:rsid w:val="00B75186"/>
    <w:rsid w:val="00B7525D"/>
    <w:rsid w:val="00B752AE"/>
    <w:rsid w:val="00B75314"/>
    <w:rsid w:val="00B7533C"/>
    <w:rsid w:val="00B754C1"/>
    <w:rsid w:val="00B7560A"/>
    <w:rsid w:val="00B758BD"/>
    <w:rsid w:val="00B75A2E"/>
    <w:rsid w:val="00B75A3F"/>
    <w:rsid w:val="00B75A6F"/>
    <w:rsid w:val="00B75AD7"/>
    <w:rsid w:val="00B75BF2"/>
    <w:rsid w:val="00B75D73"/>
    <w:rsid w:val="00B75DDD"/>
    <w:rsid w:val="00B75E85"/>
    <w:rsid w:val="00B75FD4"/>
    <w:rsid w:val="00B75FDE"/>
    <w:rsid w:val="00B75FFA"/>
    <w:rsid w:val="00B7624C"/>
    <w:rsid w:val="00B76412"/>
    <w:rsid w:val="00B76503"/>
    <w:rsid w:val="00B7658C"/>
    <w:rsid w:val="00B765CB"/>
    <w:rsid w:val="00B7678E"/>
    <w:rsid w:val="00B76816"/>
    <w:rsid w:val="00B7685D"/>
    <w:rsid w:val="00B76903"/>
    <w:rsid w:val="00B7693B"/>
    <w:rsid w:val="00B769A6"/>
    <w:rsid w:val="00B76ABB"/>
    <w:rsid w:val="00B76ACC"/>
    <w:rsid w:val="00B76BDE"/>
    <w:rsid w:val="00B76C84"/>
    <w:rsid w:val="00B76D88"/>
    <w:rsid w:val="00B7715A"/>
    <w:rsid w:val="00B771F6"/>
    <w:rsid w:val="00B7739B"/>
    <w:rsid w:val="00B773F3"/>
    <w:rsid w:val="00B7749F"/>
    <w:rsid w:val="00B775B6"/>
    <w:rsid w:val="00B777F4"/>
    <w:rsid w:val="00B77815"/>
    <w:rsid w:val="00B778BC"/>
    <w:rsid w:val="00B77932"/>
    <w:rsid w:val="00B77A6E"/>
    <w:rsid w:val="00B77AB4"/>
    <w:rsid w:val="00B77AEE"/>
    <w:rsid w:val="00B77AF7"/>
    <w:rsid w:val="00B77B71"/>
    <w:rsid w:val="00B77C46"/>
    <w:rsid w:val="00B77CE3"/>
    <w:rsid w:val="00B77E19"/>
    <w:rsid w:val="00B77E21"/>
    <w:rsid w:val="00B77E6E"/>
    <w:rsid w:val="00B77F0A"/>
    <w:rsid w:val="00B77FA2"/>
    <w:rsid w:val="00B77FF5"/>
    <w:rsid w:val="00B800A5"/>
    <w:rsid w:val="00B8026E"/>
    <w:rsid w:val="00B80312"/>
    <w:rsid w:val="00B80781"/>
    <w:rsid w:val="00B80BC5"/>
    <w:rsid w:val="00B80BFB"/>
    <w:rsid w:val="00B81155"/>
    <w:rsid w:val="00B812F3"/>
    <w:rsid w:val="00B81367"/>
    <w:rsid w:val="00B813B2"/>
    <w:rsid w:val="00B813D6"/>
    <w:rsid w:val="00B813EC"/>
    <w:rsid w:val="00B8144C"/>
    <w:rsid w:val="00B816A9"/>
    <w:rsid w:val="00B8175F"/>
    <w:rsid w:val="00B81AB5"/>
    <w:rsid w:val="00B81CA2"/>
    <w:rsid w:val="00B81D12"/>
    <w:rsid w:val="00B81D4A"/>
    <w:rsid w:val="00B81DDA"/>
    <w:rsid w:val="00B81E13"/>
    <w:rsid w:val="00B81F8D"/>
    <w:rsid w:val="00B81F94"/>
    <w:rsid w:val="00B8203C"/>
    <w:rsid w:val="00B82076"/>
    <w:rsid w:val="00B82102"/>
    <w:rsid w:val="00B821E7"/>
    <w:rsid w:val="00B8236B"/>
    <w:rsid w:val="00B8240F"/>
    <w:rsid w:val="00B8243D"/>
    <w:rsid w:val="00B82473"/>
    <w:rsid w:val="00B82835"/>
    <w:rsid w:val="00B8287C"/>
    <w:rsid w:val="00B8289E"/>
    <w:rsid w:val="00B829D7"/>
    <w:rsid w:val="00B82A81"/>
    <w:rsid w:val="00B82ADF"/>
    <w:rsid w:val="00B82C4F"/>
    <w:rsid w:val="00B82CF5"/>
    <w:rsid w:val="00B82D8C"/>
    <w:rsid w:val="00B82F31"/>
    <w:rsid w:val="00B83248"/>
    <w:rsid w:val="00B83583"/>
    <w:rsid w:val="00B8362C"/>
    <w:rsid w:val="00B8370B"/>
    <w:rsid w:val="00B83751"/>
    <w:rsid w:val="00B837BC"/>
    <w:rsid w:val="00B8386D"/>
    <w:rsid w:val="00B83909"/>
    <w:rsid w:val="00B8390C"/>
    <w:rsid w:val="00B83942"/>
    <w:rsid w:val="00B83A7C"/>
    <w:rsid w:val="00B83ABF"/>
    <w:rsid w:val="00B83BE2"/>
    <w:rsid w:val="00B83C74"/>
    <w:rsid w:val="00B83CDB"/>
    <w:rsid w:val="00B83D40"/>
    <w:rsid w:val="00B83D5F"/>
    <w:rsid w:val="00B83E14"/>
    <w:rsid w:val="00B83EB4"/>
    <w:rsid w:val="00B83F39"/>
    <w:rsid w:val="00B8410F"/>
    <w:rsid w:val="00B84120"/>
    <w:rsid w:val="00B841A2"/>
    <w:rsid w:val="00B841ED"/>
    <w:rsid w:val="00B84208"/>
    <w:rsid w:val="00B842C1"/>
    <w:rsid w:val="00B84300"/>
    <w:rsid w:val="00B84312"/>
    <w:rsid w:val="00B84828"/>
    <w:rsid w:val="00B84985"/>
    <w:rsid w:val="00B849D6"/>
    <w:rsid w:val="00B84A3B"/>
    <w:rsid w:val="00B84CDD"/>
    <w:rsid w:val="00B84E12"/>
    <w:rsid w:val="00B84E1E"/>
    <w:rsid w:val="00B84E36"/>
    <w:rsid w:val="00B84E57"/>
    <w:rsid w:val="00B84F6F"/>
    <w:rsid w:val="00B84FD1"/>
    <w:rsid w:val="00B84FFE"/>
    <w:rsid w:val="00B851B1"/>
    <w:rsid w:val="00B85297"/>
    <w:rsid w:val="00B852A4"/>
    <w:rsid w:val="00B852BA"/>
    <w:rsid w:val="00B85504"/>
    <w:rsid w:val="00B85684"/>
    <w:rsid w:val="00B856C5"/>
    <w:rsid w:val="00B85714"/>
    <w:rsid w:val="00B858D6"/>
    <w:rsid w:val="00B859BE"/>
    <w:rsid w:val="00B859FB"/>
    <w:rsid w:val="00B85EA5"/>
    <w:rsid w:val="00B85FB1"/>
    <w:rsid w:val="00B85FEA"/>
    <w:rsid w:val="00B86024"/>
    <w:rsid w:val="00B861FE"/>
    <w:rsid w:val="00B862C0"/>
    <w:rsid w:val="00B86322"/>
    <w:rsid w:val="00B86395"/>
    <w:rsid w:val="00B86488"/>
    <w:rsid w:val="00B86828"/>
    <w:rsid w:val="00B86A69"/>
    <w:rsid w:val="00B86AD2"/>
    <w:rsid w:val="00B86B49"/>
    <w:rsid w:val="00B86C05"/>
    <w:rsid w:val="00B86E02"/>
    <w:rsid w:val="00B86FAE"/>
    <w:rsid w:val="00B8701E"/>
    <w:rsid w:val="00B870A1"/>
    <w:rsid w:val="00B871A3"/>
    <w:rsid w:val="00B871C5"/>
    <w:rsid w:val="00B872CD"/>
    <w:rsid w:val="00B87304"/>
    <w:rsid w:val="00B87779"/>
    <w:rsid w:val="00B8788E"/>
    <w:rsid w:val="00B878E5"/>
    <w:rsid w:val="00B8794D"/>
    <w:rsid w:val="00B87B4A"/>
    <w:rsid w:val="00B87B95"/>
    <w:rsid w:val="00B87BAB"/>
    <w:rsid w:val="00B87C3B"/>
    <w:rsid w:val="00B87CFA"/>
    <w:rsid w:val="00B87EF7"/>
    <w:rsid w:val="00B900A0"/>
    <w:rsid w:val="00B90119"/>
    <w:rsid w:val="00B901F3"/>
    <w:rsid w:val="00B902D4"/>
    <w:rsid w:val="00B90312"/>
    <w:rsid w:val="00B90489"/>
    <w:rsid w:val="00B904A7"/>
    <w:rsid w:val="00B90596"/>
    <w:rsid w:val="00B907E6"/>
    <w:rsid w:val="00B907E9"/>
    <w:rsid w:val="00B9096D"/>
    <w:rsid w:val="00B90A55"/>
    <w:rsid w:val="00B90B1D"/>
    <w:rsid w:val="00B90EA7"/>
    <w:rsid w:val="00B91056"/>
    <w:rsid w:val="00B91081"/>
    <w:rsid w:val="00B910BF"/>
    <w:rsid w:val="00B910D4"/>
    <w:rsid w:val="00B91161"/>
    <w:rsid w:val="00B9117C"/>
    <w:rsid w:val="00B911EC"/>
    <w:rsid w:val="00B911F7"/>
    <w:rsid w:val="00B91215"/>
    <w:rsid w:val="00B9127E"/>
    <w:rsid w:val="00B912A4"/>
    <w:rsid w:val="00B914F2"/>
    <w:rsid w:val="00B916CA"/>
    <w:rsid w:val="00B916F7"/>
    <w:rsid w:val="00B917BB"/>
    <w:rsid w:val="00B9182A"/>
    <w:rsid w:val="00B9183E"/>
    <w:rsid w:val="00B91865"/>
    <w:rsid w:val="00B91892"/>
    <w:rsid w:val="00B91D2B"/>
    <w:rsid w:val="00B91EE7"/>
    <w:rsid w:val="00B91F22"/>
    <w:rsid w:val="00B9203B"/>
    <w:rsid w:val="00B92062"/>
    <w:rsid w:val="00B920E4"/>
    <w:rsid w:val="00B921FF"/>
    <w:rsid w:val="00B92368"/>
    <w:rsid w:val="00B9270D"/>
    <w:rsid w:val="00B92749"/>
    <w:rsid w:val="00B92AB6"/>
    <w:rsid w:val="00B92CAC"/>
    <w:rsid w:val="00B92E2D"/>
    <w:rsid w:val="00B92E55"/>
    <w:rsid w:val="00B92F57"/>
    <w:rsid w:val="00B92FEC"/>
    <w:rsid w:val="00B93199"/>
    <w:rsid w:val="00B931AC"/>
    <w:rsid w:val="00B93276"/>
    <w:rsid w:val="00B93346"/>
    <w:rsid w:val="00B93387"/>
    <w:rsid w:val="00B93421"/>
    <w:rsid w:val="00B93423"/>
    <w:rsid w:val="00B934A6"/>
    <w:rsid w:val="00B934BC"/>
    <w:rsid w:val="00B935AC"/>
    <w:rsid w:val="00B935B9"/>
    <w:rsid w:val="00B936E7"/>
    <w:rsid w:val="00B93995"/>
    <w:rsid w:val="00B93C31"/>
    <w:rsid w:val="00B93D30"/>
    <w:rsid w:val="00B93D36"/>
    <w:rsid w:val="00B93DF9"/>
    <w:rsid w:val="00B93F97"/>
    <w:rsid w:val="00B94123"/>
    <w:rsid w:val="00B941B7"/>
    <w:rsid w:val="00B94256"/>
    <w:rsid w:val="00B942DA"/>
    <w:rsid w:val="00B94308"/>
    <w:rsid w:val="00B94447"/>
    <w:rsid w:val="00B94495"/>
    <w:rsid w:val="00B944B9"/>
    <w:rsid w:val="00B944C8"/>
    <w:rsid w:val="00B9453A"/>
    <w:rsid w:val="00B94801"/>
    <w:rsid w:val="00B94995"/>
    <w:rsid w:val="00B949C2"/>
    <w:rsid w:val="00B94B60"/>
    <w:rsid w:val="00B94F9C"/>
    <w:rsid w:val="00B9513E"/>
    <w:rsid w:val="00B951D8"/>
    <w:rsid w:val="00B95215"/>
    <w:rsid w:val="00B95225"/>
    <w:rsid w:val="00B95238"/>
    <w:rsid w:val="00B953D2"/>
    <w:rsid w:val="00B956DB"/>
    <w:rsid w:val="00B95851"/>
    <w:rsid w:val="00B95860"/>
    <w:rsid w:val="00B9589E"/>
    <w:rsid w:val="00B95953"/>
    <w:rsid w:val="00B95A0E"/>
    <w:rsid w:val="00B95BF4"/>
    <w:rsid w:val="00B95C4E"/>
    <w:rsid w:val="00B95C6D"/>
    <w:rsid w:val="00B95CCD"/>
    <w:rsid w:val="00B95CDD"/>
    <w:rsid w:val="00B95D42"/>
    <w:rsid w:val="00B95E5F"/>
    <w:rsid w:val="00B95E61"/>
    <w:rsid w:val="00B95F83"/>
    <w:rsid w:val="00B96053"/>
    <w:rsid w:val="00B960E3"/>
    <w:rsid w:val="00B96179"/>
    <w:rsid w:val="00B961CD"/>
    <w:rsid w:val="00B96250"/>
    <w:rsid w:val="00B9626B"/>
    <w:rsid w:val="00B963D0"/>
    <w:rsid w:val="00B963D5"/>
    <w:rsid w:val="00B964FD"/>
    <w:rsid w:val="00B96517"/>
    <w:rsid w:val="00B9670F"/>
    <w:rsid w:val="00B96770"/>
    <w:rsid w:val="00B968B1"/>
    <w:rsid w:val="00B969C8"/>
    <w:rsid w:val="00B96A9E"/>
    <w:rsid w:val="00B96C9B"/>
    <w:rsid w:val="00B96CD9"/>
    <w:rsid w:val="00B96D5E"/>
    <w:rsid w:val="00B96DC3"/>
    <w:rsid w:val="00B96E67"/>
    <w:rsid w:val="00B96F49"/>
    <w:rsid w:val="00B96F9F"/>
    <w:rsid w:val="00B97109"/>
    <w:rsid w:val="00B971AB"/>
    <w:rsid w:val="00B97307"/>
    <w:rsid w:val="00B9731A"/>
    <w:rsid w:val="00B9735E"/>
    <w:rsid w:val="00B97373"/>
    <w:rsid w:val="00B975D0"/>
    <w:rsid w:val="00B97639"/>
    <w:rsid w:val="00B97661"/>
    <w:rsid w:val="00B97728"/>
    <w:rsid w:val="00B97754"/>
    <w:rsid w:val="00B977C1"/>
    <w:rsid w:val="00B978DA"/>
    <w:rsid w:val="00B979ED"/>
    <w:rsid w:val="00B97BB0"/>
    <w:rsid w:val="00B97C54"/>
    <w:rsid w:val="00B97C55"/>
    <w:rsid w:val="00B97CC4"/>
    <w:rsid w:val="00B97D02"/>
    <w:rsid w:val="00B97E98"/>
    <w:rsid w:val="00B97F5B"/>
    <w:rsid w:val="00BA000E"/>
    <w:rsid w:val="00BA008B"/>
    <w:rsid w:val="00BA0278"/>
    <w:rsid w:val="00BA055E"/>
    <w:rsid w:val="00BA0591"/>
    <w:rsid w:val="00BA06FC"/>
    <w:rsid w:val="00BA0700"/>
    <w:rsid w:val="00BA082D"/>
    <w:rsid w:val="00BA08CE"/>
    <w:rsid w:val="00BA09D9"/>
    <w:rsid w:val="00BA0BA6"/>
    <w:rsid w:val="00BA0C05"/>
    <w:rsid w:val="00BA0C60"/>
    <w:rsid w:val="00BA0CD6"/>
    <w:rsid w:val="00BA0E15"/>
    <w:rsid w:val="00BA10CC"/>
    <w:rsid w:val="00BA10E0"/>
    <w:rsid w:val="00BA11C8"/>
    <w:rsid w:val="00BA12E3"/>
    <w:rsid w:val="00BA131B"/>
    <w:rsid w:val="00BA15C5"/>
    <w:rsid w:val="00BA167B"/>
    <w:rsid w:val="00BA1689"/>
    <w:rsid w:val="00BA19E0"/>
    <w:rsid w:val="00BA1C02"/>
    <w:rsid w:val="00BA1E18"/>
    <w:rsid w:val="00BA1E58"/>
    <w:rsid w:val="00BA1F45"/>
    <w:rsid w:val="00BA20B6"/>
    <w:rsid w:val="00BA216D"/>
    <w:rsid w:val="00BA21EA"/>
    <w:rsid w:val="00BA2274"/>
    <w:rsid w:val="00BA22FB"/>
    <w:rsid w:val="00BA253A"/>
    <w:rsid w:val="00BA264A"/>
    <w:rsid w:val="00BA27B4"/>
    <w:rsid w:val="00BA27DA"/>
    <w:rsid w:val="00BA2813"/>
    <w:rsid w:val="00BA28E6"/>
    <w:rsid w:val="00BA2929"/>
    <w:rsid w:val="00BA2963"/>
    <w:rsid w:val="00BA29F7"/>
    <w:rsid w:val="00BA2A14"/>
    <w:rsid w:val="00BA2A35"/>
    <w:rsid w:val="00BA2A40"/>
    <w:rsid w:val="00BA2A4B"/>
    <w:rsid w:val="00BA2AC1"/>
    <w:rsid w:val="00BA2EA4"/>
    <w:rsid w:val="00BA2F76"/>
    <w:rsid w:val="00BA2F8E"/>
    <w:rsid w:val="00BA307A"/>
    <w:rsid w:val="00BA30A9"/>
    <w:rsid w:val="00BA32AE"/>
    <w:rsid w:val="00BA330A"/>
    <w:rsid w:val="00BA3337"/>
    <w:rsid w:val="00BA34B2"/>
    <w:rsid w:val="00BA358A"/>
    <w:rsid w:val="00BA3663"/>
    <w:rsid w:val="00BA36A4"/>
    <w:rsid w:val="00BA36AF"/>
    <w:rsid w:val="00BA36E9"/>
    <w:rsid w:val="00BA39BC"/>
    <w:rsid w:val="00BA3A92"/>
    <w:rsid w:val="00BA3B78"/>
    <w:rsid w:val="00BA3C69"/>
    <w:rsid w:val="00BA3C7A"/>
    <w:rsid w:val="00BA3DFE"/>
    <w:rsid w:val="00BA3E1D"/>
    <w:rsid w:val="00BA3E71"/>
    <w:rsid w:val="00BA3F29"/>
    <w:rsid w:val="00BA3F30"/>
    <w:rsid w:val="00BA3F6E"/>
    <w:rsid w:val="00BA4061"/>
    <w:rsid w:val="00BA4091"/>
    <w:rsid w:val="00BA40CB"/>
    <w:rsid w:val="00BA4206"/>
    <w:rsid w:val="00BA44F0"/>
    <w:rsid w:val="00BA45E5"/>
    <w:rsid w:val="00BA4699"/>
    <w:rsid w:val="00BA46DD"/>
    <w:rsid w:val="00BA4750"/>
    <w:rsid w:val="00BA484E"/>
    <w:rsid w:val="00BA49DF"/>
    <w:rsid w:val="00BA4A1F"/>
    <w:rsid w:val="00BA4CF5"/>
    <w:rsid w:val="00BA4D7F"/>
    <w:rsid w:val="00BA4E63"/>
    <w:rsid w:val="00BA4E8A"/>
    <w:rsid w:val="00BA4FE0"/>
    <w:rsid w:val="00BA5239"/>
    <w:rsid w:val="00BA536F"/>
    <w:rsid w:val="00BA5424"/>
    <w:rsid w:val="00BA5439"/>
    <w:rsid w:val="00BA5449"/>
    <w:rsid w:val="00BA54A6"/>
    <w:rsid w:val="00BA5902"/>
    <w:rsid w:val="00BA59F8"/>
    <w:rsid w:val="00BA5A37"/>
    <w:rsid w:val="00BA5A57"/>
    <w:rsid w:val="00BA5C09"/>
    <w:rsid w:val="00BA5C5C"/>
    <w:rsid w:val="00BA5C8E"/>
    <w:rsid w:val="00BA5D0B"/>
    <w:rsid w:val="00BA5E2D"/>
    <w:rsid w:val="00BA5E85"/>
    <w:rsid w:val="00BA5F7C"/>
    <w:rsid w:val="00BA5F7F"/>
    <w:rsid w:val="00BA604E"/>
    <w:rsid w:val="00BA60A0"/>
    <w:rsid w:val="00BA6104"/>
    <w:rsid w:val="00BA6193"/>
    <w:rsid w:val="00BA61D6"/>
    <w:rsid w:val="00BA62F6"/>
    <w:rsid w:val="00BA64E0"/>
    <w:rsid w:val="00BA651C"/>
    <w:rsid w:val="00BA65F2"/>
    <w:rsid w:val="00BA6652"/>
    <w:rsid w:val="00BA66F0"/>
    <w:rsid w:val="00BA6827"/>
    <w:rsid w:val="00BA6828"/>
    <w:rsid w:val="00BA687F"/>
    <w:rsid w:val="00BA6A72"/>
    <w:rsid w:val="00BA6BD4"/>
    <w:rsid w:val="00BA6BEF"/>
    <w:rsid w:val="00BA6C95"/>
    <w:rsid w:val="00BA6D74"/>
    <w:rsid w:val="00BA6EC2"/>
    <w:rsid w:val="00BA6EF8"/>
    <w:rsid w:val="00BA7356"/>
    <w:rsid w:val="00BA73DB"/>
    <w:rsid w:val="00BA73E9"/>
    <w:rsid w:val="00BA760B"/>
    <w:rsid w:val="00BA76D2"/>
    <w:rsid w:val="00BA774D"/>
    <w:rsid w:val="00BA7760"/>
    <w:rsid w:val="00BA779C"/>
    <w:rsid w:val="00BA78EF"/>
    <w:rsid w:val="00BA7A87"/>
    <w:rsid w:val="00BA7AFB"/>
    <w:rsid w:val="00BA7BDA"/>
    <w:rsid w:val="00BA7BE0"/>
    <w:rsid w:val="00BA7C07"/>
    <w:rsid w:val="00BA7D3E"/>
    <w:rsid w:val="00BA7EB4"/>
    <w:rsid w:val="00BA7F24"/>
    <w:rsid w:val="00BA7F8A"/>
    <w:rsid w:val="00BA7FD2"/>
    <w:rsid w:val="00BB011C"/>
    <w:rsid w:val="00BB0134"/>
    <w:rsid w:val="00BB0172"/>
    <w:rsid w:val="00BB019E"/>
    <w:rsid w:val="00BB0280"/>
    <w:rsid w:val="00BB042A"/>
    <w:rsid w:val="00BB05E2"/>
    <w:rsid w:val="00BB0614"/>
    <w:rsid w:val="00BB0636"/>
    <w:rsid w:val="00BB0725"/>
    <w:rsid w:val="00BB0883"/>
    <w:rsid w:val="00BB08B2"/>
    <w:rsid w:val="00BB08D7"/>
    <w:rsid w:val="00BB09BA"/>
    <w:rsid w:val="00BB0AC5"/>
    <w:rsid w:val="00BB0B78"/>
    <w:rsid w:val="00BB0C0A"/>
    <w:rsid w:val="00BB0C26"/>
    <w:rsid w:val="00BB0FBC"/>
    <w:rsid w:val="00BB10DB"/>
    <w:rsid w:val="00BB111F"/>
    <w:rsid w:val="00BB129E"/>
    <w:rsid w:val="00BB1462"/>
    <w:rsid w:val="00BB1994"/>
    <w:rsid w:val="00BB1A92"/>
    <w:rsid w:val="00BB1B16"/>
    <w:rsid w:val="00BB1C8E"/>
    <w:rsid w:val="00BB1CDF"/>
    <w:rsid w:val="00BB1D78"/>
    <w:rsid w:val="00BB1FB3"/>
    <w:rsid w:val="00BB1FF6"/>
    <w:rsid w:val="00BB2014"/>
    <w:rsid w:val="00BB20E0"/>
    <w:rsid w:val="00BB2215"/>
    <w:rsid w:val="00BB237B"/>
    <w:rsid w:val="00BB2460"/>
    <w:rsid w:val="00BB249C"/>
    <w:rsid w:val="00BB24B9"/>
    <w:rsid w:val="00BB24EB"/>
    <w:rsid w:val="00BB2631"/>
    <w:rsid w:val="00BB2731"/>
    <w:rsid w:val="00BB27BA"/>
    <w:rsid w:val="00BB28F8"/>
    <w:rsid w:val="00BB2C1B"/>
    <w:rsid w:val="00BB2D52"/>
    <w:rsid w:val="00BB2DD5"/>
    <w:rsid w:val="00BB2F99"/>
    <w:rsid w:val="00BB307E"/>
    <w:rsid w:val="00BB3134"/>
    <w:rsid w:val="00BB3138"/>
    <w:rsid w:val="00BB31D6"/>
    <w:rsid w:val="00BB3438"/>
    <w:rsid w:val="00BB3477"/>
    <w:rsid w:val="00BB352E"/>
    <w:rsid w:val="00BB368D"/>
    <w:rsid w:val="00BB36E3"/>
    <w:rsid w:val="00BB370B"/>
    <w:rsid w:val="00BB379E"/>
    <w:rsid w:val="00BB3840"/>
    <w:rsid w:val="00BB38C6"/>
    <w:rsid w:val="00BB3A61"/>
    <w:rsid w:val="00BB3AB4"/>
    <w:rsid w:val="00BB3B8D"/>
    <w:rsid w:val="00BB3BAE"/>
    <w:rsid w:val="00BB3DF7"/>
    <w:rsid w:val="00BB3EC1"/>
    <w:rsid w:val="00BB403B"/>
    <w:rsid w:val="00BB428D"/>
    <w:rsid w:val="00BB4351"/>
    <w:rsid w:val="00BB4487"/>
    <w:rsid w:val="00BB472D"/>
    <w:rsid w:val="00BB473E"/>
    <w:rsid w:val="00BB477B"/>
    <w:rsid w:val="00BB4837"/>
    <w:rsid w:val="00BB492D"/>
    <w:rsid w:val="00BB4B52"/>
    <w:rsid w:val="00BB4B5A"/>
    <w:rsid w:val="00BB4BFF"/>
    <w:rsid w:val="00BB4C0F"/>
    <w:rsid w:val="00BB4C3C"/>
    <w:rsid w:val="00BB4CA4"/>
    <w:rsid w:val="00BB4F2F"/>
    <w:rsid w:val="00BB4F35"/>
    <w:rsid w:val="00BB5306"/>
    <w:rsid w:val="00BB53DD"/>
    <w:rsid w:val="00BB53EF"/>
    <w:rsid w:val="00BB543C"/>
    <w:rsid w:val="00BB54ED"/>
    <w:rsid w:val="00BB54F3"/>
    <w:rsid w:val="00BB553B"/>
    <w:rsid w:val="00BB55EC"/>
    <w:rsid w:val="00BB5697"/>
    <w:rsid w:val="00BB56AC"/>
    <w:rsid w:val="00BB574C"/>
    <w:rsid w:val="00BB57A9"/>
    <w:rsid w:val="00BB57B5"/>
    <w:rsid w:val="00BB5924"/>
    <w:rsid w:val="00BB59A1"/>
    <w:rsid w:val="00BB5B54"/>
    <w:rsid w:val="00BB5BCE"/>
    <w:rsid w:val="00BB5C7F"/>
    <w:rsid w:val="00BB5E02"/>
    <w:rsid w:val="00BB5E39"/>
    <w:rsid w:val="00BB5EE5"/>
    <w:rsid w:val="00BB5F9C"/>
    <w:rsid w:val="00BB6216"/>
    <w:rsid w:val="00BB647F"/>
    <w:rsid w:val="00BB659E"/>
    <w:rsid w:val="00BB65AC"/>
    <w:rsid w:val="00BB6619"/>
    <w:rsid w:val="00BB6685"/>
    <w:rsid w:val="00BB668C"/>
    <w:rsid w:val="00BB66B2"/>
    <w:rsid w:val="00BB66B6"/>
    <w:rsid w:val="00BB671C"/>
    <w:rsid w:val="00BB674B"/>
    <w:rsid w:val="00BB6858"/>
    <w:rsid w:val="00BB68BA"/>
    <w:rsid w:val="00BB6979"/>
    <w:rsid w:val="00BB69B6"/>
    <w:rsid w:val="00BB69C6"/>
    <w:rsid w:val="00BB6A27"/>
    <w:rsid w:val="00BB6BFB"/>
    <w:rsid w:val="00BB6D48"/>
    <w:rsid w:val="00BB7117"/>
    <w:rsid w:val="00BB7246"/>
    <w:rsid w:val="00BB72DA"/>
    <w:rsid w:val="00BB7360"/>
    <w:rsid w:val="00BB75DA"/>
    <w:rsid w:val="00BB76A6"/>
    <w:rsid w:val="00BB7769"/>
    <w:rsid w:val="00BB77A8"/>
    <w:rsid w:val="00BB7982"/>
    <w:rsid w:val="00BB7A2F"/>
    <w:rsid w:val="00BB7D02"/>
    <w:rsid w:val="00BB7EF8"/>
    <w:rsid w:val="00BC0068"/>
    <w:rsid w:val="00BC00AC"/>
    <w:rsid w:val="00BC0182"/>
    <w:rsid w:val="00BC01F7"/>
    <w:rsid w:val="00BC0270"/>
    <w:rsid w:val="00BC0276"/>
    <w:rsid w:val="00BC034C"/>
    <w:rsid w:val="00BC03F4"/>
    <w:rsid w:val="00BC0548"/>
    <w:rsid w:val="00BC055C"/>
    <w:rsid w:val="00BC0568"/>
    <w:rsid w:val="00BC06CD"/>
    <w:rsid w:val="00BC0712"/>
    <w:rsid w:val="00BC080E"/>
    <w:rsid w:val="00BC08FF"/>
    <w:rsid w:val="00BC0943"/>
    <w:rsid w:val="00BC09B0"/>
    <w:rsid w:val="00BC09CE"/>
    <w:rsid w:val="00BC09D9"/>
    <w:rsid w:val="00BC09DB"/>
    <w:rsid w:val="00BC0A2B"/>
    <w:rsid w:val="00BC0C1A"/>
    <w:rsid w:val="00BC0D1C"/>
    <w:rsid w:val="00BC0E2C"/>
    <w:rsid w:val="00BC0E7A"/>
    <w:rsid w:val="00BC0FF0"/>
    <w:rsid w:val="00BC10A5"/>
    <w:rsid w:val="00BC10FA"/>
    <w:rsid w:val="00BC10FF"/>
    <w:rsid w:val="00BC12AB"/>
    <w:rsid w:val="00BC1327"/>
    <w:rsid w:val="00BC1350"/>
    <w:rsid w:val="00BC13F0"/>
    <w:rsid w:val="00BC15BC"/>
    <w:rsid w:val="00BC16ED"/>
    <w:rsid w:val="00BC1730"/>
    <w:rsid w:val="00BC19A3"/>
    <w:rsid w:val="00BC1AAB"/>
    <w:rsid w:val="00BC1C7D"/>
    <w:rsid w:val="00BC1F17"/>
    <w:rsid w:val="00BC1F2A"/>
    <w:rsid w:val="00BC22C1"/>
    <w:rsid w:val="00BC235E"/>
    <w:rsid w:val="00BC23D7"/>
    <w:rsid w:val="00BC23F4"/>
    <w:rsid w:val="00BC2426"/>
    <w:rsid w:val="00BC249B"/>
    <w:rsid w:val="00BC24B7"/>
    <w:rsid w:val="00BC2528"/>
    <w:rsid w:val="00BC263B"/>
    <w:rsid w:val="00BC264A"/>
    <w:rsid w:val="00BC26E3"/>
    <w:rsid w:val="00BC27CC"/>
    <w:rsid w:val="00BC28BA"/>
    <w:rsid w:val="00BC2993"/>
    <w:rsid w:val="00BC29E3"/>
    <w:rsid w:val="00BC2B80"/>
    <w:rsid w:val="00BC2BF3"/>
    <w:rsid w:val="00BC2C25"/>
    <w:rsid w:val="00BC2E2B"/>
    <w:rsid w:val="00BC2F7B"/>
    <w:rsid w:val="00BC2FAA"/>
    <w:rsid w:val="00BC2FF0"/>
    <w:rsid w:val="00BC3009"/>
    <w:rsid w:val="00BC308E"/>
    <w:rsid w:val="00BC3199"/>
    <w:rsid w:val="00BC31A1"/>
    <w:rsid w:val="00BC31FF"/>
    <w:rsid w:val="00BC325A"/>
    <w:rsid w:val="00BC33F6"/>
    <w:rsid w:val="00BC3412"/>
    <w:rsid w:val="00BC3435"/>
    <w:rsid w:val="00BC34B1"/>
    <w:rsid w:val="00BC36A9"/>
    <w:rsid w:val="00BC3706"/>
    <w:rsid w:val="00BC3765"/>
    <w:rsid w:val="00BC377A"/>
    <w:rsid w:val="00BC37D9"/>
    <w:rsid w:val="00BC37F6"/>
    <w:rsid w:val="00BC382E"/>
    <w:rsid w:val="00BC3925"/>
    <w:rsid w:val="00BC395C"/>
    <w:rsid w:val="00BC395E"/>
    <w:rsid w:val="00BC3A65"/>
    <w:rsid w:val="00BC3B98"/>
    <w:rsid w:val="00BC3BB2"/>
    <w:rsid w:val="00BC3C42"/>
    <w:rsid w:val="00BC3C6A"/>
    <w:rsid w:val="00BC3D1B"/>
    <w:rsid w:val="00BC3D2D"/>
    <w:rsid w:val="00BC3F0F"/>
    <w:rsid w:val="00BC3F35"/>
    <w:rsid w:val="00BC3F69"/>
    <w:rsid w:val="00BC41FC"/>
    <w:rsid w:val="00BC422A"/>
    <w:rsid w:val="00BC428B"/>
    <w:rsid w:val="00BC42FD"/>
    <w:rsid w:val="00BC4351"/>
    <w:rsid w:val="00BC43DB"/>
    <w:rsid w:val="00BC43E5"/>
    <w:rsid w:val="00BC4510"/>
    <w:rsid w:val="00BC4668"/>
    <w:rsid w:val="00BC475A"/>
    <w:rsid w:val="00BC4784"/>
    <w:rsid w:val="00BC47E7"/>
    <w:rsid w:val="00BC48E7"/>
    <w:rsid w:val="00BC4932"/>
    <w:rsid w:val="00BC4964"/>
    <w:rsid w:val="00BC4A8B"/>
    <w:rsid w:val="00BC4CE6"/>
    <w:rsid w:val="00BC4D08"/>
    <w:rsid w:val="00BC50B5"/>
    <w:rsid w:val="00BC516B"/>
    <w:rsid w:val="00BC5204"/>
    <w:rsid w:val="00BC5483"/>
    <w:rsid w:val="00BC54BE"/>
    <w:rsid w:val="00BC5685"/>
    <w:rsid w:val="00BC58CE"/>
    <w:rsid w:val="00BC5961"/>
    <w:rsid w:val="00BC5967"/>
    <w:rsid w:val="00BC59F4"/>
    <w:rsid w:val="00BC59F9"/>
    <w:rsid w:val="00BC5A7F"/>
    <w:rsid w:val="00BC5CF6"/>
    <w:rsid w:val="00BC5E40"/>
    <w:rsid w:val="00BC5E7D"/>
    <w:rsid w:val="00BC5EB6"/>
    <w:rsid w:val="00BC5F73"/>
    <w:rsid w:val="00BC636D"/>
    <w:rsid w:val="00BC64FC"/>
    <w:rsid w:val="00BC667A"/>
    <w:rsid w:val="00BC6684"/>
    <w:rsid w:val="00BC670E"/>
    <w:rsid w:val="00BC681F"/>
    <w:rsid w:val="00BC68A5"/>
    <w:rsid w:val="00BC68A7"/>
    <w:rsid w:val="00BC6A05"/>
    <w:rsid w:val="00BC6A3B"/>
    <w:rsid w:val="00BC6D25"/>
    <w:rsid w:val="00BC6E15"/>
    <w:rsid w:val="00BC6E31"/>
    <w:rsid w:val="00BC70B8"/>
    <w:rsid w:val="00BC71E4"/>
    <w:rsid w:val="00BC7292"/>
    <w:rsid w:val="00BC72A1"/>
    <w:rsid w:val="00BC734C"/>
    <w:rsid w:val="00BC7407"/>
    <w:rsid w:val="00BC745E"/>
    <w:rsid w:val="00BC74D0"/>
    <w:rsid w:val="00BC756A"/>
    <w:rsid w:val="00BC75A2"/>
    <w:rsid w:val="00BC75B6"/>
    <w:rsid w:val="00BC75E6"/>
    <w:rsid w:val="00BC788A"/>
    <w:rsid w:val="00BC7A6D"/>
    <w:rsid w:val="00BC7A90"/>
    <w:rsid w:val="00BC7AC2"/>
    <w:rsid w:val="00BC7CFF"/>
    <w:rsid w:val="00BC7D4B"/>
    <w:rsid w:val="00BC7F21"/>
    <w:rsid w:val="00BD004B"/>
    <w:rsid w:val="00BD00C5"/>
    <w:rsid w:val="00BD00D0"/>
    <w:rsid w:val="00BD010B"/>
    <w:rsid w:val="00BD01EE"/>
    <w:rsid w:val="00BD049C"/>
    <w:rsid w:val="00BD05B5"/>
    <w:rsid w:val="00BD05E7"/>
    <w:rsid w:val="00BD07E2"/>
    <w:rsid w:val="00BD0924"/>
    <w:rsid w:val="00BD0A3C"/>
    <w:rsid w:val="00BD0A71"/>
    <w:rsid w:val="00BD0A81"/>
    <w:rsid w:val="00BD0B4A"/>
    <w:rsid w:val="00BD0CCF"/>
    <w:rsid w:val="00BD0D03"/>
    <w:rsid w:val="00BD0D2C"/>
    <w:rsid w:val="00BD0D81"/>
    <w:rsid w:val="00BD0E18"/>
    <w:rsid w:val="00BD0EB8"/>
    <w:rsid w:val="00BD0FFF"/>
    <w:rsid w:val="00BD10AD"/>
    <w:rsid w:val="00BD111F"/>
    <w:rsid w:val="00BD13D7"/>
    <w:rsid w:val="00BD1403"/>
    <w:rsid w:val="00BD1498"/>
    <w:rsid w:val="00BD154F"/>
    <w:rsid w:val="00BD15FC"/>
    <w:rsid w:val="00BD17E9"/>
    <w:rsid w:val="00BD19E9"/>
    <w:rsid w:val="00BD1BF1"/>
    <w:rsid w:val="00BD1CBA"/>
    <w:rsid w:val="00BD1D44"/>
    <w:rsid w:val="00BD1DF0"/>
    <w:rsid w:val="00BD1E5F"/>
    <w:rsid w:val="00BD1F15"/>
    <w:rsid w:val="00BD1F77"/>
    <w:rsid w:val="00BD1FF7"/>
    <w:rsid w:val="00BD216A"/>
    <w:rsid w:val="00BD217A"/>
    <w:rsid w:val="00BD2226"/>
    <w:rsid w:val="00BD2228"/>
    <w:rsid w:val="00BD2337"/>
    <w:rsid w:val="00BD238F"/>
    <w:rsid w:val="00BD23DE"/>
    <w:rsid w:val="00BD2520"/>
    <w:rsid w:val="00BD257F"/>
    <w:rsid w:val="00BD25C6"/>
    <w:rsid w:val="00BD25D5"/>
    <w:rsid w:val="00BD2652"/>
    <w:rsid w:val="00BD26DA"/>
    <w:rsid w:val="00BD278A"/>
    <w:rsid w:val="00BD2808"/>
    <w:rsid w:val="00BD284A"/>
    <w:rsid w:val="00BD29EE"/>
    <w:rsid w:val="00BD2A16"/>
    <w:rsid w:val="00BD2B05"/>
    <w:rsid w:val="00BD2BD3"/>
    <w:rsid w:val="00BD2C1C"/>
    <w:rsid w:val="00BD2D16"/>
    <w:rsid w:val="00BD2E09"/>
    <w:rsid w:val="00BD2EDD"/>
    <w:rsid w:val="00BD2F3B"/>
    <w:rsid w:val="00BD2F98"/>
    <w:rsid w:val="00BD2FF2"/>
    <w:rsid w:val="00BD30FC"/>
    <w:rsid w:val="00BD3227"/>
    <w:rsid w:val="00BD32F3"/>
    <w:rsid w:val="00BD336D"/>
    <w:rsid w:val="00BD348B"/>
    <w:rsid w:val="00BD34CF"/>
    <w:rsid w:val="00BD34F6"/>
    <w:rsid w:val="00BD3560"/>
    <w:rsid w:val="00BD37DC"/>
    <w:rsid w:val="00BD381E"/>
    <w:rsid w:val="00BD3940"/>
    <w:rsid w:val="00BD3AC6"/>
    <w:rsid w:val="00BD3BC7"/>
    <w:rsid w:val="00BD3BF3"/>
    <w:rsid w:val="00BD3C5C"/>
    <w:rsid w:val="00BD3CB9"/>
    <w:rsid w:val="00BD3CF9"/>
    <w:rsid w:val="00BD3D13"/>
    <w:rsid w:val="00BD3D1D"/>
    <w:rsid w:val="00BD3D43"/>
    <w:rsid w:val="00BD3D9A"/>
    <w:rsid w:val="00BD3DD3"/>
    <w:rsid w:val="00BD3F3B"/>
    <w:rsid w:val="00BD3F71"/>
    <w:rsid w:val="00BD404B"/>
    <w:rsid w:val="00BD4179"/>
    <w:rsid w:val="00BD432D"/>
    <w:rsid w:val="00BD4580"/>
    <w:rsid w:val="00BD45D2"/>
    <w:rsid w:val="00BD45F9"/>
    <w:rsid w:val="00BD4783"/>
    <w:rsid w:val="00BD480A"/>
    <w:rsid w:val="00BD4882"/>
    <w:rsid w:val="00BD492D"/>
    <w:rsid w:val="00BD4954"/>
    <w:rsid w:val="00BD49DD"/>
    <w:rsid w:val="00BD4A1C"/>
    <w:rsid w:val="00BD4A24"/>
    <w:rsid w:val="00BD4B12"/>
    <w:rsid w:val="00BD4B1A"/>
    <w:rsid w:val="00BD4C05"/>
    <w:rsid w:val="00BD4C4A"/>
    <w:rsid w:val="00BD4C78"/>
    <w:rsid w:val="00BD4C9A"/>
    <w:rsid w:val="00BD4CE9"/>
    <w:rsid w:val="00BD4D77"/>
    <w:rsid w:val="00BD4E38"/>
    <w:rsid w:val="00BD4FCB"/>
    <w:rsid w:val="00BD5196"/>
    <w:rsid w:val="00BD52A7"/>
    <w:rsid w:val="00BD56A7"/>
    <w:rsid w:val="00BD56B3"/>
    <w:rsid w:val="00BD56D2"/>
    <w:rsid w:val="00BD56D5"/>
    <w:rsid w:val="00BD5777"/>
    <w:rsid w:val="00BD5986"/>
    <w:rsid w:val="00BD59DE"/>
    <w:rsid w:val="00BD5BBF"/>
    <w:rsid w:val="00BD5D06"/>
    <w:rsid w:val="00BD5DD3"/>
    <w:rsid w:val="00BD5EA3"/>
    <w:rsid w:val="00BD5EC7"/>
    <w:rsid w:val="00BD6009"/>
    <w:rsid w:val="00BD62D2"/>
    <w:rsid w:val="00BD62F5"/>
    <w:rsid w:val="00BD647C"/>
    <w:rsid w:val="00BD6490"/>
    <w:rsid w:val="00BD659D"/>
    <w:rsid w:val="00BD65AA"/>
    <w:rsid w:val="00BD65B7"/>
    <w:rsid w:val="00BD66C3"/>
    <w:rsid w:val="00BD672B"/>
    <w:rsid w:val="00BD67F7"/>
    <w:rsid w:val="00BD69BC"/>
    <w:rsid w:val="00BD6A30"/>
    <w:rsid w:val="00BD6B43"/>
    <w:rsid w:val="00BD6DEC"/>
    <w:rsid w:val="00BD6E94"/>
    <w:rsid w:val="00BD7049"/>
    <w:rsid w:val="00BD718A"/>
    <w:rsid w:val="00BD71EE"/>
    <w:rsid w:val="00BD72A2"/>
    <w:rsid w:val="00BD72D5"/>
    <w:rsid w:val="00BD7344"/>
    <w:rsid w:val="00BD7492"/>
    <w:rsid w:val="00BD757E"/>
    <w:rsid w:val="00BD7666"/>
    <w:rsid w:val="00BD7679"/>
    <w:rsid w:val="00BD773D"/>
    <w:rsid w:val="00BD7AA5"/>
    <w:rsid w:val="00BD7B28"/>
    <w:rsid w:val="00BD7D3F"/>
    <w:rsid w:val="00BD7E05"/>
    <w:rsid w:val="00BD7EA8"/>
    <w:rsid w:val="00BD7EC2"/>
    <w:rsid w:val="00BD7EF9"/>
    <w:rsid w:val="00BE0028"/>
    <w:rsid w:val="00BE0132"/>
    <w:rsid w:val="00BE02AC"/>
    <w:rsid w:val="00BE02D3"/>
    <w:rsid w:val="00BE03D4"/>
    <w:rsid w:val="00BE0436"/>
    <w:rsid w:val="00BE04D5"/>
    <w:rsid w:val="00BE050E"/>
    <w:rsid w:val="00BE051E"/>
    <w:rsid w:val="00BE05C9"/>
    <w:rsid w:val="00BE0AC0"/>
    <w:rsid w:val="00BE0B27"/>
    <w:rsid w:val="00BE0B44"/>
    <w:rsid w:val="00BE0D39"/>
    <w:rsid w:val="00BE11D3"/>
    <w:rsid w:val="00BE12BD"/>
    <w:rsid w:val="00BE13F1"/>
    <w:rsid w:val="00BE1477"/>
    <w:rsid w:val="00BE14E2"/>
    <w:rsid w:val="00BE1678"/>
    <w:rsid w:val="00BE1833"/>
    <w:rsid w:val="00BE18B9"/>
    <w:rsid w:val="00BE18E5"/>
    <w:rsid w:val="00BE1958"/>
    <w:rsid w:val="00BE1AF7"/>
    <w:rsid w:val="00BE1BB0"/>
    <w:rsid w:val="00BE1C07"/>
    <w:rsid w:val="00BE1C8A"/>
    <w:rsid w:val="00BE1ED8"/>
    <w:rsid w:val="00BE1EE5"/>
    <w:rsid w:val="00BE1F93"/>
    <w:rsid w:val="00BE2132"/>
    <w:rsid w:val="00BE237E"/>
    <w:rsid w:val="00BE23CB"/>
    <w:rsid w:val="00BE254C"/>
    <w:rsid w:val="00BE25C7"/>
    <w:rsid w:val="00BE270A"/>
    <w:rsid w:val="00BE2779"/>
    <w:rsid w:val="00BE27C4"/>
    <w:rsid w:val="00BE2815"/>
    <w:rsid w:val="00BE283D"/>
    <w:rsid w:val="00BE28A8"/>
    <w:rsid w:val="00BE2918"/>
    <w:rsid w:val="00BE2945"/>
    <w:rsid w:val="00BE299C"/>
    <w:rsid w:val="00BE2A82"/>
    <w:rsid w:val="00BE2AED"/>
    <w:rsid w:val="00BE2C84"/>
    <w:rsid w:val="00BE2CA4"/>
    <w:rsid w:val="00BE2D8D"/>
    <w:rsid w:val="00BE2DB9"/>
    <w:rsid w:val="00BE2DCD"/>
    <w:rsid w:val="00BE2DE3"/>
    <w:rsid w:val="00BE2E73"/>
    <w:rsid w:val="00BE2ECB"/>
    <w:rsid w:val="00BE2FD4"/>
    <w:rsid w:val="00BE3049"/>
    <w:rsid w:val="00BE309A"/>
    <w:rsid w:val="00BE30FB"/>
    <w:rsid w:val="00BE30FF"/>
    <w:rsid w:val="00BE318D"/>
    <w:rsid w:val="00BE3328"/>
    <w:rsid w:val="00BE350B"/>
    <w:rsid w:val="00BE3646"/>
    <w:rsid w:val="00BE3690"/>
    <w:rsid w:val="00BE3789"/>
    <w:rsid w:val="00BE3835"/>
    <w:rsid w:val="00BE38DE"/>
    <w:rsid w:val="00BE3965"/>
    <w:rsid w:val="00BE39A3"/>
    <w:rsid w:val="00BE39CF"/>
    <w:rsid w:val="00BE3B5A"/>
    <w:rsid w:val="00BE3B85"/>
    <w:rsid w:val="00BE3CDC"/>
    <w:rsid w:val="00BE3D05"/>
    <w:rsid w:val="00BE3E41"/>
    <w:rsid w:val="00BE3ED7"/>
    <w:rsid w:val="00BE3F48"/>
    <w:rsid w:val="00BE3F96"/>
    <w:rsid w:val="00BE3FFE"/>
    <w:rsid w:val="00BE40AD"/>
    <w:rsid w:val="00BE40BC"/>
    <w:rsid w:val="00BE4105"/>
    <w:rsid w:val="00BE4127"/>
    <w:rsid w:val="00BE433C"/>
    <w:rsid w:val="00BE4358"/>
    <w:rsid w:val="00BE43F9"/>
    <w:rsid w:val="00BE441E"/>
    <w:rsid w:val="00BE456E"/>
    <w:rsid w:val="00BE4591"/>
    <w:rsid w:val="00BE464D"/>
    <w:rsid w:val="00BE475F"/>
    <w:rsid w:val="00BE478A"/>
    <w:rsid w:val="00BE49E7"/>
    <w:rsid w:val="00BE4B09"/>
    <w:rsid w:val="00BE4D49"/>
    <w:rsid w:val="00BE4E5F"/>
    <w:rsid w:val="00BE51DE"/>
    <w:rsid w:val="00BE51EA"/>
    <w:rsid w:val="00BE5316"/>
    <w:rsid w:val="00BE549B"/>
    <w:rsid w:val="00BE54D1"/>
    <w:rsid w:val="00BE5546"/>
    <w:rsid w:val="00BE55CA"/>
    <w:rsid w:val="00BE5A18"/>
    <w:rsid w:val="00BE5CA1"/>
    <w:rsid w:val="00BE5CE8"/>
    <w:rsid w:val="00BE5D5B"/>
    <w:rsid w:val="00BE5E44"/>
    <w:rsid w:val="00BE5E86"/>
    <w:rsid w:val="00BE6161"/>
    <w:rsid w:val="00BE6162"/>
    <w:rsid w:val="00BE62FA"/>
    <w:rsid w:val="00BE6348"/>
    <w:rsid w:val="00BE64DD"/>
    <w:rsid w:val="00BE654D"/>
    <w:rsid w:val="00BE667D"/>
    <w:rsid w:val="00BE699C"/>
    <w:rsid w:val="00BE6A75"/>
    <w:rsid w:val="00BE6B7F"/>
    <w:rsid w:val="00BE6C2B"/>
    <w:rsid w:val="00BE6CEF"/>
    <w:rsid w:val="00BE6E0D"/>
    <w:rsid w:val="00BE6E75"/>
    <w:rsid w:val="00BE6ECD"/>
    <w:rsid w:val="00BE6EE7"/>
    <w:rsid w:val="00BE7015"/>
    <w:rsid w:val="00BE70DC"/>
    <w:rsid w:val="00BE7285"/>
    <w:rsid w:val="00BE741D"/>
    <w:rsid w:val="00BE74EB"/>
    <w:rsid w:val="00BE750C"/>
    <w:rsid w:val="00BE7520"/>
    <w:rsid w:val="00BE7549"/>
    <w:rsid w:val="00BE75B5"/>
    <w:rsid w:val="00BE7671"/>
    <w:rsid w:val="00BE77FC"/>
    <w:rsid w:val="00BE781F"/>
    <w:rsid w:val="00BE78B9"/>
    <w:rsid w:val="00BE78D7"/>
    <w:rsid w:val="00BE795B"/>
    <w:rsid w:val="00BE79AD"/>
    <w:rsid w:val="00BE7B0A"/>
    <w:rsid w:val="00BE7B42"/>
    <w:rsid w:val="00BE7B50"/>
    <w:rsid w:val="00BE7D6E"/>
    <w:rsid w:val="00BE7E78"/>
    <w:rsid w:val="00BF0056"/>
    <w:rsid w:val="00BF00AA"/>
    <w:rsid w:val="00BF018C"/>
    <w:rsid w:val="00BF02F1"/>
    <w:rsid w:val="00BF0389"/>
    <w:rsid w:val="00BF03C2"/>
    <w:rsid w:val="00BF03E3"/>
    <w:rsid w:val="00BF048E"/>
    <w:rsid w:val="00BF04E7"/>
    <w:rsid w:val="00BF05ED"/>
    <w:rsid w:val="00BF06B3"/>
    <w:rsid w:val="00BF07F6"/>
    <w:rsid w:val="00BF0871"/>
    <w:rsid w:val="00BF089D"/>
    <w:rsid w:val="00BF0A59"/>
    <w:rsid w:val="00BF0AA5"/>
    <w:rsid w:val="00BF0B39"/>
    <w:rsid w:val="00BF0DD7"/>
    <w:rsid w:val="00BF0ED1"/>
    <w:rsid w:val="00BF0F53"/>
    <w:rsid w:val="00BF104B"/>
    <w:rsid w:val="00BF1190"/>
    <w:rsid w:val="00BF11B4"/>
    <w:rsid w:val="00BF1216"/>
    <w:rsid w:val="00BF121B"/>
    <w:rsid w:val="00BF12AA"/>
    <w:rsid w:val="00BF148A"/>
    <w:rsid w:val="00BF1914"/>
    <w:rsid w:val="00BF19BE"/>
    <w:rsid w:val="00BF19D6"/>
    <w:rsid w:val="00BF1AC4"/>
    <w:rsid w:val="00BF1B2E"/>
    <w:rsid w:val="00BF1B60"/>
    <w:rsid w:val="00BF1BB4"/>
    <w:rsid w:val="00BF1BD1"/>
    <w:rsid w:val="00BF1CCA"/>
    <w:rsid w:val="00BF1D54"/>
    <w:rsid w:val="00BF1D99"/>
    <w:rsid w:val="00BF1E57"/>
    <w:rsid w:val="00BF1E6F"/>
    <w:rsid w:val="00BF1E70"/>
    <w:rsid w:val="00BF1ED1"/>
    <w:rsid w:val="00BF1F41"/>
    <w:rsid w:val="00BF201C"/>
    <w:rsid w:val="00BF20F9"/>
    <w:rsid w:val="00BF21FD"/>
    <w:rsid w:val="00BF2405"/>
    <w:rsid w:val="00BF2470"/>
    <w:rsid w:val="00BF2481"/>
    <w:rsid w:val="00BF24F0"/>
    <w:rsid w:val="00BF2549"/>
    <w:rsid w:val="00BF257B"/>
    <w:rsid w:val="00BF25C5"/>
    <w:rsid w:val="00BF27A5"/>
    <w:rsid w:val="00BF2939"/>
    <w:rsid w:val="00BF2B33"/>
    <w:rsid w:val="00BF2C04"/>
    <w:rsid w:val="00BF2DE4"/>
    <w:rsid w:val="00BF2F3B"/>
    <w:rsid w:val="00BF2F78"/>
    <w:rsid w:val="00BF31C0"/>
    <w:rsid w:val="00BF3218"/>
    <w:rsid w:val="00BF326D"/>
    <w:rsid w:val="00BF3387"/>
    <w:rsid w:val="00BF33D4"/>
    <w:rsid w:val="00BF348A"/>
    <w:rsid w:val="00BF356D"/>
    <w:rsid w:val="00BF3615"/>
    <w:rsid w:val="00BF3726"/>
    <w:rsid w:val="00BF3766"/>
    <w:rsid w:val="00BF3849"/>
    <w:rsid w:val="00BF38D2"/>
    <w:rsid w:val="00BF3928"/>
    <w:rsid w:val="00BF3A1A"/>
    <w:rsid w:val="00BF3AE1"/>
    <w:rsid w:val="00BF3C1E"/>
    <w:rsid w:val="00BF3D0A"/>
    <w:rsid w:val="00BF3DCD"/>
    <w:rsid w:val="00BF3FBC"/>
    <w:rsid w:val="00BF411B"/>
    <w:rsid w:val="00BF4335"/>
    <w:rsid w:val="00BF4575"/>
    <w:rsid w:val="00BF4609"/>
    <w:rsid w:val="00BF4642"/>
    <w:rsid w:val="00BF4838"/>
    <w:rsid w:val="00BF4854"/>
    <w:rsid w:val="00BF48C6"/>
    <w:rsid w:val="00BF494C"/>
    <w:rsid w:val="00BF4B56"/>
    <w:rsid w:val="00BF4B60"/>
    <w:rsid w:val="00BF4BA9"/>
    <w:rsid w:val="00BF4C1F"/>
    <w:rsid w:val="00BF4C68"/>
    <w:rsid w:val="00BF4D5A"/>
    <w:rsid w:val="00BF4D7E"/>
    <w:rsid w:val="00BF4F4F"/>
    <w:rsid w:val="00BF4FF9"/>
    <w:rsid w:val="00BF505F"/>
    <w:rsid w:val="00BF5221"/>
    <w:rsid w:val="00BF52AD"/>
    <w:rsid w:val="00BF52CA"/>
    <w:rsid w:val="00BF5387"/>
    <w:rsid w:val="00BF547D"/>
    <w:rsid w:val="00BF550B"/>
    <w:rsid w:val="00BF5544"/>
    <w:rsid w:val="00BF56D6"/>
    <w:rsid w:val="00BF57AA"/>
    <w:rsid w:val="00BF580E"/>
    <w:rsid w:val="00BF5894"/>
    <w:rsid w:val="00BF58AB"/>
    <w:rsid w:val="00BF59AC"/>
    <w:rsid w:val="00BF5B75"/>
    <w:rsid w:val="00BF5BB2"/>
    <w:rsid w:val="00BF5C42"/>
    <w:rsid w:val="00BF5D59"/>
    <w:rsid w:val="00BF5E12"/>
    <w:rsid w:val="00BF5E2A"/>
    <w:rsid w:val="00BF5E3F"/>
    <w:rsid w:val="00BF5E65"/>
    <w:rsid w:val="00BF5EA7"/>
    <w:rsid w:val="00BF5F54"/>
    <w:rsid w:val="00BF601B"/>
    <w:rsid w:val="00BF6067"/>
    <w:rsid w:val="00BF62D7"/>
    <w:rsid w:val="00BF638D"/>
    <w:rsid w:val="00BF6443"/>
    <w:rsid w:val="00BF649B"/>
    <w:rsid w:val="00BF6561"/>
    <w:rsid w:val="00BF6570"/>
    <w:rsid w:val="00BF65F4"/>
    <w:rsid w:val="00BF6A1D"/>
    <w:rsid w:val="00BF6AFA"/>
    <w:rsid w:val="00BF6BFF"/>
    <w:rsid w:val="00BF6C43"/>
    <w:rsid w:val="00BF6D7B"/>
    <w:rsid w:val="00BF6E08"/>
    <w:rsid w:val="00BF6E4C"/>
    <w:rsid w:val="00BF6EE8"/>
    <w:rsid w:val="00BF6EF2"/>
    <w:rsid w:val="00BF6F87"/>
    <w:rsid w:val="00BF70F4"/>
    <w:rsid w:val="00BF71E7"/>
    <w:rsid w:val="00BF72E3"/>
    <w:rsid w:val="00BF731B"/>
    <w:rsid w:val="00BF7362"/>
    <w:rsid w:val="00BF73CF"/>
    <w:rsid w:val="00BF7660"/>
    <w:rsid w:val="00BF7678"/>
    <w:rsid w:val="00BF76F1"/>
    <w:rsid w:val="00BF7931"/>
    <w:rsid w:val="00BF796D"/>
    <w:rsid w:val="00BF7ABA"/>
    <w:rsid w:val="00BF7E34"/>
    <w:rsid w:val="00BF7E50"/>
    <w:rsid w:val="00BF7E87"/>
    <w:rsid w:val="00BF7F29"/>
    <w:rsid w:val="00BF7F47"/>
    <w:rsid w:val="00BF7F5E"/>
    <w:rsid w:val="00C00050"/>
    <w:rsid w:val="00C00062"/>
    <w:rsid w:val="00C00187"/>
    <w:rsid w:val="00C004F4"/>
    <w:rsid w:val="00C00839"/>
    <w:rsid w:val="00C00880"/>
    <w:rsid w:val="00C008D7"/>
    <w:rsid w:val="00C008EF"/>
    <w:rsid w:val="00C0097F"/>
    <w:rsid w:val="00C00B50"/>
    <w:rsid w:val="00C00C19"/>
    <w:rsid w:val="00C00FB4"/>
    <w:rsid w:val="00C00FDD"/>
    <w:rsid w:val="00C00FEB"/>
    <w:rsid w:val="00C01026"/>
    <w:rsid w:val="00C0108A"/>
    <w:rsid w:val="00C0127A"/>
    <w:rsid w:val="00C012EC"/>
    <w:rsid w:val="00C014C8"/>
    <w:rsid w:val="00C01510"/>
    <w:rsid w:val="00C0151B"/>
    <w:rsid w:val="00C01610"/>
    <w:rsid w:val="00C0191A"/>
    <w:rsid w:val="00C01A4B"/>
    <w:rsid w:val="00C01B83"/>
    <w:rsid w:val="00C01ECB"/>
    <w:rsid w:val="00C01F71"/>
    <w:rsid w:val="00C01FDF"/>
    <w:rsid w:val="00C02058"/>
    <w:rsid w:val="00C020CA"/>
    <w:rsid w:val="00C020DB"/>
    <w:rsid w:val="00C02409"/>
    <w:rsid w:val="00C02500"/>
    <w:rsid w:val="00C0258F"/>
    <w:rsid w:val="00C02638"/>
    <w:rsid w:val="00C026A9"/>
    <w:rsid w:val="00C0273E"/>
    <w:rsid w:val="00C0277E"/>
    <w:rsid w:val="00C02790"/>
    <w:rsid w:val="00C02A0B"/>
    <w:rsid w:val="00C02C20"/>
    <w:rsid w:val="00C02C53"/>
    <w:rsid w:val="00C02CE3"/>
    <w:rsid w:val="00C02D51"/>
    <w:rsid w:val="00C02E1F"/>
    <w:rsid w:val="00C02E34"/>
    <w:rsid w:val="00C02EAF"/>
    <w:rsid w:val="00C02F80"/>
    <w:rsid w:val="00C030E5"/>
    <w:rsid w:val="00C03149"/>
    <w:rsid w:val="00C031DC"/>
    <w:rsid w:val="00C03326"/>
    <w:rsid w:val="00C03362"/>
    <w:rsid w:val="00C03394"/>
    <w:rsid w:val="00C03453"/>
    <w:rsid w:val="00C034E6"/>
    <w:rsid w:val="00C03525"/>
    <w:rsid w:val="00C03586"/>
    <w:rsid w:val="00C03749"/>
    <w:rsid w:val="00C037A6"/>
    <w:rsid w:val="00C037F3"/>
    <w:rsid w:val="00C038B3"/>
    <w:rsid w:val="00C03A4A"/>
    <w:rsid w:val="00C03E8E"/>
    <w:rsid w:val="00C03EF0"/>
    <w:rsid w:val="00C03F1C"/>
    <w:rsid w:val="00C03F34"/>
    <w:rsid w:val="00C0437D"/>
    <w:rsid w:val="00C04542"/>
    <w:rsid w:val="00C04649"/>
    <w:rsid w:val="00C046E4"/>
    <w:rsid w:val="00C04862"/>
    <w:rsid w:val="00C049CA"/>
    <w:rsid w:val="00C04A6E"/>
    <w:rsid w:val="00C04A76"/>
    <w:rsid w:val="00C04B64"/>
    <w:rsid w:val="00C04B91"/>
    <w:rsid w:val="00C04CCF"/>
    <w:rsid w:val="00C04D3E"/>
    <w:rsid w:val="00C04F9B"/>
    <w:rsid w:val="00C050AF"/>
    <w:rsid w:val="00C050C8"/>
    <w:rsid w:val="00C050E4"/>
    <w:rsid w:val="00C05241"/>
    <w:rsid w:val="00C0548A"/>
    <w:rsid w:val="00C054C5"/>
    <w:rsid w:val="00C05568"/>
    <w:rsid w:val="00C05887"/>
    <w:rsid w:val="00C058F1"/>
    <w:rsid w:val="00C0594F"/>
    <w:rsid w:val="00C05A7A"/>
    <w:rsid w:val="00C05B8A"/>
    <w:rsid w:val="00C05BD6"/>
    <w:rsid w:val="00C05D60"/>
    <w:rsid w:val="00C05DE4"/>
    <w:rsid w:val="00C05E5D"/>
    <w:rsid w:val="00C05E83"/>
    <w:rsid w:val="00C05F0A"/>
    <w:rsid w:val="00C06132"/>
    <w:rsid w:val="00C061BD"/>
    <w:rsid w:val="00C06209"/>
    <w:rsid w:val="00C06246"/>
    <w:rsid w:val="00C06269"/>
    <w:rsid w:val="00C062DE"/>
    <w:rsid w:val="00C0642B"/>
    <w:rsid w:val="00C0646F"/>
    <w:rsid w:val="00C06525"/>
    <w:rsid w:val="00C066B6"/>
    <w:rsid w:val="00C067FE"/>
    <w:rsid w:val="00C06A51"/>
    <w:rsid w:val="00C06AA1"/>
    <w:rsid w:val="00C06BF7"/>
    <w:rsid w:val="00C06E9D"/>
    <w:rsid w:val="00C06FD2"/>
    <w:rsid w:val="00C07121"/>
    <w:rsid w:val="00C07164"/>
    <w:rsid w:val="00C0732C"/>
    <w:rsid w:val="00C0739B"/>
    <w:rsid w:val="00C073F6"/>
    <w:rsid w:val="00C0745F"/>
    <w:rsid w:val="00C0748A"/>
    <w:rsid w:val="00C074CC"/>
    <w:rsid w:val="00C07550"/>
    <w:rsid w:val="00C07584"/>
    <w:rsid w:val="00C075B2"/>
    <w:rsid w:val="00C075CA"/>
    <w:rsid w:val="00C0769F"/>
    <w:rsid w:val="00C076CC"/>
    <w:rsid w:val="00C07782"/>
    <w:rsid w:val="00C077DB"/>
    <w:rsid w:val="00C077E6"/>
    <w:rsid w:val="00C07815"/>
    <w:rsid w:val="00C078CB"/>
    <w:rsid w:val="00C07907"/>
    <w:rsid w:val="00C0792A"/>
    <w:rsid w:val="00C0795E"/>
    <w:rsid w:val="00C07A06"/>
    <w:rsid w:val="00C07A66"/>
    <w:rsid w:val="00C07B1D"/>
    <w:rsid w:val="00C07C93"/>
    <w:rsid w:val="00C1001C"/>
    <w:rsid w:val="00C10060"/>
    <w:rsid w:val="00C1007D"/>
    <w:rsid w:val="00C10180"/>
    <w:rsid w:val="00C10211"/>
    <w:rsid w:val="00C10311"/>
    <w:rsid w:val="00C1031E"/>
    <w:rsid w:val="00C1032A"/>
    <w:rsid w:val="00C10440"/>
    <w:rsid w:val="00C10462"/>
    <w:rsid w:val="00C10485"/>
    <w:rsid w:val="00C1049E"/>
    <w:rsid w:val="00C104FE"/>
    <w:rsid w:val="00C10793"/>
    <w:rsid w:val="00C10887"/>
    <w:rsid w:val="00C108EE"/>
    <w:rsid w:val="00C10B08"/>
    <w:rsid w:val="00C10B78"/>
    <w:rsid w:val="00C10C3F"/>
    <w:rsid w:val="00C10C64"/>
    <w:rsid w:val="00C10D88"/>
    <w:rsid w:val="00C10E61"/>
    <w:rsid w:val="00C10E6E"/>
    <w:rsid w:val="00C10EE3"/>
    <w:rsid w:val="00C10F1B"/>
    <w:rsid w:val="00C110E0"/>
    <w:rsid w:val="00C110FF"/>
    <w:rsid w:val="00C11113"/>
    <w:rsid w:val="00C111E5"/>
    <w:rsid w:val="00C1122B"/>
    <w:rsid w:val="00C113F8"/>
    <w:rsid w:val="00C11401"/>
    <w:rsid w:val="00C11416"/>
    <w:rsid w:val="00C115B5"/>
    <w:rsid w:val="00C11701"/>
    <w:rsid w:val="00C1184A"/>
    <w:rsid w:val="00C11862"/>
    <w:rsid w:val="00C119F5"/>
    <w:rsid w:val="00C11A13"/>
    <w:rsid w:val="00C11AE9"/>
    <w:rsid w:val="00C11BE5"/>
    <w:rsid w:val="00C11CFC"/>
    <w:rsid w:val="00C11D81"/>
    <w:rsid w:val="00C11D85"/>
    <w:rsid w:val="00C11E21"/>
    <w:rsid w:val="00C11E94"/>
    <w:rsid w:val="00C11EAE"/>
    <w:rsid w:val="00C120B6"/>
    <w:rsid w:val="00C121F1"/>
    <w:rsid w:val="00C1222F"/>
    <w:rsid w:val="00C1238B"/>
    <w:rsid w:val="00C12490"/>
    <w:rsid w:val="00C125D9"/>
    <w:rsid w:val="00C12691"/>
    <w:rsid w:val="00C12AC2"/>
    <w:rsid w:val="00C12AD5"/>
    <w:rsid w:val="00C12B17"/>
    <w:rsid w:val="00C12C5D"/>
    <w:rsid w:val="00C12C92"/>
    <w:rsid w:val="00C12D22"/>
    <w:rsid w:val="00C12D5D"/>
    <w:rsid w:val="00C13025"/>
    <w:rsid w:val="00C1312D"/>
    <w:rsid w:val="00C132CE"/>
    <w:rsid w:val="00C13925"/>
    <w:rsid w:val="00C13A47"/>
    <w:rsid w:val="00C13CFA"/>
    <w:rsid w:val="00C13E47"/>
    <w:rsid w:val="00C13E5F"/>
    <w:rsid w:val="00C13F38"/>
    <w:rsid w:val="00C13F5B"/>
    <w:rsid w:val="00C13FAF"/>
    <w:rsid w:val="00C14010"/>
    <w:rsid w:val="00C1403F"/>
    <w:rsid w:val="00C140A8"/>
    <w:rsid w:val="00C14362"/>
    <w:rsid w:val="00C14425"/>
    <w:rsid w:val="00C145AD"/>
    <w:rsid w:val="00C14609"/>
    <w:rsid w:val="00C14696"/>
    <w:rsid w:val="00C146CD"/>
    <w:rsid w:val="00C146EA"/>
    <w:rsid w:val="00C147A7"/>
    <w:rsid w:val="00C14870"/>
    <w:rsid w:val="00C149CC"/>
    <w:rsid w:val="00C149CD"/>
    <w:rsid w:val="00C14B70"/>
    <w:rsid w:val="00C14C3C"/>
    <w:rsid w:val="00C14E28"/>
    <w:rsid w:val="00C14E39"/>
    <w:rsid w:val="00C14ECB"/>
    <w:rsid w:val="00C15042"/>
    <w:rsid w:val="00C150E6"/>
    <w:rsid w:val="00C15282"/>
    <w:rsid w:val="00C152F5"/>
    <w:rsid w:val="00C1534B"/>
    <w:rsid w:val="00C1536F"/>
    <w:rsid w:val="00C15401"/>
    <w:rsid w:val="00C15422"/>
    <w:rsid w:val="00C154C7"/>
    <w:rsid w:val="00C15516"/>
    <w:rsid w:val="00C155A7"/>
    <w:rsid w:val="00C155D4"/>
    <w:rsid w:val="00C15634"/>
    <w:rsid w:val="00C156C5"/>
    <w:rsid w:val="00C1582D"/>
    <w:rsid w:val="00C15855"/>
    <w:rsid w:val="00C15937"/>
    <w:rsid w:val="00C15B50"/>
    <w:rsid w:val="00C15B79"/>
    <w:rsid w:val="00C15C7C"/>
    <w:rsid w:val="00C15CA9"/>
    <w:rsid w:val="00C15CBB"/>
    <w:rsid w:val="00C15D21"/>
    <w:rsid w:val="00C15FDC"/>
    <w:rsid w:val="00C16031"/>
    <w:rsid w:val="00C16077"/>
    <w:rsid w:val="00C16096"/>
    <w:rsid w:val="00C160B7"/>
    <w:rsid w:val="00C16137"/>
    <w:rsid w:val="00C161BF"/>
    <w:rsid w:val="00C161CF"/>
    <w:rsid w:val="00C162C0"/>
    <w:rsid w:val="00C163F4"/>
    <w:rsid w:val="00C16414"/>
    <w:rsid w:val="00C164B5"/>
    <w:rsid w:val="00C164BB"/>
    <w:rsid w:val="00C164DC"/>
    <w:rsid w:val="00C16623"/>
    <w:rsid w:val="00C16673"/>
    <w:rsid w:val="00C169B0"/>
    <w:rsid w:val="00C169E6"/>
    <w:rsid w:val="00C16A01"/>
    <w:rsid w:val="00C16B48"/>
    <w:rsid w:val="00C16B6A"/>
    <w:rsid w:val="00C16D9B"/>
    <w:rsid w:val="00C16DC1"/>
    <w:rsid w:val="00C16F5C"/>
    <w:rsid w:val="00C16F71"/>
    <w:rsid w:val="00C16FEF"/>
    <w:rsid w:val="00C1715E"/>
    <w:rsid w:val="00C1722C"/>
    <w:rsid w:val="00C1724C"/>
    <w:rsid w:val="00C17311"/>
    <w:rsid w:val="00C17359"/>
    <w:rsid w:val="00C17370"/>
    <w:rsid w:val="00C174EB"/>
    <w:rsid w:val="00C176AB"/>
    <w:rsid w:val="00C176C3"/>
    <w:rsid w:val="00C176F3"/>
    <w:rsid w:val="00C1778D"/>
    <w:rsid w:val="00C17845"/>
    <w:rsid w:val="00C1784F"/>
    <w:rsid w:val="00C178A5"/>
    <w:rsid w:val="00C179B2"/>
    <w:rsid w:val="00C17AE3"/>
    <w:rsid w:val="00C17AEE"/>
    <w:rsid w:val="00C17B15"/>
    <w:rsid w:val="00C17D67"/>
    <w:rsid w:val="00C17E10"/>
    <w:rsid w:val="00C17F31"/>
    <w:rsid w:val="00C17F63"/>
    <w:rsid w:val="00C2005A"/>
    <w:rsid w:val="00C20061"/>
    <w:rsid w:val="00C20199"/>
    <w:rsid w:val="00C202C8"/>
    <w:rsid w:val="00C202FF"/>
    <w:rsid w:val="00C20383"/>
    <w:rsid w:val="00C20396"/>
    <w:rsid w:val="00C203A1"/>
    <w:rsid w:val="00C20461"/>
    <w:rsid w:val="00C20527"/>
    <w:rsid w:val="00C205E4"/>
    <w:rsid w:val="00C205E7"/>
    <w:rsid w:val="00C20770"/>
    <w:rsid w:val="00C20944"/>
    <w:rsid w:val="00C20A2B"/>
    <w:rsid w:val="00C20A33"/>
    <w:rsid w:val="00C20AD6"/>
    <w:rsid w:val="00C20B8A"/>
    <w:rsid w:val="00C20C5F"/>
    <w:rsid w:val="00C20E4D"/>
    <w:rsid w:val="00C20F1C"/>
    <w:rsid w:val="00C20F6B"/>
    <w:rsid w:val="00C210BB"/>
    <w:rsid w:val="00C212A1"/>
    <w:rsid w:val="00C212AA"/>
    <w:rsid w:val="00C212B3"/>
    <w:rsid w:val="00C212EE"/>
    <w:rsid w:val="00C212FA"/>
    <w:rsid w:val="00C213DF"/>
    <w:rsid w:val="00C21483"/>
    <w:rsid w:val="00C214D8"/>
    <w:rsid w:val="00C2166F"/>
    <w:rsid w:val="00C216BD"/>
    <w:rsid w:val="00C217BD"/>
    <w:rsid w:val="00C2180C"/>
    <w:rsid w:val="00C21B6A"/>
    <w:rsid w:val="00C21B78"/>
    <w:rsid w:val="00C21BB1"/>
    <w:rsid w:val="00C21BF3"/>
    <w:rsid w:val="00C21C82"/>
    <w:rsid w:val="00C21DDD"/>
    <w:rsid w:val="00C22130"/>
    <w:rsid w:val="00C22136"/>
    <w:rsid w:val="00C22200"/>
    <w:rsid w:val="00C2232E"/>
    <w:rsid w:val="00C2236E"/>
    <w:rsid w:val="00C22397"/>
    <w:rsid w:val="00C22456"/>
    <w:rsid w:val="00C22621"/>
    <w:rsid w:val="00C226FF"/>
    <w:rsid w:val="00C22785"/>
    <w:rsid w:val="00C2284A"/>
    <w:rsid w:val="00C228DE"/>
    <w:rsid w:val="00C228F7"/>
    <w:rsid w:val="00C2299E"/>
    <w:rsid w:val="00C22A49"/>
    <w:rsid w:val="00C22BB5"/>
    <w:rsid w:val="00C22C56"/>
    <w:rsid w:val="00C22CA0"/>
    <w:rsid w:val="00C22D21"/>
    <w:rsid w:val="00C22D3B"/>
    <w:rsid w:val="00C22E44"/>
    <w:rsid w:val="00C22F9A"/>
    <w:rsid w:val="00C230C1"/>
    <w:rsid w:val="00C231A9"/>
    <w:rsid w:val="00C2334D"/>
    <w:rsid w:val="00C23423"/>
    <w:rsid w:val="00C234A8"/>
    <w:rsid w:val="00C23646"/>
    <w:rsid w:val="00C2366E"/>
    <w:rsid w:val="00C2368A"/>
    <w:rsid w:val="00C237C9"/>
    <w:rsid w:val="00C23809"/>
    <w:rsid w:val="00C23916"/>
    <w:rsid w:val="00C23A76"/>
    <w:rsid w:val="00C23B27"/>
    <w:rsid w:val="00C23B6D"/>
    <w:rsid w:val="00C23BED"/>
    <w:rsid w:val="00C23D65"/>
    <w:rsid w:val="00C23D67"/>
    <w:rsid w:val="00C23EBC"/>
    <w:rsid w:val="00C23F1C"/>
    <w:rsid w:val="00C23FCC"/>
    <w:rsid w:val="00C240AC"/>
    <w:rsid w:val="00C240CA"/>
    <w:rsid w:val="00C2410A"/>
    <w:rsid w:val="00C2411D"/>
    <w:rsid w:val="00C2416F"/>
    <w:rsid w:val="00C24272"/>
    <w:rsid w:val="00C24404"/>
    <w:rsid w:val="00C24566"/>
    <w:rsid w:val="00C2469B"/>
    <w:rsid w:val="00C24737"/>
    <w:rsid w:val="00C247A1"/>
    <w:rsid w:val="00C247D7"/>
    <w:rsid w:val="00C2488A"/>
    <w:rsid w:val="00C24987"/>
    <w:rsid w:val="00C24A52"/>
    <w:rsid w:val="00C24A58"/>
    <w:rsid w:val="00C24A92"/>
    <w:rsid w:val="00C24ABD"/>
    <w:rsid w:val="00C24AEE"/>
    <w:rsid w:val="00C24CFF"/>
    <w:rsid w:val="00C24E71"/>
    <w:rsid w:val="00C24F00"/>
    <w:rsid w:val="00C25091"/>
    <w:rsid w:val="00C25144"/>
    <w:rsid w:val="00C251BE"/>
    <w:rsid w:val="00C25266"/>
    <w:rsid w:val="00C252F9"/>
    <w:rsid w:val="00C2540E"/>
    <w:rsid w:val="00C254EA"/>
    <w:rsid w:val="00C25551"/>
    <w:rsid w:val="00C25586"/>
    <w:rsid w:val="00C25650"/>
    <w:rsid w:val="00C2566F"/>
    <w:rsid w:val="00C256C5"/>
    <w:rsid w:val="00C25879"/>
    <w:rsid w:val="00C25969"/>
    <w:rsid w:val="00C259FA"/>
    <w:rsid w:val="00C25A4E"/>
    <w:rsid w:val="00C25A9C"/>
    <w:rsid w:val="00C25B13"/>
    <w:rsid w:val="00C25B23"/>
    <w:rsid w:val="00C25E8E"/>
    <w:rsid w:val="00C25E90"/>
    <w:rsid w:val="00C25F65"/>
    <w:rsid w:val="00C2601C"/>
    <w:rsid w:val="00C26222"/>
    <w:rsid w:val="00C2630B"/>
    <w:rsid w:val="00C263DA"/>
    <w:rsid w:val="00C26523"/>
    <w:rsid w:val="00C26702"/>
    <w:rsid w:val="00C26754"/>
    <w:rsid w:val="00C2680D"/>
    <w:rsid w:val="00C26874"/>
    <w:rsid w:val="00C2690A"/>
    <w:rsid w:val="00C2693C"/>
    <w:rsid w:val="00C26C18"/>
    <w:rsid w:val="00C26D24"/>
    <w:rsid w:val="00C2707F"/>
    <w:rsid w:val="00C27152"/>
    <w:rsid w:val="00C2716E"/>
    <w:rsid w:val="00C27222"/>
    <w:rsid w:val="00C27385"/>
    <w:rsid w:val="00C27546"/>
    <w:rsid w:val="00C2756A"/>
    <w:rsid w:val="00C279AE"/>
    <w:rsid w:val="00C27A44"/>
    <w:rsid w:val="00C27BBF"/>
    <w:rsid w:val="00C27BC8"/>
    <w:rsid w:val="00C27C20"/>
    <w:rsid w:val="00C27CD3"/>
    <w:rsid w:val="00C27E80"/>
    <w:rsid w:val="00C27F3F"/>
    <w:rsid w:val="00C27FAB"/>
    <w:rsid w:val="00C27FDD"/>
    <w:rsid w:val="00C30108"/>
    <w:rsid w:val="00C301C8"/>
    <w:rsid w:val="00C30248"/>
    <w:rsid w:val="00C3038E"/>
    <w:rsid w:val="00C304DD"/>
    <w:rsid w:val="00C30656"/>
    <w:rsid w:val="00C307D8"/>
    <w:rsid w:val="00C308B2"/>
    <w:rsid w:val="00C30969"/>
    <w:rsid w:val="00C30979"/>
    <w:rsid w:val="00C309A5"/>
    <w:rsid w:val="00C30A9E"/>
    <w:rsid w:val="00C30AEC"/>
    <w:rsid w:val="00C30C2B"/>
    <w:rsid w:val="00C30DC7"/>
    <w:rsid w:val="00C30E5D"/>
    <w:rsid w:val="00C30E9C"/>
    <w:rsid w:val="00C30EB8"/>
    <w:rsid w:val="00C30F36"/>
    <w:rsid w:val="00C30F69"/>
    <w:rsid w:val="00C31052"/>
    <w:rsid w:val="00C31250"/>
    <w:rsid w:val="00C312B7"/>
    <w:rsid w:val="00C3148D"/>
    <w:rsid w:val="00C314B3"/>
    <w:rsid w:val="00C314CC"/>
    <w:rsid w:val="00C315A7"/>
    <w:rsid w:val="00C31663"/>
    <w:rsid w:val="00C316A1"/>
    <w:rsid w:val="00C31798"/>
    <w:rsid w:val="00C31851"/>
    <w:rsid w:val="00C31859"/>
    <w:rsid w:val="00C31895"/>
    <w:rsid w:val="00C318DC"/>
    <w:rsid w:val="00C31911"/>
    <w:rsid w:val="00C31A76"/>
    <w:rsid w:val="00C31C90"/>
    <w:rsid w:val="00C31DA4"/>
    <w:rsid w:val="00C31ED3"/>
    <w:rsid w:val="00C31F2F"/>
    <w:rsid w:val="00C320FF"/>
    <w:rsid w:val="00C32295"/>
    <w:rsid w:val="00C322D0"/>
    <w:rsid w:val="00C322E6"/>
    <w:rsid w:val="00C32307"/>
    <w:rsid w:val="00C32330"/>
    <w:rsid w:val="00C32592"/>
    <w:rsid w:val="00C327EB"/>
    <w:rsid w:val="00C32B43"/>
    <w:rsid w:val="00C32B4E"/>
    <w:rsid w:val="00C32CFE"/>
    <w:rsid w:val="00C32D58"/>
    <w:rsid w:val="00C32E9A"/>
    <w:rsid w:val="00C32F3A"/>
    <w:rsid w:val="00C32FE4"/>
    <w:rsid w:val="00C33101"/>
    <w:rsid w:val="00C33108"/>
    <w:rsid w:val="00C3313D"/>
    <w:rsid w:val="00C3329E"/>
    <w:rsid w:val="00C332E6"/>
    <w:rsid w:val="00C33300"/>
    <w:rsid w:val="00C3336E"/>
    <w:rsid w:val="00C33474"/>
    <w:rsid w:val="00C334A9"/>
    <w:rsid w:val="00C334F6"/>
    <w:rsid w:val="00C3356C"/>
    <w:rsid w:val="00C336DA"/>
    <w:rsid w:val="00C336E7"/>
    <w:rsid w:val="00C3383A"/>
    <w:rsid w:val="00C33984"/>
    <w:rsid w:val="00C339A0"/>
    <w:rsid w:val="00C339BB"/>
    <w:rsid w:val="00C339F6"/>
    <w:rsid w:val="00C33A25"/>
    <w:rsid w:val="00C33B10"/>
    <w:rsid w:val="00C33B20"/>
    <w:rsid w:val="00C33BA4"/>
    <w:rsid w:val="00C33D31"/>
    <w:rsid w:val="00C33E66"/>
    <w:rsid w:val="00C33F03"/>
    <w:rsid w:val="00C33F3D"/>
    <w:rsid w:val="00C33F93"/>
    <w:rsid w:val="00C33FE4"/>
    <w:rsid w:val="00C34075"/>
    <w:rsid w:val="00C34140"/>
    <w:rsid w:val="00C34179"/>
    <w:rsid w:val="00C34280"/>
    <w:rsid w:val="00C34520"/>
    <w:rsid w:val="00C347D2"/>
    <w:rsid w:val="00C34ABD"/>
    <w:rsid w:val="00C34AF8"/>
    <w:rsid w:val="00C34AFF"/>
    <w:rsid w:val="00C34CAF"/>
    <w:rsid w:val="00C34D03"/>
    <w:rsid w:val="00C34DA9"/>
    <w:rsid w:val="00C34E1B"/>
    <w:rsid w:val="00C34E1F"/>
    <w:rsid w:val="00C34FBB"/>
    <w:rsid w:val="00C35084"/>
    <w:rsid w:val="00C350B3"/>
    <w:rsid w:val="00C3520F"/>
    <w:rsid w:val="00C35419"/>
    <w:rsid w:val="00C35463"/>
    <w:rsid w:val="00C3546E"/>
    <w:rsid w:val="00C3547C"/>
    <w:rsid w:val="00C354EC"/>
    <w:rsid w:val="00C35533"/>
    <w:rsid w:val="00C35585"/>
    <w:rsid w:val="00C35636"/>
    <w:rsid w:val="00C3582D"/>
    <w:rsid w:val="00C35B76"/>
    <w:rsid w:val="00C35C63"/>
    <w:rsid w:val="00C35CE6"/>
    <w:rsid w:val="00C35F45"/>
    <w:rsid w:val="00C35F53"/>
    <w:rsid w:val="00C35F9A"/>
    <w:rsid w:val="00C35FB2"/>
    <w:rsid w:val="00C36179"/>
    <w:rsid w:val="00C362FE"/>
    <w:rsid w:val="00C3633D"/>
    <w:rsid w:val="00C36430"/>
    <w:rsid w:val="00C36496"/>
    <w:rsid w:val="00C364C2"/>
    <w:rsid w:val="00C365A1"/>
    <w:rsid w:val="00C365CD"/>
    <w:rsid w:val="00C36AEA"/>
    <w:rsid w:val="00C36BA7"/>
    <w:rsid w:val="00C36E72"/>
    <w:rsid w:val="00C36F81"/>
    <w:rsid w:val="00C3701F"/>
    <w:rsid w:val="00C370B3"/>
    <w:rsid w:val="00C370D5"/>
    <w:rsid w:val="00C37137"/>
    <w:rsid w:val="00C372A0"/>
    <w:rsid w:val="00C37334"/>
    <w:rsid w:val="00C37376"/>
    <w:rsid w:val="00C373C4"/>
    <w:rsid w:val="00C374FF"/>
    <w:rsid w:val="00C37649"/>
    <w:rsid w:val="00C3775B"/>
    <w:rsid w:val="00C3777D"/>
    <w:rsid w:val="00C3781C"/>
    <w:rsid w:val="00C37915"/>
    <w:rsid w:val="00C37C92"/>
    <w:rsid w:val="00C37D00"/>
    <w:rsid w:val="00C37D29"/>
    <w:rsid w:val="00C37D6B"/>
    <w:rsid w:val="00C37DCB"/>
    <w:rsid w:val="00C37E46"/>
    <w:rsid w:val="00C37E49"/>
    <w:rsid w:val="00C37F09"/>
    <w:rsid w:val="00C401C6"/>
    <w:rsid w:val="00C4034F"/>
    <w:rsid w:val="00C40397"/>
    <w:rsid w:val="00C4048A"/>
    <w:rsid w:val="00C40556"/>
    <w:rsid w:val="00C40591"/>
    <w:rsid w:val="00C405FE"/>
    <w:rsid w:val="00C40611"/>
    <w:rsid w:val="00C40661"/>
    <w:rsid w:val="00C407E0"/>
    <w:rsid w:val="00C4082D"/>
    <w:rsid w:val="00C4089F"/>
    <w:rsid w:val="00C408AA"/>
    <w:rsid w:val="00C40940"/>
    <w:rsid w:val="00C409DB"/>
    <w:rsid w:val="00C40A45"/>
    <w:rsid w:val="00C40AB6"/>
    <w:rsid w:val="00C40B54"/>
    <w:rsid w:val="00C40B81"/>
    <w:rsid w:val="00C40BDD"/>
    <w:rsid w:val="00C40C06"/>
    <w:rsid w:val="00C40C1E"/>
    <w:rsid w:val="00C40CAA"/>
    <w:rsid w:val="00C40D9B"/>
    <w:rsid w:val="00C40E13"/>
    <w:rsid w:val="00C40E3C"/>
    <w:rsid w:val="00C40E74"/>
    <w:rsid w:val="00C40EEC"/>
    <w:rsid w:val="00C40EF5"/>
    <w:rsid w:val="00C4115E"/>
    <w:rsid w:val="00C412A7"/>
    <w:rsid w:val="00C412FE"/>
    <w:rsid w:val="00C4131F"/>
    <w:rsid w:val="00C41390"/>
    <w:rsid w:val="00C414C8"/>
    <w:rsid w:val="00C4157F"/>
    <w:rsid w:val="00C41581"/>
    <w:rsid w:val="00C416CD"/>
    <w:rsid w:val="00C41737"/>
    <w:rsid w:val="00C417E5"/>
    <w:rsid w:val="00C418B5"/>
    <w:rsid w:val="00C41A8F"/>
    <w:rsid w:val="00C41E60"/>
    <w:rsid w:val="00C41EA2"/>
    <w:rsid w:val="00C421DF"/>
    <w:rsid w:val="00C42298"/>
    <w:rsid w:val="00C422BE"/>
    <w:rsid w:val="00C4230E"/>
    <w:rsid w:val="00C4240D"/>
    <w:rsid w:val="00C42487"/>
    <w:rsid w:val="00C424B0"/>
    <w:rsid w:val="00C424CA"/>
    <w:rsid w:val="00C42556"/>
    <w:rsid w:val="00C42632"/>
    <w:rsid w:val="00C4263F"/>
    <w:rsid w:val="00C426E8"/>
    <w:rsid w:val="00C42730"/>
    <w:rsid w:val="00C427D2"/>
    <w:rsid w:val="00C42A87"/>
    <w:rsid w:val="00C42D3C"/>
    <w:rsid w:val="00C42D6E"/>
    <w:rsid w:val="00C42E19"/>
    <w:rsid w:val="00C42E20"/>
    <w:rsid w:val="00C42E71"/>
    <w:rsid w:val="00C4312D"/>
    <w:rsid w:val="00C431CB"/>
    <w:rsid w:val="00C434F7"/>
    <w:rsid w:val="00C43654"/>
    <w:rsid w:val="00C436C7"/>
    <w:rsid w:val="00C436FB"/>
    <w:rsid w:val="00C437B2"/>
    <w:rsid w:val="00C4387B"/>
    <w:rsid w:val="00C43891"/>
    <w:rsid w:val="00C4391C"/>
    <w:rsid w:val="00C4399C"/>
    <w:rsid w:val="00C439BF"/>
    <w:rsid w:val="00C43C7A"/>
    <w:rsid w:val="00C43CEA"/>
    <w:rsid w:val="00C43FB6"/>
    <w:rsid w:val="00C43FDC"/>
    <w:rsid w:val="00C440B7"/>
    <w:rsid w:val="00C4414C"/>
    <w:rsid w:val="00C4418C"/>
    <w:rsid w:val="00C441F0"/>
    <w:rsid w:val="00C4436D"/>
    <w:rsid w:val="00C44428"/>
    <w:rsid w:val="00C44454"/>
    <w:rsid w:val="00C44557"/>
    <w:rsid w:val="00C4470D"/>
    <w:rsid w:val="00C447AD"/>
    <w:rsid w:val="00C44931"/>
    <w:rsid w:val="00C44959"/>
    <w:rsid w:val="00C4498F"/>
    <w:rsid w:val="00C449B1"/>
    <w:rsid w:val="00C44A1F"/>
    <w:rsid w:val="00C44A28"/>
    <w:rsid w:val="00C44A62"/>
    <w:rsid w:val="00C44A7B"/>
    <w:rsid w:val="00C44A7C"/>
    <w:rsid w:val="00C44A96"/>
    <w:rsid w:val="00C44B22"/>
    <w:rsid w:val="00C44C13"/>
    <w:rsid w:val="00C44CD3"/>
    <w:rsid w:val="00C44E08"/>
    <w:rsid w:val="00C44E20"/>
    <w:rsid w:val="00C44FA0"/>
    <w:rsid w:val="00C44FA3"/>
    <w:rsid w:val="00C45049"/>
    <w:rsid w:val="00C45072"/>
    <w:rsid w:val="00C452BE"/>
    <w:rsid w:val="00C452F8"/>
    <w:rsid w:val="00C45344"/>
    <w:rsid w:val="00C45348"/>
    <w:rsid w:val="00C4544C"/>
    <w:rsid w:val="00C454EE"/>
    <w:rsid w:val="00C455F0"/>
    <w:rsid w:val="00C45669"/>
    <w:rsid w:val="00C4581D"/>
    <w:rsid w:val="00C45874"/>
    <w:rsid w:val="00C459A9"/>
    <w:rsid w:val="00C45A47"/>
    <w:rsid w:val="00C45B59"/>
    <w:rsid w:val="00C45C78"/>
    <w:rsid w:val="00C45CA4"/>
    <w:rsid w:val="00C45FE0"/>
    <w:rsid w:val="00C46211"/>
    <w:rsid w:val="00C463C1"/>
    <w:rsid w:val="00C46469"/>
    <w:rsid w:val="00C465E8"/>
    <w:rsid w:val="00C46614"/>
    <w:rsid w:val="00C46627"/>
    <w:rsid w:val="00C4667C"/>
    <w:rsid w:val="00C46684"/>
    <w:rsid w:val="00C466C3"/>
    <w:rsid w:val="00C466C7"/>
    <w:rsid w:val="00C46849"/>
    <w:rsid w:val="00C468AA"/>
    <w:rsid w:val="00C46B4D"/>
    <w:rsid w:val="00C46BA5"/>
    <w:rsid w:val="00C46C3B"/>
    <w:rsid w:val="00C46C52"/>
    <w:rsid w:val="00C46C6D"/>
    <w:rsid w:val="00C46C7E"/>
    <w:rsid w:val="00C46D1A"/>
    <w:rsid w:val="00C46DBB"/>
    <w:rsid w:val="00C46E79"/>
    <w:rsid w:val="00C46EAB"/>
    <w:rsid w:val="00C47248"/>
    <w:rsid w:val="00C4724B"/>
    <w:rsid w:val="00C4761C"/>
    <w:rsid w:val="00C47649"/>
    <w:rsid w:val="00C478E2"/>
    <w:rsid w:val="00C478E8"/>
    <w:rsid w:val="00C4796E"/>
    <w:rsid w:val="00C479B3"/>
    <w:rsid w:val="00C47ACC"/>
    <w:rsid w:val="00C47B02"/>
    <w:rsid w:val="00C47B13"/>
    <w:rsid w:val="00C47CE5"/>
    <w:rsid w:val="00C47D19"/>
    <w:rsid w:val="00C47E75"/>
    <w:rsid w:val="00C47E8F"/>
    <w:rsid w:val="00C47F47"/>
    <w:rsid w:val="00C47FB3"/>
    <w:rsid w:val="00C5009E"/>
    <w:rsid w:val="00C503C3"/>
    <w:rsid w:val="00C5047B"/>
    <w:rsid w:val="00C5066A"/>
    <w:rsid w:val="00C506CF"/>
    <w:rsid w:val="00C507E9"/>
    <w:rsid w:val="00C5085F"/>
    <w:rsid w:val="00C5089B"/>
    <w:rsid w:val="00C50911"/>
    <w:rsid w:val="00C50986"/>
    <w:rsid w:val="00C50C0A"/>
    <w:rsid w:val="00C50C61"/>
    <w:rsid w:val="00C50C73"/>
    <w:rsid w:val="00C50DE4"/>
    <w:rsid w:val="00C50E3D"/>
    <w:rsid w:val="00C50EC1"/>
    <w:rsid w:val="00C50F2F"/>
    <w:rsid w:val="00C511A9"/>
    <w:rsid w:val="00C51220"/>
    <w:rsid w:val="00C5123E"/>
    <w:rsid w:val="00C512BC"/>
    <w:rsid w:val="00C51304"/>
    <w:rsid w:val="00C513FA"/>
    <w:rsid w:val="00C517EC"/>
    <w:rsid w:val="00C51A31"/>
    <w:rsid w:val="00C51A49"/>
    <w:rsid w:val="00C51D59"/>
    <w:rsid w:val="00C51E69"/>
    <w:rsid w:val="00C51F8F"/>
    <w:rsid w:val="00C52157"/>
    <w:rsid w:val="00C52557"/>
    <w:rsid w:val="00C52560"/>
    <w:rsid w:val="00C525EA"/>
    <w:rsid w:val="00C5266E"/>
    <w:rsid w:val="00C5269E"/>
    <w:rsid w:val="00C526EA"/>
    <w:rsid w:val="00C52981"/>
    <w:rsid w:val="00C529B3"/>
    <w:rsid w:val="00C52ABF"/>
    <w:rsid w:val="00C52B04"/>
    <w:rsid w:val="00C52C9E"/>
    <w:rsid w:val="00C52D48"/>
    <w:rsid w:val="00C52D4D"/>
    <w:rsid w:val="00C52D7D"/>
    <w:rsid w:val="00C52DEE"/>
    <w:rsid w:val="00C52E52"/>
    <w:rsid w:val="00C52F37"/>
    <w:rsid w:val="00C52F6E"/>
    <w:rsid w:val="00C52FF8"/>
    <w:rsid w:val="00C5301A"/>
    <w:rsid w:val="00C53099"/>
    <w:rsid w:val="00C530E6"/>
    <w:rsid w:val="00C531ED"/>
    <w:rsid w:val="00C5324A"/>
    <w:rsid w:val="00C53341"/>
    <w:rsid w:val="00C533A5"/>
    <w:rsid w:val="00C53425"/>
    <w:rsid w:val="00C534AE"/>
    <w:rsid w:val="00C53A55"/>
    <w:rsid w:val="00C53B44"/>
    <w:rsid w:val="00C53BED"/>
    <w:rsid w:val="00C53BF2"/>
    <w:rsid w:val="00C53C7D"/>
    <w:rsid w:val="00C53C8D"/>
    <w:rsid w:val="00C53EA8"/>
    <w:rsid w:val="00C53EAA"/>
    <w:rsid w:val="00C53F30"/>
    <w:rsid w:val="00C53F91"/>
    <w:rsid w:val="00C54149"/>
    <w:rsid w:val="00C54303"/>
    <w:rsid w:val="00C543D0"/>
    <w:rsid w:val="00C54488"/>
    <w:rsid w:val="00C5474A"/>
    <w:rsid w:val="00C5496D"/>
    <w:rsid w:val="00C5498D"/>
    <w:rsid w:val="00C5499A"/>
    <w:rsid w:val="00C54A32"/>
    <w:rsid w:val="00C54A4E"/>
    <w:rsid w:val="00C54B50"/>
    <w:rsid w:val="00C54BA3"/>
    <w:rsid w:val="00C54C8D"/>
    <w:rsid w:val="00C54CA5"/>
    <w:rsid w:val="00C54D1F"/>
    <w:rsid w:val="00C54D24"/>
    <w:rsid w:val="00C54D57"/>
    <w:rsid w:val="00C54D64"/>
    <w:rsid w:val="00C54F85"/>
    <w:rsid w:val="00C5523C"/>
    <w:rsid w:val="00C552FA"/>
    <w:rsid w:val="00C5532C"/>
    <w:rsid w:val="00C555A8"/>
    <w:rsid w:val="00C555EE"/>
    <w:rsid w:val="00C5566D"/>
    <w:rsid w:val="00C556F7"/>
    <w:rsid w:val="00C55811"/>
    <w:rsid w:val="00C559DC"/>
    <w:rsid w:val="00C55A3F"/>
    <w:rsid w:val="00C55AD9"/>
    <w:rsid w:val="00C55B4D"/>
    <w:rsid w:val="00C55C75"/>
    <w:rsid w:val="00C55CAD"/>
    <w:rsid w:val="00C55D2D"/>
    <w:rsid w:val="00C55D4A"/>
    <w:rsid w:val="00C55D79"/>
    <w:rsid w:val="00C561E0"/>
    <w:rsid w:val="00C56390"/>
    <w:rsid w:val="00C56457"/>
    <w:rsid w:val="00C56502"/>
    <w:rsid w:val="00C568DE"/>
    <w:rsid w:val="00C56A59"/>
    <w:rsid w:val="00C56BDB"/>
    <w:rsid w:val="00C56CF7"/>
    <w:rsid w:val="00C56D44"/>
    <w:rsid w:val="00C56E2F"/>
    <w:rsid w:val="00C56ED0"/>
    <w:rsid w:val="00C56F8C"/>
    <w:rsid w:val="00C56FBF"/>
    <w:rsid w:val="00C56FE6"/>
    <w:rsid w:val="00C57076"/>
    <w:rsid w:val="00C570C7"/>
    <w:rsid w:val="00C57146"/>
    <w:rsid w:val="00C57244"/>
    <w:rsid w:val="00C57679"/>
    <w:rsid w:val="00C57788"/>
    <w:rsid w:val="00C578AE"/>
    <w:rsid w:val="00C578B6"/>
    <w:rsid w:val="00C57A11"/>
    <w:rsid w:val="00C57A37"/>
    <w:rsid w:val="00C57AA6"/>
    <w:rsid w:val="00C57BC3"/>
    <w:rsid w:val="00C57C92"/>
    <w:rsid w:val="00C57D21"/>
    <w:rsid w:val="00C57D4C"/>
    <w:rsid w:val="00C57E0D"/>
    <w:rsid w:val="00C600D7"/>
    <w:rsid w:val="00C60273"/>
    <w:rsid w:val="00C6032F"/>
    <w:rsid w:val="00C607D2"/>
    <w:rsid w:val="00C607D4"/>
    <w:rsid w:val="00C607E6"/>
    <w:rsid w:val="00C6080D"/>
    <w:rsid w:val="00C6084E"/>
    <w:rsid w:val="00C608FD"/>
    <w:rsid w:val="00C60A70"/>
    <w:rsid w:val="00C60CD1"/>
    <w:rsid w:val="00C60D57"/>
    <w:rsid w:val="00C60F6D"/>
    <w:rsid w:val="00C61313"/>
    <w:rsid w:val="00C614A9"/>
    <w:rsid w:val="00C61901"/>
    <w:rsid w:val="00C61928"/>
    <w:rsid w:val="00C6193C"/>
    <w:rsid w:val="00C61A2F"/>
    <w:rsid w:val="00C61AD9"/>
    <w:rsid w:val="00C61C73"/>
    <w:rsid w:val="00C61D38"/>
    <w:rsid w:val="00C61E04"/>
    <w:rsid w:val="00C61EF9"/>
    <w:rsid w:val="00C61F33"/>
    <w:rsid w:val="00C620D6"/>
    <w:rsid w:val="00C6218E"/>
    <w:rsid w:val="00C6219C"/>
    <w:rsid w:val="00C6224B"/>
    <w:rsid w:val="00C6241C"/>
    <w:rsid w:val="00C62457"/>
    <w:rsid w:val="00C6247E"/>
    <w:rsid w:val="00C625F0"/>
    <w:rsid w:val="00C625F2"/>
    <w:rsid w:val="00C6262A"/>
    <w:rsid w:val="00C62AA3"/>
    <w:rsid w:val="00C62D90"/>
    <w:rsid w:val="00C6301C"/>
    <w:rsid w:val="00C63063"/>
    <w:rsid w:val="00C630B9"/>
    <w:rsid w:val="00C6324A"/>
    <w:rsid w:val="00C6325C"/>
    <w:rsid w:val="00C63294"/>
    <w:rsid w:val="00C632B6"/>
    <w:rsid w:val="00C63385"/>
    <w:rsid w:val="00C63388"/>
    <w:rsid w:val="00C63481"/>
    <w:rsid w:val="00C6390E"/>
    <w:rsid w:val="00C639EB"/>
    <w:rsid w:val="00C63A35"/>
    <w:rsid w:val="00C63AED"/>
    <w:rsid w:val="00C63BE3"/>
    <w:rsid w:val="00C63F7C"/>
    <w:rsid w:val="00C63F82"/>
    <w:rsid w:val="00C63F8D"/>
    <w:rsid w:val="00C6404B"/>
    <w:rsid w:val="00C64334"/>
    <w:rsid w:val="00C64352"/>
    <w:rsid w:val="00C6440B"/>
    <w:rsid w:val="00C6440E"/>
    <w:rsid w:val="00C64439"/>
    <w:rsid w:val="00C644D0"/>
    <w:rsid w:val="00C645BB"/>
    <w:rsid w:val="00C645FE"/>
    <w:rsid w:val="00C64710"/>
    <w:rsid w:val="00C64741"/>
    <w:rsid w:val="00C64798"/>
    <w:rsid w:val="00C648FA"/>
    <w:rsid w:val="00C64A6F"/>
    <w:rsid w:val="00C64A80"/>
    <w:rsid w:val="00C64AD2"/>
    <w:rsid w:val="00C64B27"/>
    <w:rsid w:val="00C64B7A"/>
    <w:rsid w:val="00C64C20"/>
    <w:rsid w:val="00C64CDB"/>
    <w:rsid w:val="00C64DB8"/>
    <w:rsid w:val="00C64FD4"/>
    <w:rsid w:val="00C64FDA"/>
    <w:rsid w:val="00C65025"/>
    <w:rsid w:val="00C651D2"/>
    <w:rsid w:val="00C6530B"/>
    <w:rsid w:val="00C65326"/>
    <w:rsid w:val="00C654D2"/>
    <w:rsid w:val="00C65570"/>
    <w:rsid w:val="00C655CC"/>
    <w:rsid w:val="00C6563F"/>
    <w:rsid w:val="00C656A5"/>
    <w:rsid w:val="00C65714"/>
    <w:rsid w:val="00C6584B"/>
    <w:rsid w:val="00C658C9"/>
    <w:rsid w:val="00C65A1B"/>
    <w:rsid w:val="00C65A36"/>
    <w:rsid w:val="00C65AC6"/>
    <w:rsid w:val="00C65C30"/>
    <w:rsid w:val="00C65CA6"/>
    <w:rsid w:val="00C65F05"/>
    <w:rsid w:val="00C661EA"/>
    <w:rsid w:val="00C6626F"/>
    <w:rsid w:val="00C66380"/>
    <w:rsid w:val="00C66386"/>
    <w:rsid w:val="00C66392"/>
    <w:rsid w:val="00C664A3"/>
    <w:rsid w:val="00C66540"/>
    <w:rsid w:val="00C66853"/>
    <w:rsid w:val="00C6685D"/>
    <w:rsid w:val="00C668D4"/>
    <w:rsid w:val="00C669A1"/>
    <w:rsid w:val="00C66A30"/>
    <w:rsid w:val="00C66C0B"/>
    <w:rsid w:val="00C66C48"/>
    <w:rsid w:val="00C66C71"/>
    <w:rsid w:val="00C66FE5"/>
    <w:rsid w:val="00C670E7"/>
    <w:rsid w:val="00C674B5"/>
    <w:rsid w:val="00C6751F"/>
    <w:rsid w:val="00C675F1"/>
    <w:rsid w:val="00C6777D"/>
    <w:rsid w:val="00C677CF"/>
    <w:rsid w:val="00C6786A"/>
    <w:rsid w:val="00C678E6"/>
    <w:rsid w:val="00C679B7"/>
    <w:rsid w:val="00C67BD6"/>
    <w:rsid w:val="00C67C58"/>
    <w:rsid w:val="00C67D85"/>
    <w:rsid w:val="00C67E32"/>
    <w:rsid w:val="00C700BA"/>
    <w:rsid w:val="00C7024D"/>
    <w:rsid w:val="00C7035D"/>
    <w:rsid w:val="00C70380"/>
    <w:rsid w:val="00C7043E"/>
    <w:rsid w:val="00C70459"/>
    <w:rsid w:val="00C704A0"/>
    <w:rsid w:val="00C704CF"/>
    <w:rsid w:val="00C70504"/>
    <w:rsid w:val="00C70596"/>
    <w:rsid w:val="00C7078A"/>
    <w:rsid w:val="00C708A7"/>
    <w:rsid w:val="00C70AC3"/>
    <w:rsid w:val="00C70B47"/>
    <w:rsid w:val="00C70DA8"/>
    <w:rsid w:val="00C70E49"/>
    <w:rsid w:val="00C70E77"/>
    <w:rsid w:val="00C710C9"/>
    <w:rsid w:val="00C710D5"/>
    <w:rsid w:val="00C71188"/>
    <w:rsid w:val="00C71285"/>
    <w:rsid w:val="00C712B2"/>
    <w:rsid w:val="00C71534"/>
    <w:rsid w:val="00C71797"/>
    <w:rsid w:val="00C717B4"/>
    <w:rsid w:val="00C718CA"/>
    <w:rsid w:val="00C71960"/>
    <w:rsid w:val="00C719FB"/>
    <w:rsid w:val="00C71AD6"/>
    <w:rsid w:val="00C71BCE"/>
    <w:rsid w:val="00C71DB4"/>
    <w:rsid w:val="00C71DC5"/>
    <w:rsid w:val="00C71E33"/>
    <w:rsid w:val="00C71E83"/>
    <w:rsid w:val="00C71F21"/>
    <w:rsid w:val="00C71F9B"/>
    <w:rsid w:val="00C72127"/>
    <w:rsid w:val="00C721F5"/>
    <w:rsid w:val="00C72261"/>
    <w:rsid w:val="00C7226D"/>
    <w:rsid w:val="00C72354"/>
    <w:rsid w:val="00C723A8"/>
    <w:rsid w:val="00C723DA"/>
    <w:rsid w:val="00C7241A"/>
    <w:rsid w:val="00C72449"/>
    <w:rsid w:val="00C7244D"/>
    <w:rsid w:val="00C724E7"/>
    <w:rsid w:val="00C7258E"/>
    <w:rsid w:val="00C72822"/>
    <w:rsid w:val="00C72824"/>
    <w:rsid w:val="00C728BE"/>
    <w:rsid w:val="00C728BF"/>
    <w:rsid w:val="00C72933"/>
    <w:rsid w:val="00C729CE"/>
    <w:rsid w:val="00C729FC"/>
    <w:rsid w:val="00C72A63"/>
    <w:rsid w:val="00C72C91"/>
    <w:rsid w:val="00C72CB6"/>
    <w:rsid w:val="00C72D60"/>
    <w:rsid w:val="00C72DEE"/>
    <w:rsid w:val="00C72F2D"/>
    <w:rsid w:val="00C73170"/>
    <w:rsid w:val="00C731C0"/>
    <w:rsid w:val="00C7322C"/>
    <w:rsid w:val="00C73280"/>
    <w:rsid w:val="00C73483"/>
    <w:rsid w:val="00C734B5"/>
    <w:rsid w:val="00C735CC"/>
    <w:rsid w:val="00C73605"/>
    <w:rsid w:val="00C73848"/>
    <w:rsid w:val="00C738C4"/>
    <w:rsid w:val="00C73907"/>
    <w:rsid w:val="00C73932"/>
    <w:rsid w:val="00C73A4E"/>
    <w:rsid w:val="00C73BBD"/>
    <w:rsid w:val="00C73C94"/>
    <w:rsid w:val="00C73CCA"/>
    <w:rsid w:val="00C73DD4"/>
    <w:rsid w:val="00C73F35"/>
    <w:rsid w:val="00C741E7"/>
    <w:rsid w:val="00C74248"/>
    <w:rsid w:val="00C7425E"/>
    <w:rsid w:val="00C742BF"/>
    <w:rsid w:val="00C743E3"/>
    <w:rsid w:val="00C743ED"/>
    <w:rsid w:val="00C74439"/>
    <w:rsid w:val="00C7451D"/>
    <w:rsid w:val="00C7459A"/>
    <w:rsid w:val="00C746F3"/>
    <w:rsid w:val="00C7487F"/>
    <w:rsid w:val="00C748DB"/>
    <w:rsid w:val="00C74907"/>
    <w:rsid w:val="00C74A5B"/>
    <w:rsid w:val="00C74B6C"/>
    <w:rsid w:val="00C74D2E"/>
    <w:rsid w:val="00C74D78"/>
    <w:rsid w:val="00C74E1B"/>
    <w:rsid w:val="00C74F56"/>
    <w:rsid w:val="00C751C0"/>
    <w:rsid w:val="00C752E9"/>
    <w:rsid w:val="00C7531F"/>
    <w:rsid w:val="00C7541C"/>
    <w:rsid w:val="00C754BA"/>
    <w:rsid w:val="00C75687"/>
    <w:rsid w:val="00C7569A"/>
    <w:rsid w:val="00C757AE"/>
    <w:rsid w:val="00C759A9"/>
    <w:rsid w:val="00C759AD"/>
    <w:rsid w:val="00C75ACE"/>
    <w:rsid w:val="00C75CC7"/>
    <w:rsid w:val="00C75FD4"/>
    <w:rsid w:val="00C760D4"/>
    <w:rsid w:val="00C76354"/>
    <w:rsid w:val="00C7643A"/>
    <w:rsid w:val="00C76461"/>
    <w:rsid w:val="00C7646A"/>
    <w:rsid w:val="00C7662C"/>
    <w:rsid w:val="00C766A1"/>
    <w:rsid w:val="00C76777"/>
    <w:rsid w:val="00C767F9"/>
    <w:rsid w:val="00C768BB"/>
    <w:rsid w:val="00C76B23"/>
    <w:rsid w:val="00C76D99"/>
    <w:rsid w:val="00C76DEA"/>
    <w:rsid w:val="00C76E60"/>
    <w:rsid w:val="00C76E8E"/>
    <w:rsid w:val="00C76FBE"/>
    <w:rsid w:val="00C77126"/>
    <w:rsid w:val="00C77153"/>
    <w:rsid w:val="00C77178"/>
    <w:rsid w:val="00C7717C"/>
    <w:rsid w:val="00C77232"/>
    <w:rsid w:val="00C7732C"/>
    <w:rsid w:val="00C773D1"/>
    <w:rsid w:val="00C774A4"/>
    <w:rsid w:val="00C7781D"/>
    <w:rsid w:val="00C77875"/>
    <w:rsid w:val="00C778A1"/>
    <w:rsid w:val="00C77935"/>
    <w:rsid w:val="00C7794D"/>
    <w:rsid w:val="00C77A57"/>
    <w:rsid w:val="00C77B55"/>
    <w:rsid w:val="00C77CCE"/>
    <w:rsid w:val="00C77CF4"/>
    <w:rsid w:val="00C77E16"/>
    <w:rsid w:val="00C77EEC"/>
    <w:rsid w:val="00C77F1E"/>
    <w:rsid w:val="00C77F6A"/>
    <w:rsid w:val="00C77F8B"/>
    <w:rsid w:val="00C80094"/>
    <w:rsid w:val="00C800ED"/>
    <w:rsid w:val="00C80123"/>
    <w:rsid w:val="00C80208"/>
    <w:rsid w:val="00C8054A"/>
    <w:rsid w:val="00C807AE"/>
    <w:rsid w:val="00C807E6"/>
    <w:rsid w:val="00C80CD6"/>
    <w:rsid w:val="00C80D2D"/>
    <w:rsid w:val="00C80DD9"/>
    <w:rsid w:val="00C80FE9"/>
    <w:rsid w:val="00C81115"/>
    <w:rsid w:val="00C811B0"/>
    <w:rsid w:val="00C81259"/>
    <w:rsid w:val="00C812F4"/>
    <w:rsid w:val="00C815BE"/>
    <w:rsid w:val="00C815CA"/>
    <w:rsid w:val="00C81634"/>
    <w:rsid w:val="00C816A9"/>
    <w:rsid w:val="00C8178B"/>
    <w:rsid w:val="00C817A3"/>
    <w:rsid w:val="00C817AD"/>
    <w:rsid w:val="00C81883"/>
    <w:rsid w:val="00C81925"/>
    <w:rsid w:val="00C8194E"/>
    <w:rsid w:val="00C81959"/>
    <w:rsid w:val="00C81AB2"/>
    <w:rsid w:val="00C81C43"/>
    <w:rsid w:val="00C81DAD"/>
    <w:rsid w:val="00C81DC6"/>
    <w:rsid w:val="00C81E7D"/>
    <w:rsid w:val="00C81FB7"/>
    <w:rsid w:val="00C821E3"/>
    <w:rsid w:val="00C821FA"/>
    <w:rsid w:val="00C82283"/>
    <w:rsid w:val="00C822B0"/>
    <w:rsid w:val="00C822CA"/>
    <w:rsid w:val="00C82331"/>
    <w:rsid w:val="00C82361"/>
    <w:rsid w:val="00C82379"/>
    <w:rsid w:val="00C823A5"/>
    <w:rsid w:val="00C823B8"/>
    <w:rsid w:val="00C8242B"/>
    <w:rsid w:val="00C825E7"/>
    <w:rsid w:val="00C826FB"/>
    <w:rsid w:val="00C8277B"/>
    <w:rsid w:val="00C82951"/>
    <w:rsid w:val="00C82AF5"/>
    <w:rsid w:val="00C82C42"/>
    <w:rsid w:val="00C82C9A"/>
    <w:rsid w:val="00C82F21"/>
    <w:rsid w:val="00C82F8B"/>
    <w:rsid w:val="00C82FA3"/>
    <w:rsid w:val="00C82FCC"/>
    <w:rsid w:val="00C832C6"/>
    <w:rsid w:val="00C8347F"/>
    <w:rsid w:val="00C83511"/>
    <w:rsid w:val="00C835DF"/>
    <w:rsid w:val="00C83691"/>
    <w:rsid w:val="00C83692"/>
    <w:rsid w:val="00C83728"/>
    <w:rsid w:val="00C83780"/>
    <w:rsid w:val="00C83786"/>
    <w:rsid w:val="00C837C2"/>
    <w:rsid w:val="00C8382E"/>
    <w:rsid w:val="00C83952"/>
    <w:rsid w:val="00C83A3D"/>
    <w:rsid w:val="00C83CA4"/>
    <w:rsid w:val="00C83D45"/>
    <w:rsid w:val="00C83D53"/>
    <w:rsid w:val="00C83E89"/>
    <w:rsid w:val="00C83E92"/>
    <w:rsid w:val="00C83EBF"/>
    <w:rsid w:val="00C83F37"/>
    <w:rsid w:val="00C83FE2"/>
    <w:rsid w:val="00C84123"/>
    <w:rsid w:val="00C842E5"/>
    <w:rsid w:val="00C84580"/>
    <w:rsid w:val="00C84584"/>
    <w:rsid w:val="00C84667"/>
    <w:rsid w:val="00C84735"/>
    <w:rsid w:val="00C84810"/>
    <w:rsid w:val="00C849AF"/>
    <w:rsid w:val="00C84A2D"/>
    <w:rsid w:val="00C84C39"/>
    <w:rsid w:val="00C84C5D"/>
    <w:rsid w:val="00C84DA7"/>
    <w:rsid w:val="00C84DF7"/>
    <w:rsid w:val="00C84ECC"/>
    <w:rsid w:val="00C85060"/>
    <w:rsid w:val="00C850C0"/>
    <w:rsid w:val="00C850EF"/>
    <w:rsid w:val="00C85141"/>
    <w:rsid w:val="00C851C3"/>
    <w:rsid w:val="00C851EE"/>
    <w:rsid w:val="00C852D3"/>
    <w:rsid w:val="00C8531B"/>
    <w:rsid w:val="00C8547E"/>
    <w:rsid w:val="00C85A7C"/>
    <w:rsid w:val="00C85B13"/>
    <w:rsid w:val="00C85B37"/>
    <w:rsid w:val="00C85B5A"/>
    <w:rsid w:val="00C85C45"/>
    <w:rsid w:val="00C85D1C"/>
    <w:rsid w:val="00C85FD6"/>
    <w:rsid w:val="00C86041"/>
    <w:rsid w:val="00C86077"/>
    <w:rsid w:val="00C86142"/>
    <w:rsid w:val="00C86259"/>
    <w:rsid w:val="00C86298"/>
    <w:rsid w:val="00C8644F"/>
    <w:rsid w:val="00C8666E"/>
    <w:rsid w:val="00C86698"/>
    <w:rsid w:val="00C866E4"/>
    <w:rsid w:val="00C86737"/>
    <w:rsid w:val="00C867B7"/>
    <w:rsid w:val="00C867DE"/>
    <w:rsid w:val="00C86A20"/>
    <w:rsid w:val="00C86B7C"/>
    <w:rsid w:val="00C86E31"/>
    <w:rsid w:val="00C86E7F"/>
    <w:rsid w:val="00C86F0C"/>
    <w:rsid w:val="00C87044"/>
    <w:rsid w:val="00C87113"/>
    <w:rsid w:val="00C87116"/>
    <w:rsid w:val="00C8716F"/>
    <w:rsid w:val="00C871AC"/>
    <w:rsid w:val="00C87288"/>
    <w:rsid w:val="00C8746C"/>
    <w:rsid w:val="00C87569"/>
    <w:rsid w:val="00C876C0"/>
    <w:rsid w:val="00C876E5"/>
    <w:rsid w:val="00C87729"/>
    <w:rsid w:val="00C879BC"/>
    <w:rsid w:val="00C87A5F"/>
    <w:rsid w:val="00C87AD8"/>
    <w:rsid w:val="00C87B42"/>
    <w:rsid w:val="00C87BA2"/>
    <w:rsid w:val="00C87BD2"/>
    <w:rsid w:val="00C87C96"/>
    <w:rsid w:val="00C87CDE"/>
    <w:rsid w:val="00C87D32"/>
    <w:rsid w:val="00C87D9A"/>
    <w:rsid w:val="00C87DC4"/>
    <w:rsid w:val="00C87DF7"/>
    <w:rsid w:val="00C9007C"/>
    <w:rsid w:val="00C90141"/>
    <w:rsid w:val="00C90311"/>
    <w:rsid w:val="00C90552"/>
    <w:rsid w:val="00C905B4"/>
    <w:rsid w:val="00C906C0"/>
    <w:rsid w:val="00C90735"/>
    <w:rsid w:val="00C909C5"/>
    <w:rsid w:val="00C90B8A"/>
    <w:rsid w:val="00C90B95"/>
    <w:rsid w:val="00C90F84"/>
    <w:rsid w:val="00C90FCB"/>
    <w:rsid w:val="00C91019"/>
    <w:rsid w:val="00C91025"/>
    <w:rsid w:val="00C9112D"/>
    <w:rsid w:val="00C911BB"/>
    <w:rsid w:val="00C912EB"/>
    <w:rsid w:val="00C91396"/>
    <w:rsid w:val="00C9170A"/>
    <w:rsid w:val="00C91747"/>
    <w:rsid w:val="00C919FC"/>
    <w:rsid w:val="00C91AC8"/>
    <w:rsid w:val="00C91B2D"/>
    <w:rsid w:val="00C91CA1"/>
    <w:rsid w:val="00C91DF2"/>
    <w:rsid w:val="00C91E69"/>
    <w:rsid w:val="00C9208F"/>
    <w:rsid w:val="00C922BA"/>
    <w:rsid w:val="00C9241A"/>
    <w:rsid w:val="00C92593"/>
    <w:rsid w:val="00C925A3"/>
    <w:rsid w:val="00C925A9"/>
    <w:rsid w:val="00C92693"/>
    <w:rsid w:val="00C92714"/>
    <w:rsid w:val="00C927C8"/>
    <w:rsid w:val="00C9282D"/>
    <w:rsid w:val="00C92961"/>
    <w:rsid w:val="00C929BB"/>
    <w:rsid w:val="00C92A26"/>
    <w:rsid w:val="00C92A68"/>
    <w:rsid w:val="00C92D79"/>
    <w:rsid w:val="00C92E65"/>
    <w:rsid w:val="00C93042"/>
    <w:rsid w:val="00C93175"/>
    <w:rsid w:val="00C93203"/>
    <w:rsid w:val="00C93326"/>
    <w:rsid w:val="00C93627"/>
    <w:rsid w:val="00C93824"/>
    <w:rsid w:val="00C938D6"/>
    <w:rsid w:val="00C93930"/>
    <w:rsid w:val="00C9393C"/>
    <w:rsid w:val="00C93995"/>
    <w:rsid w:val="00C939FF"/>
    <w:rsid w:val="00C93A48"/>
    <w:rsid w:val="00C93B89"/>
    <w:rsid w:val="00C93BB9"/>
    <w:rsid w:val="00C93BC5"/>
    <w:rsid w:val="00C93BCD"/>
    <w:rsid w:val="00C93DDF"/>
    <w:rsid w:val="00C93E34"/>
    <w:rsid w:val="00C94008"/>
    <w:rsid w:val="00C9404C"/>
    <w:rsid w:val="00C940BB"/>
    <w:rsid w:val="00C94330"/>
    <w:rsid w:val="00C94428"/>
    <w:rsid w:val="00C94475"/>
    <w:rsid w:val="00C9454A"/>
    <w:rsid w:val="00C94727"/>
    <w:rsid w:val="00C9484B"/>
    <w:rsid w:val="00C948C1"/>
    <w:rsid w:val="00C949AA"/>
    <w:rsid w:val="00C949CF"/>
    <w:rsid w:val="00C94CF9"/>
    <w:rsid w:val="00C94E2B"/>
    <w:rsid w:val="00C9502D"/>
    <w:rsid w:val="00C95162"/>
    <w:rsid w:val="00C95255"/>
    <w:rsid w:val="00C952E0"/>
    <w:rsid w:val="00C952F6"/>
    <w:rsid w:val="00C95350"/>
    <w:rsid w:val="00C95429"/>
    <w:rsid w:val="00C95437"/>
    <w:rsid w:val="00C9545A"/>
    <w:rsid w:val="00C95490"/>
    <w:rsid w:val="00C9549F"/>
    <w:rsid w:val="00C955A5"/>
    <w:rsid w:val="00C95672"/>
    <w:rsid w:val="00C95833"/>
    <w:rsid w:val="00C95853"/>
    <w:rsid w:val="00C95BBD"/>
    <w:rsid w:val="00C95CC7"/>
    <w:rsid w:val="00C95D89"/>
    <w:rsid w:val="00C96049"/>
    <w:rsid w:val="00C9608C"/>
    <w:rsid w:val="00C96222"/>
    <w:rsid w:val="00C9622B"/>
    <w:rsid w:val="00C96317"/>
    <w:rsid w:val="00C965CD"/>
    <w:rsid w:val="00C96687"/>
    <w:rsid w:val="00C968E3"/>
    <w:rsid w:val="00C96900"/>
    <w:rsid w:val="00C9690E"/>
    <w:rsid w:val="00C96BE5"/>
    <w:rsid w:val="00C96C61"/>
    <w:rsid w:val="00C96DE0"/>
    <w:rsid w:val="00C96F27"/>
    <w:rsid w:val="00C96FA8"/>
    <w:rsid w:val="00C970E5"/>
    <w:rsid w:val="00C97167"/>
    <w:rsid w:val="00C97217"/>
    <w:rsid w:val="00C97226"/>
    <w:rsid w:val="00C97257"/>
    <w:rsid w:val="00C97476"/>
    <w:rsid w:val="00C974A9"/>
    <w:rsid w:val="00C9754A"/>
    <w:rsid w:val="00C9754B"/>
    <w:rsid w:val="00C9777A"/>
    <w:rsid w:val="00C9779F"/>
    <w:rsid w:val="00C9797D"/>
    <w:rsid w:val="00C97A49"/>
    <w:rsid w:val="00C97CA7"/>
    <w:rsid w:val="00C97CE3"/>
    <w:rsid w:val="00CA00F9"/>
    <w:rsid w:val="00CA00FD"/>
    <w:rsid w:val="00CA0133"/>
    <w:rsid w:val="00CA013B"/>
    <w:rsid w:val="00CA01EC"/>
    <w:rsid w:val="00CA0719"/>
    <w:rsid w:val="00CA071B"/>
    <w:rsid w:val="00CA07F3"/>
    <w:rsid w:val="00CA086F"/>
    <w:rsid w:val="00CA08AB"/>
    <w:rsid w:val="00CA0A14"/>
    <w:rsid w:val="00CA0B38"/>
    <w:rsid w:val="00CA0BB1"/>
    <w:rsid w:val="00CA0D24"/>
    <w:rsid w:val="00CA0D26"/>
    <w:rsid w:val="00CA0D5C"/>
    <w:rsid w:val="00CA0FAD"/>
    <w:rsid w:val="00CA0FD4"/>
    <w:rsid w:val="00CA106C"/>
    <w:rsid w:val="00CA11A0"/>
    <w:rsid w:val="00CA11AB"/>
    <w:rsid w:val="00CA1335"/>
    <w:rsid w:val="00CA13D3"/>
    <w:rsid w:val="00CA15C4"/>
    <w:rsid w:val="00CA17A5"/>
    <w:rsid w:val="00CA1831"/>
    <w:rsid w:val="00CA1886"/>
    <w:rsid w:val="00CA193E"/>
    <w:rsid w:val="00CA1A7A"/>
    <w:rsid w:val="00CA1B07"/>
    <w:rsid w:val="00CA1CC3"/>
    <w:rsid w:val="00CA1E58"/>
    <w:rsid w:val="00CA1F8D"/>
    <w:rsid w:val="00CA2100"/>
    <w:rsid w:val="00CA2147"/>
    <w:rsid w:val="00CA2301"/>
    <w:rsid w:val="00CA2358"/>
    <w:rsid w:val="00CA2368"/>
    <w:rsid w:val="00CA2533"/>
    <w:rsid w:val="00CA2582"/>
    <w:rsid w:val="00CA25C5"/>
    <w:rsid w:val="00CA25DF"/>
    <w:rsid w:val="00CA2657"/>
    <w:rsid w:val="00CA270E"/>
    <w:rsid w:val="00CA277F"/>
    <w:rsid w:val="00CA2888"/>
    <w:rsid w:val="00CA2912"/>
    <w:rsid w:val="00CA29B8"/>
    <w:rsid w:val="00CA29BE"/>
    <w:rsid w:val="00CA29FA"/>
    <w:rsid w:val="00CA2A84"/>
    <w:rsid w:val="00CA2B84"/>
    <w:rsid w:val="00CA2BC3"/>
    <w:rsid w:val="00CA2C7E"/>
    <w:rsid w:val="00CA2C82"/>
    <w:rsid w:val="00CA2D7B"/>
    <w:rsid w:val="00CA2E88"/>
    <w:rsid w:val="00CA2EB6"/>
    <w:rsid w:val="00CA2EC1"/>
    <w:rsid w:val="00CA2F26"/>
    <w:rsid w:val="00CA3043"/>
    <w:rsid w:val="00CA30C4"/>
    <w:rsid w:val="00CA3276"/>
    <w:rsid w:val="00CA340A"/>
    <w:rsid w:val="00CA34BA"/>
    <w:rsid w:val="00CA353F"/>
    <w:rsid w:val="00CA3566"/>
    <w:rsid w:val="00CA35E4"/>
    <w:rsid w:val="00CA3696"/>
    <w:rsid w:val="00CA3740"/>
    <w:rsid w:val="00CA38A8"/>
    <w:rsid w:val="00CA3A6A"/>
    <w:rsid w:val="00CA3A9D"/>
    <w:rsid w:val="00CA3B9E"/>
    <w:rsid w:val="00CA3C8B"/>
    <w:rsid w:val="00CA3C8C"/>
    <w:rsid w:val="00CA3D66"/>
    <w:rsid w:val="00CA418F"/>
    <w:rsid w:val="00CA434E"/>
    <w:rsid w:val="00CA44CE"/>
    <w:rsid w:val="00CA46CD"/>
    <w:rsid w:val="00CA4789"/>
    <w:rsid w:val="00CA4970"/>
    <w:rsid w:val="00CA4AA9"/>
    <w:rsid w:val="00CA4D63"/>
    <w:rsid w:val="00CA4E32"/>
    <w:rsid w:val="00CA501E"/>
    <w:rsid w:val="00CA5176"/>
    <w:rsid w:val="00CA522E"/>
    <w:rsid w:val="00CA5393"/>
    <w:rsid w:val="00CA53C9"/>
    <w:rsid w:val="00CA548C"/>
    <w:rsid w:val="00CA5511"/>
    <w:rsid w:val="00CA55E3"/>
    <w:rsid w:val="00CA56DC"/>
    <w:rsid w:val="00CA57AA"/>
    <w:rsid w:val="00CA57EF"/>
    <w:rsid w:val="00CA5956"/>
    <w:rsid w:val="00CA5971"/>
    <w:rsid w:val="00CA597B"/>
    <w:rsid w:val="00CA598F"/>
    <w:rsid w:val="00CA59A4"/>
    <w:rsid w:val="00CA5AD6"/>
    <w:rsid w:val="00CA5C2E"/>
    <w:rsid w:val="00CA5C5C"/>
    <w:rsid w:val="00CA5D0C"/>
    <w:rsid w:val="00CA5DFA"/>
    <w:rsid w:val="00CA5E12"/>
    <w:rsid w:val="00CA5E9A"/>
    <w:rsid w:val="00CA5F8C"/>
    <w:rsid w:val="00CA5FF9"/>
    <w:rsid w:val="00CA61EA"/>
    <w:rsid w:val="00CA62F2"/>
    <w:rsid w:val="00CA635F"/>
    <w:rsid w:val="00CA6371"/>
    <w:rsid w:val="00CA6530"/>
    <w:rsid w:val="00CA6575"/>
    <w:rsid w:val="00CA661C"/>
    <w:rsid w:val="00CA6685"/>
    <w:rsid w:val="00CA66D5"/>
    <w:rsid w:val="00CA67F5"/>
    <w:rsid w:val="00CA6870"/>
    <w:rsid w:val="00CA68BA"/>
    <w:rsid w:val="00CA693D"/>
    <w:rsid w:val="00CA69CD"/>
    <w:rsid w:val="00CA6A83"/>
    <w:rsid w:val="00CA6A91"/>
    <w:rsid w:val="00CA6AD2"/>
    <w:rsid w:val="00CA6B70"/>
    <w:rsid w:val="00CA6D3F"/>
    <w:rsid w:val="00CA6FC3"/>
    <w:rsid w:val="00CA70B7"/>
    <w:rsid w:val="00CA72B3"/>
    <w:rsid w:val="00CA75D4"/>
    <w:rsid w:val="00CA767D"/>
    <w:rsid w:val="00CA76D6"/>
    <w:rsid w:val="00CA7729"/>
    <w:rsid w:val="00CA774E"/>
    <w:rsid w:val="00CA7889"/>
    <w:rsid w:val="00CA79D8"/>
    <w:rsid w:val="00CA7B41"/>
    <w:rsid w:val="00CA7B8F"/>
    <w:rsid w:val="00CA7C61"/>
    <w:rsid w:val="00CA7C9B"/>
    <w:rsid w:val="00CA7CA8"/>
    <w:rsid w:val="00CA7CB4"/>
    <w:rsid w:val="00CA7ED7"/>
    <w:rsid w:val="00CB0076"/>
    <w:rsid w:val="00CB00B1"/>
    <w:rsid w:val="00CB0118"/>
    <w:rsid w:val="00CB01B0"/>
    <w:rsid w:val="00CB02BF"/>
    <w:rsid w:val="00CB03EA"/>
    <w:rsid w:val="00CB0542"/>
    <w:rsid w:val="00CB07CF"/>
    <w:rsid w:val="00CB07D2"/>
    <w:rsid w:val="00CB07E6"/>
    <w:rsid w:val="00CB08EA"/>
    <w:rsid w:val="00CB0980"/>
    <w:rsid w:val="00CB0AB7"/>
    <w:rsid w:val="00CB0CB4"/>
    <w:rsid w:val="00CB0CD1"/>
    <w:rsid w:val="00CB0CD4"/>
    <w:rsid w:val="00CB0CEF"/>
    <w:rsid w:val="00CB0DB3"/>
    <w:rsid w:val="00CB0DF8"/>
    <w:rsid w:val="00CB0EEA"/>
    <w:rsid w:val="00CB0EF3"/>
    <w:rsid w:val="00CB1085"/>
    <w:rsid w:val="00CB10BC"/>
    <w:rsid w:val="00CB1121"/>
    <w:rsid w:val="00CB11B8"/>
    <w:rsid w:val="00CB11BA"/>
    <w:rsid w:val="00CB1452"/>
    <w:rsid w:val="00CB14A7"/>
    <w:rsid w:val="00CB15DC"/>
    <w:rsid w:val="00CB1633"/>
    <w:rsid w:val="00CB165A"/>
    <w:rsid w:val="00CB18AC"/>
    <w:rsid w:val="00CB18F5"/>
    <w:rsid w:val="00CB1934"/>
    <w:rsid w:val="00CB1985"/>
    <w:rsid w:val="00CB1CC3"/>
    <w:rsid w:val="00CB1DA1"/>
    <w:rsid w:val="00CB1DA2"/>
    <w:rsid w:val="00CB1E06"/>
    <w:rsid w:val="00CB1E71"/>
    <w:rsid w:val="00CB1E96"/>
    <w:rsid w:val="00CB2038"/>
    <w:rsid w:val="00CB20EE"/>
    <w:rsid w:val="00CB2166"/>
    <w:rsid w:val="00CB21A8"/>
    <w:rsid w:val="00CB2263"/>
    <w:rsid w:val="00CB2280"/>
    <w:rsid w:val="00CB2369"/>
    <w:rsid w:val="00CB2380"/>
    <w:rsid w:val="00CB238D"/>
    <w:rsid w:val="00CB239F"/>
    <w:rsid w:val="00CB2407"/>
    <w:rsid w:val="00CB25D0"/>
    <w:rsid w:val="00CB2608"/>
    <w:rsid w:val="00CB28A0"/>
    <w:rsid w:val="00CB28E2"/>
    <w:rsid w:val="00CB298E"/>
    <w:rsid w:val="00CB2AD2"/>
    <w:rsid w:val="00CB2C2B"/>
    <w:rsid w:val="00CB2C9F"/>
    <w:rsid w:val="00CB2D21"/>
    <w:rsid w:val="00CB2E10"/>
    <w:rsid w:val="00CB2E85"/>
    <w:rsid w:val="00CB2E9A"/>
    <w:rsid w:val="00CB2EB1"/>
    <w:rsid w:val="00CB2EDE"/>
    <w:rsid w:val="00CB2F80"/>
    <w:rsid w:val="00CB3138"/>
    <w:rsid w:val="00CB32B0"/>
    <w:rsid w:val="00CB3349"/>
    <w:rsid w:val="00CB33D5"/>
    <w:rsid w:val="00CB3497"/>
    <w:rsid w:val="00CB350F"/>
    <w:rsid w:val="00CB352B"/>
    <w:rsid w:val="00CB366D"/>
    <w:rsid w:val="00CB379C"/>
    <w:rsid w:val="00CB3877"/>
    <w:rsid w:val="00CB38CA"/>
    <w:rsid w:val="00CB3910"/>
    <w:rsid w:val="00CB3AB8"/>
    <w:rsid w:val="00CB3C74"/>
    <w:rsid w:val="00CB3CAC"/>
    <w:rsid w:val="00CB3D24"/>
    <w:rsid w:val="00CB3E2E"/>
    <w:rsid w:val="00CB3E88"/>
    <w:rsid w:val="00CB3F45"/>
    <w:rsid w:val="00CB3F5D"/>
    <w:rsid w:val="00CB3FA9"/>
    <w:rsid w:val="00CB3FC8"/>
    <w:rsid w:val="00CB41AB"/>
    <w:rsid w:val="00CB41EB"/>
    <w:rsid w:val="00CB426D"/>
    <w:rsid w:val="00CB44C9"/>
    <w:rsid w:val="00CB44D1"/>
    <w:rsid w:val="00CB4517"/>
    <w:rsid w:val="00CB461D"/>
    <w:rsid w:val="00CB4635"/>
    <w:rsid w:val="00CB4637"/>
    <w:rsid w:val="00CB479F"/>
    <w:rsid w:val="00CB481B"/>
    <w:rsid w:val="00CB486C"/>
    <w:rsid w:val="00CB4968"/>
    <w:rsid w:val="00CB4B1C"/>
    <w:rsid w:val="00CB4BB2"/>
    <w:rsid w:val="00CB4BE1"/>
    <w:rsid w:val="00CB4C29"/>
    <w:rsid w:val="00CB4DD0"/>
    <w:rsid w:val="00CB4E31"/>
    <w:rsid w:val="00CB4F0B"/>
    <w:rsid w:val="00CB4F44"/>
    <w:rsid w:val="00CB503B"/>
    <w:rsid w:val="00CB5103"/>
    <w:rsid w:val="00CB532F"/>
    <w:rsid w:val="00CB5428"/>
    <w:rsid w:val="00CB543F"/>
    <w:rsid w:val="00CB56E7"/>
    <w:rsid w:val="00CB5725"/>
    <w:rsid w:val="00CB57BD"/>
    <w:rsid w:val="00CB58ED"/>
    <w:rsid w:val="00CB5909"/>
    <w:rsid w:val="00CB59E9"/>
    <w:rsid w:val="00CB5B0E"/>
    <w:rsid w:val="00CB5FE5"/>
    <w:rsid w:val="00CB61BE"/>
    <w:rsid w:val="00CB6340"/>
    <w:rsid w:val="00CB637C"/>
    <w:rsid w:val="00CB647A"/>
    <w:rsid w:val="00CB6480"/>
    <w:rsid w:val="00CB6678"/>
    <w:rsid w:val="00CB66FD"/>
    <w:rsid w:val="00CB67AA"/>
    <w:rsid w:val="00CB67C0"/>
    <w:rsid w:val="00CB6812"/>
    <w:rsid w:val="00CB6879"/>
    <w:rsid w:val="00CB6B9E"/>
    <w:rsid w:val="00CB6C63"/>
    <w:rsid w:val="00CB6C9F"/>
    <w:rsid w:val="00CB6CFB"/>
    <w:rsid w:val="00CB6D79"/>
    <w:rsid w:val="00CB7099"/>
    <w:rsid w:val="00CB70E8"/>
    <w:rsid w:val="00CB7101"/>
    <w:rsid w:val="00CB7107"/>
    <w:rsid w:val="00CB722F"/>
    <w:rsid w:val="00CB7346"/>
    <w:rsid w:val="00CB747D"/>
    <w:rsid w:val="00CB7615"/>
    <w:rsid w:val="00CB7619"/>
    <w:rsid w:val="00CB769D"/>
    <w:rsid w:val="00CB779F"/>
    <w:rsid w:val="00CB77A7"/>
    <w:rsid w:val="00CB7814"/>
    <w:rsid w:val="00CB79AE"/>
    <w:rsid w:val="00CB79C2"/>
    <w:rsid w:val="00CB7A0A"/>
    <w:rsid w:val="00CB7AA4"/>
    <w:rsid w:val="00CB7B38"/>
    <w:rsid w:val="00CB7B42"/>
    <w:rsid w:val="00CB7CE3"/>
    <w:rsid w:val="00CB7D06"/>
    <w:rsid w:val="00CB7D4F"/>
    <w:rsid w:val="00CB7E10"/>
    <w:rsid w:val="00CB7ED1"/>
    <w:rsid w:val="00CC0102"/>
    <w:rsid w:val="00CC0121"/>
    <w:rsid w:val="00CC0372"/>
    <w:rsid w:val="00CC03B7"/>
    <w:rsid w:val="00CC03EF"/>
    <w:rsid w:val="00CC047C"/>
    <w:rsid w:val="00CC05D6"/>
    <w:rsid w:val="00CC05F4"/>
    <w:rsid w:val="00CC0717"/>
    <w:rsid w:val="00CC0883"/>
    <w:rsid w:val="00CC0897"/>
    <w:rsid w:val="00CC0A6E"/>
    <w:rsid w:val="00CC0B4D"/>
    <w:rsid w:val="00CC0BCD"/>
    <w:rsid w:val="00CC0C71"/>
    <w:rsid w:val="00CC0D10"/>
    <w:rsid w:val="00CC0E10"/>
    <w:rsid w:val="00CC0ED0"/>
    <w:rsid w:val="00CC0ED4"/>
    <w:rsid w:val="00CC0EE1"/>
    <w:rsid w:val="00CC1030"/>
    <w:rsid w:val="00CC107C"/>
    <w:rsid w:val="00CC1081"/>
    <w:rsid w:val="00CC10F9"/>
    <w:rsid w:val="00CC1131"/>
    <w:rsid w:val="00CC133A"/>
    <w:rsid w:val="00CC137D"/>
    <w:rsid w:val="00CC144C"/>
    <w:rsid w:val="00CC14B5"/>
    <w:rsid w:val="00CC14C5"/>
    <w:rsid w:val="00CC14F2"/>
    <w:rsid w:val="00CC150D"/>
    <w:rsid w:val="00CC1526"/>
    <w:rsid w:val="00CC1641"/>
    <w:rsid w:val="00CC1771"/>
    <w:rsid w:val="00CC182A"/>
    <w:rsid w:val="00CC1A22"/>
    <w:rsid w:val="00CC1B25"/>
    <w:rsid w:val="00CC1B2C"/>
    <w:rsid w:val="00CC1B8B"/>
    <w:rsid w:val="00CC1BE5"/>
    <w:rsid w:val="00CC1C3F"/>
    <w:rsid w:val="00CC1E8B"/>
    <w:rsid w:val="00CC1F6C"/>
    <w:rsid w:val="00CC200B"/>
    <w:rsid w:val="00CC206D"/>
    <w:rsid w:val="00CC2094"/>
    <w:rsid w:val="00CC22B9"/>
    <w:rsid w:val="00CC237C"/>
    <w:rsid w:val="00CC2441"/>
    <w:rsid w:val="00CC247B"/>
    <w:rsid w:val="00CC24B0"/>
    <w:rsid w:val="00CC250C"/>
    <w:rsid w:val="00CC257B"/>
    <w:rsid w:val="00CC2603"/>
    <w:rsid w:val="00CC2755"/>
    <w:rsid w:val="00CC2832"/>
    <w:rsid w:val="00CC2912"/>
    <w:rsid w:val="00CC2C26"/>
    <w:rsid w:val="00CC2D0A"/>
    <w:rsid w:val="00CC2F9D"/>
    <w:rsid w:val="00CC2FE8"/>
    <w:rsid w:val="00CC306C"/>
    <w:rsid w:val="00CC3110"/>
    <w:rsid w:val="00CC31EE"/>
    <w:rsid w:val="00CC31F7"/>
    <w:rsid w:val="00CC3225"/>
    <w:rsid w:val="00CC32EF"/>
    <w:rsid w:val="00CC3370"/>
    <w:rsid w:val="00CC33D9"/>
    <w:rsid w:val="00CC3703"/>
    <w:rsid w:val="00CC3717"/>
    <w:rsid w:val="00CC37B8"/>
    <w:rsid w:val="00CC383D"/>
    <w:rsid w:val="00CC3862"/>
    <w:rsid w:val="00CC386E"/>
    <w:rsid w:val="00CC389A"/>
    <w:rsid w:val="00CC3A97"/>
    <w:rsid w:val="00CC3A9C"/>
    <w:rsid w:val="00CC3BB3"/>
    <w:rsid w:val="00CC3C82"/>
    <w:rsid w:val="00CC3D12"/>
    <w:rsid w:val="00CC3E71"/>
    <w:rsid w:val="00CC3EAC"/>
    <w:rsid w:val="00CC3FB7"/>
    <w:rsid w:val="00CC4095"/>
    <w:rsid w:val="00CC4171"/>
    <w:rsid w:val="00CC41D8"/>
    <w:rsid w:val="00CC420C"/>
    <w:rsid w:val="00CC4282"/>
    <w:rsid w:val="00CC4320"/>
    <w:rsid w:val="00CC4341"/>
    <w:rsid w:val="00CC4669"/>
    <w:rsid w:val="00CC4686"/>
    <w:rsid w:val="00CC471A"/>
    <w:rsid w:val="00CC473E"/>
    <w:rsid w:val="00CC4790"/>
    <w:rsid w:val="00CC47FA"/>
    <w:rsid w:val="00CC4823"/>
    <w:rsid w:val="00CC485F"/>
    <w:rsid w:val="00CC4931"/>
    <w:rsid w:val="00CC4AB4"/>
    <w:rsid w:val="00CC4B2A"/>
    <w:rsid w:val="00CC4CF0"/>
    <w:rsid w:val="00CC4DA0"/>
    <w:rsid w:val="00CC526C"/>
    <w:rsid w:val="00CC5365"/>
    <w:rsid w:val="00CC5484"/>
    <w:rsid w:val="00CC55A6"/>
    <w:rsid w:val="00CC5619"/>
    <w:rsid w:val="00CC5835"/>
    <w:rsid w:val="00CC58A9"/>
    <w:rsid w:val="00CC5973"/>
    <w:rsid w:val="00CC59BB"/>
    <w:rsid w:val="00CC5A92"/>
    <w:rsid w:val="00CC5B83"/>
    <w:rsid w:val="00CC5CC1"/>
    <w:rsid w:val="00CC5E78"/>
    <w:rsid w:val="00CC5F32"/>
    <w:rsid w:val="00CC6103"/>
    <w:rsid w:val="00CC6286"/>
    <w:rsid w:val="00CC6419"/>
    <w:rsid w:val="00CC64AA"/>
    <w:rsid w:val="00CC656A"/>
    <w:rsid w:val="00CC6587"/>
    <w:rsid w:val="00CC65B4"/>
    <w:rsid w:val="00CC660A"/>
    <w:rsid w:val="00CC684D"/>
    <w:rsid w:val="00CC6897"/>
    <w:rsid w:val="00CC6920"/>
    <w:rsid w:val="00CC6933"/>
    <w:rsid w:val="00CC6A5C"/>
    <w:rsid w:val="00CC6B60"/>
    <w:rsid w:val="00CC6D5A"/>
    <w:rsid w:val="00CC6F8F"/>
    <w:rsid w:val="00CC709E"/>
    <w:rsid w:val="00CC7109"/>
    <w:rsid w:val="00CC7234"/>
    <w:rsid w:val="00CC7288"/>
    <w:rsid w:val="00CC735C"/>
    <w:rsid w:val="00CC73A3"/>
    <w:rsid w:val="00CC740D"/>
    <w:rsid w:val="00CC74E5"/>
    <w:rsid w:val="00CC7783"/>
    <w:rsid w:val="00CC78D1"/>
    <w:rsid w:val="00CC7A7E"/>
    <w:rsid w:val="00CC7E30"/>
    <w:rsid w:val="00CD00A5"/>
    <w:rsid w:val="00CD01BA"/>
    <w:rsid w:val="00CD028C"/>
    <w:rsid w:val="00CD03B0"/>
    <w:rsid w:val="00CD0405"/>
    <w:rsid w:val="00CD0420"/>
    <w:rsid w:val="00CD047C"/>
    <w:rsid w:val="00CD0537"/>
    <w:rsid w:val="00CD05A8"/>
    <w:rsid w:val="00CD05FD"/>
    <w:rsid w:val="00CD06E6"/>
    <w:rsid w:val="00CD08BA"/>
    <w:rsid w:val="00CD08E0"/>
    <w:rsid w:val="00CD095B"/>
    <w:rsid w:val="00CD09BB"/>
    <w:rsid w:val="00CD0A8A"/>
    <w:rsid w:val="00CD0AD3"/>
    <w:rsid w:val="00CD0BF3"/>
    <w:rsid w:val="00CD0C8F"/>
    <w:rsid w:val="00CD0CF5"/>
    <w:rsid w:val="00CD0E35"/>
    <w:rsid w:val="00CD0F36"/>
    <w:rsid w:val="00CD1108"/>
    <w:rsid w:val="00CD1123"/>
    <w:rsid w:val="00CD1337"/>
    <w:rsid w:val="00CD146C"/>
    <w:rsid w:val="00CD14A6"/>
    <w:rsid w:val="00CD15C5"/>
    <w:rsid w:val="00CD163F"/>
    <w:rsid w:val="00CD17EF"/>
    <w:rsid w:val="00CD17F5"/>
    <w:rsid w:val="00CD1951"/>
    <w:rsid w:val="00CD19EA"/>
    <w:rsid w:val="00CD1AB5"/>
    <w:rsid w:val="00CD1B81"/>
    <w:rsid w:val="00CD1F84"/>
    <w:rsid w:val="00CD1F86"/>
    <w:rsid w:val="00CD1F89"/>
    <w:rsid w:val="00CD2035"/>
    <w:rsid w:val="00CD2084"/>
    <w:rsid w:val="00CD208C"/>
    <w:rsid w:val="00CD214F"/>
    <w:rsid w:val="00CD256C"/>
    <w:rsid w:val="00CD26CD"/>
    <w:rsid w:val="00CD28C2"/>
    <w:rsid w:val="00CD2A10"/>
    <w:rsid w:val="00CD2A7F"/>
    <w:rsid w:val="00CD2ADE"/>
    <w:rsid w:val="00CD2B2B"/>
    <w:rsid w:val="00CD2C45"/>
    <w:rsid w:val="00CD2E7C"/>
    <w:rsid w:val="00CD3115"/>
    <w:rsid w:val="00CD32FF"/>
    <w:rsid w:val="00CD33F0"/>
    <w:rsid w:val="00CD3489"/>
    <w:rsid w:val="00CD34B6"/>
    <w:rsid w:val="00CD36CC"/>
    <w:rsid w:val="00CD3774"/>
    <w:rsid w:val="00CD37FE"/>
    <w:rsid w:val="00CD3AD9"/>
    <w:rsid w:val="00CD3CA1"/>
    <w:rsid w:val="00CD3E0B"/>
    <w:rsid w:val="00CD3ED5"/>
    <w:rsid w:val="00CD4055"/>
    <w:rsid w:val="00CD4097"/>
    <w:rsid w:val="00CD421F"/>
    <w:rsid w:val="00CD42B0"/>
    <w:rsid w:val="00CD42F4"/>
    <w:rsid w:val="00CD43AE"/>
    <w:rsid w:val="00CD444E"/>
    <w:rsid w:val="00CD458C"/>
    <w:rsid w:val="00CD45F4"/>
    <w:rsid w:val="00CD492E"/>
    <w:rsid w:val="00CD494F"/>
    <w:rsid w:val="00CD4BC1"/>
    <w:rsid w:val="00CD4D0E"/>
    <w:rsid w:val="00CD4D45"/>
    <w:rsid w:val="00CD4E4D"/>
    <w:rsid w:val="00CD5000"/>
    <w:rsid w:val="00CD52DE"/>
    <w:rsid w:val="00CD52F6"/>
    <w:rsid w:val="00CD5374"/>
    <w:rsid w:val="00CD544E"/>
    <w:rsid w:val="00CD54A5"/>
    <w:rsid w:val="00CD54F2"/>
    <w:rsid w:val="00CD5536"/>
    <w:rsid w:val="00CD55A3"/>
    <w:rsid w:val="00CD5642"/>
    <w:rsid w:val="00CD5690"/>
    <w:rsid w:val="00CD570B"/>
    <w:rsid w:val="00CD57F2"/>
    <w:rsid w:val="00CD5B7E"/>
    <w:rsid w:val="00CD5ED7"/>
    <w:rsid w:val="00CD6007"/>
    <w:rsid w:val="00CD6067"/>
    <w:rsid w:val="00CD6189"/>
    <w:rsid w:val="00CD620A"/>
    <w:rsid w:val="00CD632B"/>
    <w:rsid w:val="00CD632F"/>
    <w:rsid w:val="00CD6389"/>
    <w:rsid w:val="00CD63DC"/>
    <w:rsid w:val="00CD6426"/>
    <w:rsid w:val="00CD6587"/>
    <w:rsid w:val="00CD66BD"/>
    <w:rsid w:val="00CD6857"/>
    <w:rsid w:val="00CD68D2"/>
    <w:rsid w:val="00CD68F5"/>
    <w:rsid w:val="00CD6903"/>
    <w:rsid w:val="00CD6983"/>
    <w:rsid w:val="00CD69BB"/>
    <w:rsid w:val="00CD6A13"/>
    <w:rsid w:val="00CD6B0B"/>
    <w:rsid w:val="00CD6B60"/>
    <w:rsid w:val="00CD6BA1"/>
    <w:rsid w:val="00CD6C93"/>
    <w:rsid w:val="00CD6D71"/>
    <w:rsid w:val="00CD6EE0"/>
    <w:rsid w:val="00CD728D"/>
    <w:rsid w:val="00CD729B"/>
    <w:rsid w:val="00CD734F"/>
    <w:rsid w:val="00CD737A"/>
    <w:rsid w:val="00CD73B7"/>
    <w:rsid w:val="00CD745F"/>
    <w:rsid w:val="00CD7464"/>
    <w:rsid w:val="00CD747F"/>
    <w:rsid w:val="00CD756D"/>
    <w:rsid w:val="00CD7582"/>
    <w:rsid w:val="00CD75DF"/>
    <w:rsid w:val="00CD75E0"/>
    <w:rsid w:val="00CD7621"/>
    <w:rsid w:val="00CD76C4"/>
    <w:rsid w:val="00CD7758"/>
    <w:rsid w:val="00CD7824"/>
    <w:rsid w:val="00CD7863"/>
    <w:rsid w:val="00CD79CE"/>
    <w:rsid w:val="00CD7A39"/>
    <w:rsid w:val="00CD7AE2"/>
    <w:rsid w:val="00CD7B03"/>
    <w:rsid w:val="00CD7B09"/>
    <w:rsid w:val="00CD7B66"/>
    <w:rsid w:val="00CD7D4E"/>
    <w:rsid w:val="00CD7DD9"/>
    <w:rsid w:val="00CD7EF6"/>
    <w:rsid w:val="00CE018E"/>
    <w:rsid w:val="00CE03EC"/>
    <w:rsid w:val="00CE057A"/>
    <w:rsid w:val="00CE0664"/>
    <w:rsid w:val="00CE0956"/>
    <w:rsid w:val="00CE09FF"/>
    <w:rsid w:val="00CE0DAF"/>
    <w:rsid w:val="00CE0DF0"/>
    <w:rsid w:val="00CE0F6D"/>
    <w:rsid w:val="00CE0F6F"/>
    <w:rsid w:val="00CE0FBA"/>
    <w:rsid w:val="00CE1084"/>
    <w:rsid w:val="00CE116E"/>
    <w:rsid w:val="00CE1382"/>
    <w:rsid w:val="00CE138D"/>
    <w:rsid w:val="00CE1417"/>
    <w:rsid w:val="00CE1485"/>
    <w:rsid w:val="00CE15A2"/>
    <w:rsid w:val="00CE1693"/>
    <w:rsid w:val="00CE17AC"/>
    <w:rsid w:val="00CE17B2"/>
    <w:rsid w:val="00CE17F1"/>
    <w:rsid w:val="00CE17F7"/>
    <w:rsid w:val="00CE1924"/>
    <w:rsid w:val="00CE1A0E"/>
    <w:rsid w:val="00CE1B65"/>
    <w:rsid w:val="00CE1B83"/>
    <w:rsid w:val="00CE1BBC"/>
    <w:rsid w:val="00CE1BDC"/>
    <w:rsid w:val="00CE2070"/>
    <w:rsid w:val="00CE20B1"/>
    <w:rsid w:val="00CE222F"/>
    <w:rsid w:val="00CE2251"/>
    <w:rsid w:val="00CE2346"/>
    <w:rsid w:val="00CE23FA"/>
    <w:rsid w:val="00CE2431"/>
    <w:rsid w:val="00CE2538"/>
    <w:rsid w:val="00CE254D"/>
    <w:rsid w:val="00CE264A"/>
    <w:rsid w:val="00CE2684"/>
    <w:rsid w:val="00CE2716"/>
    <w:rsid w:val="00CE2983"/>
    <w:rsid w:val="00CE2A11"/>
    <w:rsid w:val="00CE2AA0"/>
    <w:rsid w:val="00CE2C34"/>
    <w:rsid w:val="00CE2C3F"/>
    <w:rsid w:val="00CE2C48"/>
    <w:rsid w:val="00CE2CC4"/>
    <w:rsid w:val="00CE2CE3"/>
    <w:rsid w:val="00CE2CFA"/>
    <w:rsid w:val="00CE2DF0"/>
    <w:rsid w:val="00CE2EFC"/>
    <w:rsid w:val="00CE2F1E"/>
    <w:rsid w:val="00CE2F3D"/>
    <w:rsid w:val="00CE3008"/>
    <w:rsid w:val="00CE30BE"/>
    <w:rsid w:val="00CE314C"/>
    <w:rsid w:val="00CE31CD"/>
    <w:rsid w:val="00CE3218"/>
    <w:rsid w:val="00CE329A"/>
    <w:rsid w:val="00CE3350"/>
    <w:rsid w:val="00CE335D"/>
    <w:rsid w:val="00CE3437"/>
    <w:rsid w:val="00CE3527"/>
    <w:rsid w:val="00CE3541"/>
    <w:rsid w:val="00CE36D6"/>
    <w:rsid w:val="00CE36F8"/>
    <w:rsid w:val="00CE3918"/>
    <w:rsid w:val="00CE39CC"/>
    <w:rsid w:val="00CE3B0E"/>
    <w:rsid w:val="00CE3BD8"/>
    <w:rsid w:val="00CE3CE6"/>
    <w:rsid w:val="00CE3D40"/>
    <w:rsid w:val="00CE3E43"/>
    <w:rsid w:val="00CE3F7C"/>
    <w:rsid w:val="00CE4181"/>
    <w:rsid w:val="00CE4206"/>
    <w:rsid w:val="00CE427A"/>
    <w:rsid w:val="00CE4288"/>
    <w:rsid w:val="00CE4729"/>
    <w:rsid w:val="00CE47CD"/>
    <w:rsid w:val="00CE4835"/>
    <w:rsid w:val="00CE49A3"/>
    <w:rsid w:val="00CE49B2"/>
    <w:rsid w:val="00CE4AE5"/>
    <w:rsid w:val="00CE4BEA"/>
    <w:rsid w:val="00CE4CF1"/>
    <w:rsid w:val="00CE4DC4"/>
    <w:rsid w:val="00CE4EBA"/>
    <w:rsid w:val="00CE4F71"/>
    <w:rsid w:val="00CE5036"/>
    <w:rsid w:val="00CE50C5"/>
    <w:rsid w:val="00CE5116"/>
    <w:rsid w:val="00CE546A"/>
    <w:rsid w:val="00CE54DC"/>
    <w:rsid w:val="00CE561A"/>
    <w:rsid w:val="00CE56F4"/>
    <w:rsid w:val="00CE575D"/>
    <w:rsid w:val="00CE581D"/>
    <w:rsid w:val="00CE59A5"/>
    <w:rsid w:val="00CE5A41"/>
    <w:rsid w:val="00CE5B62"/>
    <w:rsid w:val="00CE5F74"/>
    <w:rsid w:val="00CE5FE9"/>
    <w:rsid w:val="00CE6100"/>
    <w:rsid w:val="00CE6195"/>
    <w:rsid w:val="00CE62AB"/>
    <w:rsid w:val="00CE62B0"/>
    <w:rsid w:val="00CE6506"/>
    <w:rsid w:val="00CE66EE"/>
    <w:rsid w:val="00CE68E5"/>
    <w:rsid w:val="00CE6912"/>
    <w:rsid w:val="00CE6969"/>
    <w:rsid w:val="00CE6979"/>
    <w:rsid w:val="00CE6AAE"/>
    <w:rsid w:val="00CE6C32"/>
    <w:rsid w:val="00CE6E00"/>
    <w:rsid w:val="00CE6E63"/>
    <w:rsid w:val="00CE6F7B"/>
    <w:rsid w:val="00CE6F96"/>
    <w:rsid w:val="00CE6FE5"/>
    <w:rsid w:val="00CE7019"/>
    <w:rsid w:val="00CE704F"/>
    <w:rsid w:val="00CE72F2"/>
    <w:rsid w:val="00CE73A5"/>
    <w:rsid w:val="00CE7586"/>
    <w:rsid w:val="00CE772D"/>
    <w:rsid w:val="00CE773E"/>
    <w:rsid w:val="00CE7A46"/>
    <w:rsid w:val="00CE7A95"/>
    <w:rsid w:val="00CE7B91"/>
    <w:rsid w:val="00CE7BE6"/>
    <w:rsid w:val="00CE7CE3"/>
    <w:rsid w:val="00CE7DC0"/>
    <w:rsid w:val="00CE7F05"/>
    <w:rsid w:val="00CF0013"/>
    <w:rsid w:val="00CF0263"/>
    <w:rsid w:val="00CF02AD"/>
    <w:rsid w:val="00CF02E3"/>
    <w:rsid w:val="00CF031C"/>
    <w:rsid w:val="00CF03B9"/>
    <w:rsid w:val="00CF04AF"/>
    <w:rsid w:val="00CF0521"/>
    <w:rsid w:val="00CF063A"/>
    <w:rsid w:val="00CF069C"/>
    <w:rsid w:val="00CF06E8"/>
    <w:rsid w:val="00CF0736"/>
    <w:rsid w:val="00CF0801"/>
    <w:rsid w:val="00CF08BB"/>
    <w:rsid w:val="00CF0BAD"/>
    <w:rsid w:val="00CF0D64"/>
    <w:rsid w:val="00CF0E5D"/>
    <w:rsid w:val="00CF0FFC"/>
    <w:rsid w:val="00CF109A"/>
    <w:rsid w:val="00CF112A"/>
    <w:rsid w:val="00CF118B"/>
    <w:rsid w:val="00CF1257"/>
    <w:rsid w:val="00CF128F"/>
    <w:rsid w:val="00CF1339"/>
    <w:rsid w:val="00CF139B"/>
    <w:rsid w:val="00CF1408"/>
    <w:rsid w:val="00CF14F2"/>
    <w:rsid w:val="00CF1557"/>
    <w:rsid w:val="00CF156F"/>
    <w:rsid w:val="00CF1580"/>
    <w:rsid w:val="00CF15A1"/>
    <w:rsid w:val="00CF15F7"/>
    <w:rsid w:val="00CF1658"/>
    <w:rsid w:val="00CF1694"/>
    <w:rsid w:val="00CF17B5"/>
    <w:rsid w:val="00CF1874"/>
    <w:rsid w:val="00CF18E7"/>
    <w:rsid w:val="00CF1927"/>
    <w:rsid w:val="00CF1C00"/>
    <w:rsid w:val="00CF1C2D"/>
    <w:rsid w:val="00CF1E03"/>
    <w:rsid w:val="00CF1E0D"/>
    <w:rsid w:val="00CF1EC4"/>
    <w:rsid w:val="00CF1F26"/>
    <w:rsid w:val="00CF1F5A"/>
    <w:rsid w:val="00CF1FD9"/>
    <w:rsid w:val="00CF227F"/>
    <w:rsid w:val="00CF22D3"/>
    <w:rsid w:val="00CF22EF"/>
    <w:rsid w:val="00CF22F8"/>
    <w:rsid w:val="00CF2303"/>
    <w:rsid w:val="00CF2425"/>
    <w:rsid w:val="00CF25AE"/>
    <w:rsid w:val="00CF25B0"/>
    <w:rsid w:val="00CF25DF"/>
    <w:rsid w:val="00CF27CC"/>
    <w:rsid w:val="00CF28D3"/>
    <w:rsid w:val="00CF29A7"/>
    <w:rsid w:val="00CF2B74"/>
    <w:rsid w:val="00CF2C29"/>
    <w:rsid w:val="00CF3013"/>
    <w:rsid w:val="00CF3027"/>
    <w:rsid w:val="00CF30F8"/>
    <w:rsid w:val="00CF3145"/>
    <w:rsid w:val="00CF3240"/>
    <w:rsid w:val="00CF32C6"/>
    <w:rsid w:val="00CF3304"/>
    <w:rsid w:val="00CF353F"/>
    <w:rsid w:val="00CF3566"/>
    <w:rsid w:val="00CF35E6"/>
    <w:rsid w:val="00CF3605"/>
    <w:rsid w:val="00CF3668"/>
    <w:rsid w:val="00CF3780"/>
    <w:rsid w:val="00CF37FC"/>
    <w:rsid w:val="00CF3808"/>
    <w:rsid w:val="00CF3882"/>
    <w:rsid w:val="00CF3945"/>
    <w:rsid w:val="00CF3AA8"/>
    <w:rsid w:val="00CF3C5E"/>
    <w:rsid w:val="00CF3CFD"/>
    <w:rsid w:val="00CF3D25"/>
    <w:rsid w:val="00CF3D4D"/>
    <w:rsid w:val="00CF3DC3"/>
    <w:rsid w:val="00CF3EBD"/>
    <w:rsid w:val="00CF40BE"/>
    <w:rsid w:val="00CF424D"/>
    <w:rsid w:val="00CF42B8"/>
    <w:rsid w:val="00CF434D"/>
    <w:rsid w:val="00CF4521"/>
    <w:rsid w:val="00CF482F"/>
    <w:rsid w:val="00CF4A4E"/>
    <w:rsid w:val="00CF4D0B"/>
    <w:rsid w:val="00CF4D5C"/>
    <w:rsid w:val="00CF4EB8"/>
    <w:rsid w:val="00CF4EF6"/>
    <w:rsid w:val="00CF4FE6"/>
    <w:rsid w:val="00CF5295"/>
    <w:rsid w:val="00CF52E2"/>
    <w:rsid w:val="00CF5685"/>
    <w:rsid w:val="00CF571B"/>
    <w:rsid w:val="00CF5742"/>
    <w:rsid w:val="00CF5798"/>
    <w:rsid w:val="00CF57AB"/>
    <w:rsid w:val="00CF587B"/>
    <w:rsid w:val="00CF58F3"/>
    <w:rsid w:val="00CF5A9A"/>
    <w:rsid w:val="00CF5AB4"/>
    <w:rsid w:val="00CF5AF9"/>
    <w:rsid w:val="00CF5C21"/>
    <w:rsid w:val="00CF5DFA"/>
    <w:rsid w:val="00CF5EE2"/>
    <w:rsid w:val="00CF5F6B"/>
    <w:rsid w:val="00CF5FC6"/>
    <w:rsid w:val="00CF6088"/>
    <w:rsid w:val="00CF6371"/>
    <w:rsid w:val="00CF63DA"/>
    <w:rsid w:val="00CF646E"/>
    <w:rsid w:val="00CF6516"/>
    <w:rsid w:val="00CF6583"/>
    <w:rsid w:val="00CF6707"/>
    <w:rsid w:val="00CF671E"/>
    <w:rsid w:val="00CF6728"/>
    <w:rsid w:val="00CF6755"/>
    <w:rsid w:val="00CF675B"/>
    <w:rsid w:val="00CF6767"/>
    <w:rsid w:val="00CF6A1E"/>
    <w:rsid w:val="00CF6A52"/>
    <w:rsid w:val="00CF6ACF"/>
    <w:rsid w:val="00CF6B78"/>
    <w:rsid w:val="00CF6BA5"/>
    <w:rsid w:val="00CF6CE9"/>
    <w:rsid w:val="00CF6D4C"/>
    <w:rsid w:val="00CF6D84"/>
    <w:rsid w:val="00CF6EE0"/>
    <w:rsid w:val="00CF6EFC"/>
    <w:rsid w:val="00CF6F7D"/>
    <w:rsid w:val="00CF73A7"/>
    <w:rsid w:val="00CF763E"/>
    <w:rsid w:val="00CF7644"/>
    <w:rsid w:val="00CF7832"/>
    <w:rsid w:val="00CF783F"/>
    <w:rsid w:val="00CF7938"/>
    <w:rsid w:val="00CF79E6"/>
    <w:rsid w:val="00CF7B46"/>
    <w:rsid w:val="00CF7B81"/>
    <w:rsid w:val="00CF7BAA"/>
    <w:rsid w:val="00CF7C68"/>
    <w:rsid w:val="00CF7D70"/>
    <w:rsid w:val="00CF7D83"/>
    <w:rsid w:val="00CF7E58"/>
    <w:rsid w:val="00CF7E9D"/>
    <w:rsid w:val="00CF7F34"/>
    <w:rsid w:val="00CF7F61"/>
    <w:rsid w:val="00D000B4"/>
    <w:rsid w:val="00D00248"/>
    <w:rsid w:val="00D0029B"/>
    <w:rsid w:val="00D00336"/>
    <w:rsid w:val="00D0037D"/>
    <w:rsid w:val="00D003E5"/>
    <w:rsid w:val="00D005E3"/>
    <w:rsid w:val="00D005F9"/>
    <w:rsid w:val="00D00625"/>
    <w:rsid w:val="00D006C7"/>
    <w:rsid w:val="00D00838"/>
    <w:rsid w:val="00D00986"/>
    <w:rsid w:val="00D009A0"/>
    <w:rsid w:val="00D00B2D"/>
    <w:rsid w:val="00D00B6C"/>
    <w:rsid w:val="00D00C23"/>
    <w:rsid w:val="00D00DE5"/>
    <w:rsid w:val="00D00E3B"/>
    <w:rsid w:val="00D00F9C"/>
    <w:rsid w:val="00D0108C"/>
    <w:rsid w:val="00D01178"/>
    <w:rsid w:val="00D01221"/>
    <w:rsid w:val="00D013A7"/>
    <w:rsid w:val="00D013BA"/>
    <w:rsid w:val="00D013C5"/>
    <w:rsid w:val="00D01472"/>
    <w:rsid w:val="00D01478"/>
    <w:rsid w:val="00D01488"/>
    <w:rsid w:val="00D015A9"/>
    <w:rsid w:val="00D015CD"/>
    <w:rsid w:val="00D01604"/>
    <w:rsid w:val="00D0175C"/>
    <w:rsid w:val="00D01790"/>
    <w:rsid w:val="00D01B5B"/>
    <w:rsid w:val="00D01CE8"/>
    <w:rsid w:val="00D01D91"/>
    <w:rsid w:val="00D01EA9"/>
    <w:rsid w:val="00D021CB"/>
    <w:rsid w:val="00D022C3"/>
    <w:rsid w:val="00D022CF"/>
    <w:rsid w:val="00D0239F"/>
    <w:rsid w:val="00D02441"/>
    <w:rsid w:val="00D02445"/>
    <w:rsid w:val="00D02558"/>
    <w:rsid w:val="00D02583"/>
    <w:rsid w:val="00D02598"/>
    <w:rsid w:val="00D026F5"/>
    <w:rsid w:val="00D028C7"/>
    <w:rsid w:val="00D029D6"/>
    <w:rsid w:val="00D02A6C"/>
    <w:rsid w:val="00D02D23"/>
    <w:rsid w:val="00D0300E"/>
    <w:rsid w:val="00D03060"/>
    <w:rsid w:val="00D03172"/>
    <w:rsid w:val="00D0325B"/>
    <w:rsid w:val="00D03261"/>
    <w:rsid w:val="00D0336D"/>
    <w:rsid w:val="00D03429"/>
    <w:rsid w:val="00D03862"/>
    <w:rsid w:val="00D039AA"/>
    <w:rsid w:val="00D039F2"/>
    <w:rsid w:val="00D03A0E"/>
    <w:rsid w:val="00D03A15"/>
    <w:rsid w:val="00D03BB0"/>
    <w:rsid w:val="00D03CF5"/>
    <w:rsid w:val="00D03D5B"/>
    <w:rsid w:val="00D03E0E"/>
    <w:rsid w:val="00D03EF8"/>
    <w:rsid w:val="00D03F4C"/>
    <w:rsid w:val="00D041FD"/>
    <w:rsid w:val="00D043A0"/>
    <w:rsid w:val="00D043B4"/>
    <w:rsid w:val="00D043D1"/>
    <w:rsid w:val="00D044DB"/>
    <w:rsid w:val="00D0454F"/>
    <w:rsid w:val="00D04624"/>
    <w:rsid w:val="00D0469F"/>
    <w:rsid w:val="00D04808"/>
    <w:rsid w:val="00D04893"/>
    <w:rsid w:val="00D048A8"/>
    <w:rsid w:val="00D049AE"/>
    <w:rsid w:val="00D049EC"/>
    <w:rsid w:val="00D04AE9"/>
    <w:rsid w:val="00D04BF1"/>
    <w:rsid w:val="00D04DB4"/>
    <w:rsid w:val="00D04FA8"/>
    <w:rsid w:val="00D0503D"/>
    <w:rsid w:val="00D0544B"/>
    <w:rsid w:val="00D054D5"/>
    <w:rsid w:val="00D0558A"/>
    <w:rsid w:val="00D056C6"/>
    <w:rsid w:val="00D056CB"/>
    <w:rsid w:val="00D05771"/>
    <w:rsid w:val="00D057E0"/>
    <w:rsid w:val="00D0580A"/>
    <w:rsid w:val="00D05812"/>
    <w:rsid w:val="00D058BB"/>
    <w:rsid w:val="00D059B8"/>
    <w:rsid w:val="00D05A23"/>
    <w:rsid w:val="00D05C15"/>
    <w:rsid w:val="00D05C37"/>
    <w:rsid w:val="00D05D00"/>
    <w:rsid w:val="00D05DD8"/>
    <w:rsid w:val="00D05E39"/>
    <w:rsid w:val="00D05E93"/>
    <w:rsid w:val="00D05EA7"/>
    <w:rsid w:val="00D05EBC"/>
    <w:rsid w:val="00D05F6A"/>
    <w:rsid w:val="00D06113"/>
    <w:rsid w:val="00D061D2"/>
    <w:rsid w:val="00D0620F"/>
    <w:rsid w:val="00D063D0"/>
    <w:rsid w:val="00D06463"/>
    <w:rsid w:val="00D06499"/>
    <w:rsid w:val="00D06548"/>
    <w:rsid w:val="00D06593"/>
    <w:rsid w:val="00D065F8"/>
    <w:rsid w:val="00D06680"/>
    <w:rsid w:val="00D067ED"/>
    <w:rsid w:val="00D0683A"/>
    <w:rsid w:val="00D069A3"/>
    <w:rsid w:val="00D069CB"/>
    <w:rsid w:val="00D06A89"/>
    <w:rsid w:val="00D0703B"/>
    <w:rsid w:val="00D070C6"/>
    <w:rsid w:val="00D07459"/>
    <w:rsid w:val="00D0772D"/>
    <w:rsid w:val="00D077F2"/>
    <w:rsid w:val="00D07843"/>
    <w:rsid w:val="00D07A2C"/>
    <w:rsid w:val="00D07A49"/>
    <w:rsid w:val="00D07C9C"/>
    <w:rsid w:val="00D07CED"/>
    <w:rsid w:val="00D07DB7"/>
    <w:rsid w:val="00D07E52"/>
    <w:rsid w:val="00D07FA0"/>
    <w:rsid w:val="00D1005F"/>
    <w:rsid w:val="00D1006D"/>
    <w:rsid w:val="00D10110"/>
    <w:rsid w:val="00D1011E"/>
    <w:rsid w:val="00D102DA"/>
    <w:rsid w:val="00D102DC"/>
    <w:rsid w:val="00D105D6"/>
    <w:rsid w:val="00D1077D"/>
    <w:rsid w:val="00D107F7"/>
    <w:rsid w:val="00D10912"/>
    <w:rsid w:val="00D1092A"/>
    <w:rsid w:val="00D109A9"/>
    <w:rsid w:val="00D10AB9"/>
    <w:rsid w:val="00D10BC2"/>
    <w:rsid w:val="00D10C2C"/>
    <w:rsid w:val="00D10DB8"/>
    <w:rsid w:val="00D10DEB"/>
    <w:rsid w:val="00D10E0E"/>
    <w:rsid w:val="00D10EE3"/>
    <w:rsid w:val="00D10F0D"/>
    <w:rsid w:val="00D10FDD"/>
    <w:rsid w:val="00D110FC"/>
    <w:rsid w:val="00D1119B"/>
    <w:rsid w:val="00D11247"/>
    <w:rsid w:val="00D11255"/>
    <w:rsid w:val="00D112DB"/>
    <w:rsid w:val="00D1145F"/>
    <w:rsid w:val="00D114C8"/>
    <w:rsid w:val="00D114F3"/>
    <w:rsid w:val="00D115EF"/>
    <w:rsid w:val="00D11609"/>
    <w:rsid w:val="00D1169C"/>
    <w:rsid w:val="00D116D0"/>
    <w:rsid w:val="00D117F7"/>
    <w:rsid w:val="00D1185A"/>
    <w:rsid w:val="00D11A57"/>
    <w:rsid w:val="00D11AE8"/>
    <w:rsid w:val="00D11C8A"/>
    <w:rsid w:val="00D120F8"/>
    <w:rsid w:val="00D12307"/>
    <w:rsid w:val="00D1238F"/>
    <w:rsid w:val="00D12422"/>
    <w:rsid w:val="00D12578"/>
    <w:rsid w:val="00D12592"/>
    <w:rsid w:val="00D126A0"/>
    <w:rsid w:val="00D127FB"/>
    <w:rsid w:val="00D128A0"/>
    <w:rsid w:val="00D128E1"/>
    <w:rsid w:val="00D12900"/>
    <w:rsid w:val="00D1297A"/>
    <w:rsid w:val="00D12A12"/>
    <w:rsid w:val="00D12A91"/>
    <w:rsid w:val="00D12B83"/>
    <w:rsid w:val="00D12DE0"/>
    <w:rsid w:val="00D12E4D"/>
    <w:rsid w:val="00D12F30"/>
    <w:rsid w:val="00D12F4C"/>
    <w:rsid w:val="00D12FBB"/>
    <w:rsid w:val="00D130D6"/>
    <w:rsid w:val="00D132D2"/>
    <w:rsid w:val="00D1339D"/>
    <w:rsid w:val="00D1347D"/>
    <w:rsid w:val="00D134F7"/>
    <w:rsid w:val="00D1355F"/>
    <w:rsid w:val="00D136CD"/>
    <w:rsid w:val="00D137D3"/>
    <w:rsid w:val="00D138AE"/>
    <w:rsid w:val="00D138C5"/>
    <w:rsid w:val="00D13906"/>
    <w:rsid w:val="00D139A7"/>
    <w:rsid w:val="00D13B15"/>
    <w:rsid w:val="00D13B5F"/>
    <w:rsid w:val="00D13C12"/>
    <w:rsid w:val="00D13E74"/>
    <w:rsid w:val="00D13F0A"/>
    <w:rsid w:val="00D13F67"/>
    <w:rsid w:val="00D140C4"/>
    <w:rsid w:val="00D141F3"/>
    <w:rsid w:val="00D1435E"/>
    <w:rsid w:val="00D1448E"/>
    <w:rsid w:val="00D14684"/>
    <w:rsid w:val="00D146B1"/>
    <w:rsid w:val="00D14702"/>
    <w:rsid w:val="00D14834"/>
    <w:rsid w:val="00D14948"/>
    <w:rsid w:val="00D14A27"/>
    <w:rsid w:val="00D14A43"/>
    <w:rsid w:val="00D14A72"/>
    <w:rsid w:val="00D14C72"/>
    <w:rsid w:val="00D14DB8"/>
    <w:rsid w:val="00D14EEE"/>
    <w:rsid w:val="00D14FE9"/>
    <w:rsid w:val="00D15007"/>
    <w:rsid w:val="00D15008"/>
    <w:rsid w:val="00D15025"/>
    <w:rsid w:val="00D151BA"/>
    <w:rsid w:val="00D152ED"/>
    <w:rsid w:val="00D1538C"/>
    <w:rsid w:val="00D15419"/>
    <w:rsid w:val="00D15549"/>
    <w:rsid w:val="00D155C7"/>
    <w:rsid w:val="00D15680"/>
    <w:rsid w:val="00D156BC"/>
    <w:rsid w:val="00D156E0"/>
    <w:rsid w:val="00D15819"/>
    <w:rsid w:val="00D1589E"/>
    <w:rsid w:val="00D1596A"/>
    <w:rsid w:val="00D15A25"/>
    <w:rsid w:val="00D15AEE"/>
    <w:rsid w:val="00D15C47"/>
    <w:rsid w:val="00D15D97"/>
    <w:rsid w:val="00D15E12"/>
    <w:rsid w:val="00D15E5E"/>
    <w:rsid w:val="00D15F9E"/>
    <w:rsid w:val="00D160D9"/>
    <w:rsid w:val="00D16261"/>
    <w:rsid w:val="00D162E2"/>
    <w:rsid w:val="00D162E3"/>
    <w:rsid w:val="00D163BB"/>
    <w:rsid w:val="00D1640C"/>
    <w:rsid w:val="00D1641D"/>
    <w:rsid w:val="00D164B3"/>
    <w:rsid w:val="00D164F6"/>
    <w:rsid w:val="00D16650"/>
    <w:rsid w:val="00D16670"/>
    <w:rsid w:val="00D168A9"/>
    <w:rsid w:val="00D16A3F"/>
    <w:rsid w:val="00D16AA3"/>
    <w:rsid w:val="00D16DC9"/>
    <w:rsid w:val="00D16DE2"/>
    <w:rsid w:val="00D16DFE"/>
    <w:rsid w:val="00D16E3A"/>
    <w:rsid w:val="00D16F81"/>
    <w:rsid w:val="00D17028"/>
    <w:rsid w:val="00D17077"/>
    <w:rsid w:val="00D17082"/>
    <w:rsid w:val="00D172BF"/>
    <w:rsid w:val="00D17394"/>
    <w:rsid w:val="00D174C1"/>
    <w:rsid w:val="00D1752E"/>
    <w:rsid w:val="00D176E4"/>
    <w:rsid w:val="00D176F5"/>
    <w:rsid w:val="00D17707"/>
    <w:rsid w:val="00D1771B"/>
    <w:rsid w:val="00D178B4"/>
    <w:rsid w:val="00D178C1"/>
    <w:rsid w:val="00D1796F"/>
    <w:rsid w:val="00D179A0"/>
    <w:rsid w:val="00D17A12"/>
    <w:rsid w:val="00D17A73"/>
    <w:rsid w:val="00D17A75"/>
    <w:rsid w:val="00D17C13"/>
    <w:rsid w:val="00D17DE0"/>
    <w:rsid w:val="00D17E47"/>
    <w:rsid w:val="00D17ED1"/>
    <w:rsid w:val="00D17F4B"/>
    <w:rsid w:val="00D20067"/>
    <w:rsid w:val="00D200DA"/>
    <w:rsid w:val="00D201FE"/>
    <w:rsid w:val="00D2036B"/>
    <w:rsid w:val="00D203D0"/>
    <w:rsid w:val="00D2047A"/>
    <w:rsid w:val="00D204D6"/>
    <w:rsid w:val="00D2078B"/>
    <w:rsid w:val="00D208D7"/>
    <w:rsid w:val="00D20A00"/>
    <w:rsid w:val="00D20ACE"/>
    <w:rsid w:val="00D20B06"/>
    <w:rsid w:val="00D20B25"/>
    <w:rsid w:val="00D20C0E"/>
    <w:rsid w:val="00D20CDD"/>
    <w:rsid w:val="00D20FAD"/>
    <w:rsid w:val="00D20FCE"/>
    <w:rsid w:val="00D20FF9"/>
    <w:rsid w:val="00D2105E"/>
    <w:rsid w:val="00D2108C"/>
    <w:rsid w:val="00D2117B"/>
    <w:rsid w:val="00D21239"/>
    <w:rsid w:val="00D21305"/>
    <w:rsid w:val="00D213CA"/>
    <w:rsid w:val="00D214A6"/>
    <w:rsid w:val="00D215F4"/>
    <w:rsid w:val="00D21606"/>
    <w:rsid w:val="00D21620"/>
    <w:rsid w:val="00D216D7"/>
    <w:rsid w:val="00D216DD"/>
    <w:rsid w:val="00D21748"/>
    <w:rsid w:val="00D21863"/>
    <w:rsid w:val="00D21952"/>
    <w:rsid w:val="00D219BD"/>
    <w:rsid w:val="00D21AF0"/>
    <w:rsid w:val="00D21BC8"/>
    <w:rsid w:val="00D21E58"/>
    <w:rsid w:val="00D2202A"/>
    <w:rsid w:val="00D221AE"/>
    <w:rsid w:val="00D223C4"/>
    <w:rsid w:val="00D223D6"/>
    <w:rsid w:val="00D226EC"/>
    <w:rsid w:val="00D2278F"/>
    <w:rsid w:val="00D227B5"/>
    <w:rsid w:val="00D227F5"/>
    <w:rsid w:val="00D22940"/>
    <w:rsid w:val="00D22949"/>
    <w:rsid w:val="00D22CA3"/>
    <w:rsid w:val="00D22DCE"/>
    <w:rsid w:val="00D22DF5"/>
    <w:rsid w:val="00D22E0D"/>
    <w:rsid w:val="00D22E64"/>
    <w:rsid w:val="00D22E8E"/>
    <w:rsid w:val="00D22FB5"/>
    <w:rsid w:val="00D23003"/>
    <w:rsid w:val="00D23082"/>
    <w:rsid w:val="00D23113"/>
    <w:rsid w:val="00D23292"/>
    <w:rsid w:val="00D2347F"/>
    <w:rsid w:val="00D23483"/>
    <w:rsid w:val="00D23589"/>
    <w:rsid w:val="00D235A0"/>
    <w:rsid w:val="00D236A7"/>
    <w:rsid w:val="00D236AF"/>
    <w:rsid w:val="00D23715"/>
    <w:rsid w:val="00D23787"/>
    <w:rsid w:val="00D237BC"/>
    <w:rsid w:val="00D237E7"/>
    <w:rsid w:val="00D238D8"/>
    <w:rsid w:val="00D238F7"/>
    <w:rsid w:val="00D2395F"/>
    <w:rsid w:val="00D23A06"/>
    <w:rsid w:val="00D23A16"/>
    <w:rsid w:val="00D23CA5"/>
    <w:rsid w:val="00D23EC4"/>
    <w:rsid w:val="00D23FF5"/>
    <w:rsid w:val="00D24062"/>
    <w:rsid w:val="00D240B1"/>
    <w:rsid w:val="00D24239"/>
    <w:rsid w:val="00D244E8"/>
    <w:rsid w:val="00D2466D"/>
    <w:rsid w:val="00D246DF"/>
    <w:rsid w:val="00D2478A"/>
    <w:rsid w:val="00D2481D"/>
    <w:rsid w:val="00D249A3"/>
    <w:rsid w:val="00D249BF"/>
    <w:rsid w:val="00D249E0"/>
    <w:rsid w:val="00D249F0"/>
    <w:rsid w:val="00D24B3B"/>
    <w:rsid w:val="00D24C42"/>
    <w:rsid w:val="00D24D1B"/>
    <w:rsid w:val="00D24D5A"/>
    <w:rsid w:val="00D24E63"/>
    <w:rsid w:val="00D24FA9"/>
    <w:rsid w:val="00D25063"/>
    <w:rsid w:val="00D250D7"/>
    <w:rsid w:val="00D25154"/>
    <w:rsid w:val="00D25169"/>
    <w:rsid w:val="00D25271"/>
    <w:rsid w:val="00D2528E"/>
    <w:rsid w:val="00D252A7"/>
    <w:rsid w:val="00D2530E"/>
    <w:rsid w:val="00D25333"/>
    <w:rsid w:val="00D254FB"/>
    <w:rsid w:val="00D255F5"/>
    <w:rsid w:val="00D256AB"/>
    <w:rsid w:val="00D25736"/>
    <w:rsid w:val="00D259F7"/>
    <w:rsid w:val="00D25A21"/>
    <w:rsid w:val="00D25A67"/>
    <w:rsid w:val="00D25A69"/>
    <w:rsid w:val="00D25A72"/>
    <w:rsid w:val="00D25B08"/>
    <w:rsid w:val="00D25B82"/>
    <w:rsid w:val="00D25B95"/>
    <w:rsid w:val="00D25F51"/>
    <w:rsid w:val="00D25F9C"/>
    <w:rsid w:val="00D260D2"/>
    <w:rsid w:val="00D26107"/>
    <w:rsid w:val="00D26296"/>
    <w:rsid w:val="00D26449"/>
    <w:rsid w:val="00D26482"/>
    <w:rsid w:val="00D26486"/>
    <w:rsid w:val="00D26509"/>
    <w:rsid w:val="00D265FC"/>
    <w:rsid w:val="00D2665A"/>
    <w:rsid w:val="00D266FD"/>
    <w:rsid w:val="00D2675C"/>
    <w:rsid w:val="00D267FA"/>
    <w:rsid w:val="00D26923"/>
    <w:rsid w:val="00D26958"/>
    <w:rsid w:val="00D269D5"/>
    <w:rsid w:val="00D269FA"/>
    <w:rsid w:val="00D26B47"/>
    <w:rsid w:val="00D26C13"/>
    <w:rsid w:val="00D26D89"/>
    <w:rsid w:val="00D26E55"/>
    <w:rsid w:val="00D26E7E"/>
    <w:rsid w:val="00D270F3"/>
    <w:rsid w:val="00D2710A"/>
    <w:rsid w:val="00D27296"/>
    <w:rsid w:val="00D272CE"/>
    <w:rsid w:val="00D274EA"/>
    <w:rsid w:val="00D276B0"/>
    <w:rsid w:val="00D277E1"/>
    <w:rsid w:val="00D277F8"/>
    <w:rsid w:val="00D27903"/>
    <w:rsid w:val="00D27AD3"/>
    <w:rsid w:val="00D27F2B"/>
    <w:rsid w:val="00D30194"/>
    <w:rsid w:val="00D301D3"/>
    <w:rsid w:val="00D30205"/>
    <w:rsid w:val="00D302D6"/>
    <w:rsid w:val="00D30374"/>
    <w:rsid w:val="00D303D4"/>
    <w:rsid w:val="00D30406"/>
    <w:rsid w:val="00D30465"/>
    <w:rsid w:val="00D304F3"/>
    <w:rsid w:val="00D3058A"/>
    <w:rsid w:val="00D30666"/>
    <w:rsid w:val="00D30753"/>
    <w:rsid w:val="00D30819"/>
    <w:rsid w:val="00D30846"/>
    <w:rsid w:val="00D30AC9"/>
    <w:rsid w:val="00D30BA8"/>
    <w:rsid w:val="00D30BC1"/>
    <w:rsid w:val="00D30E4C"/>
    <w:rsid w:val="00D30E54"/>
    <w:rsid w:val="00D30F2E"/>
    <w:rsid w:val="00D31010"/>
    <w:rsid w:val="00D311E9"/>
    <w:rsid w:val="00D31268"/>
    <w:rsid w:val="00D31288"/>
    <w:rsid w:val="00D312D3"/>
    <w:rsid w:val="00D3169F"/>
    <w:rsid w:val="00D316CB"/>
    <w:rsid w:val="00D316D6"/>
    <w:rsid w:val="00D3170F"/>
    <w:rsid w:val="00D3189F"/>
    <w:rsid w:val="00D31B78"/>
    <w:rsid w:val="00D31CB2"/>
    <w:rsid w:val="00D31CF2"/>
    <w:rsid w:val="00D31DB7"/>
    <w:rsid w:val="00D31E21"/>
    <w:rsid w:val="00D31EB9"/>
    <w:rsid w:val="00D31F10"/>
    <w:rsid w:val="00D31F48"/>
    <w:rsid w:val="00D3201C"/>
    <w:rsid w:val="00D3209A"/>
    <w:rsid w:val="00D32110"/>
    <w:rsid w:val="00D321A3"/>
    <w:rsid w:val="00D3230F"/>
    <w:rsid w:val="00D32340"/>
    <w:rsid w:val="00D323D2"/>
    <w:rsid w:val="00D324D8"/>
    <w:rsid w:val="00D32579"/>
    <w:rsid w:val="00D32668"/>
    <w:rsid w:val="00D32695"/>
    <w:rsid w:val="00D327C6"/>
    <w:rsid w:val="00D32818"/>
    <w:rsid w:val="00D3293E"/>
    <w:rsid w:val="00D32A4D"/>
    <w:rsid w:val="00D32A82"/>
    <w:rsid w:val="00D32C9A"/>
    <w:rsid w:val="00D32D4B"/>
    <w:rsid w:val="00D32D64"/>
    <w:rsid w:val="00D32E71"/>
    <w:rsid w:val="00D32F13"/>
    <w:rsid w:val="00D33060"/>
    <w:rsid w:val="00D330A5"/>
    <w:rsid w:val="00D331D4"/>
    <w:rsid w:val="00D331FB"/>
    <w:rsid w:val="00D33264"/>
    <w:rsid w:val="00D333E7"/>
    <w:rsid w:val="00D33439"/>
    <w:rsid w:val="00D3351B"/>
    <w:rsid w:val="00D336FE"/>
    <w:rsid w:val="00D3370B"/>
    <w:rsid w:val="00D3378B"/>
    <w:rsid w:val="00D33859"/>
    <w:rsid w:val="00D338A5"/>
    <w:rsid w:val="00D33A07"/>
    <w:rsid w:val="00D33A91"/>
    <w:rsid w:val="00D33BB9"/>
    <w:rsid w:val="00D33E84"/>
    <w:rsid w:val="00D33EF3"/>
    <w:rsid w:val="00D33F79"/>
    <w:rsid w:val="00D34056"/>
    <w:rsid w:val="00D34241"/>
    <w:rsid w:val="00D34476"/>
    <w:rsid w:val="00D344C8"/>
    <w:rsid w:val="00D34514"/>
    <w:rsid w:val="00D3453B"/>
    <w:rsid w:val="00D34640"/>
    <w:rsid w:val="00D346EC"/>
    <w:rsid w:val="00D3485D"/>
    <w:rsid w:val="00D3496B"/>
    <w:rsid w:val="00D34AD1"/>
    <w:rsid w:val="00D34B15"/>
    <w:rsid w:val="00D34BB1"/>
    <w:rsid w:val="00D34C49"/>
    <w:rsid w:val="00D34CD4"/>
    <w:rsid w:val="00D34CDF"/>
    <w:rsid w:val="00D34D19"/>
    <w:rsid w:val="00D34D43"/>
    <w:rsid w:val="00D34F12"/>
    <w:rsid w:val="00D34F23"/>
    <w:rsid w:val="00D34FD6"/>
    <w:rsid w:val="00D35065"/>
    <w:rsid w:val="00D35090"/>
    <w:rsid w:val="00D350F4"/>
    <w:rsid w:val="00D35297"/>
    <w:rsid w:val="00D352D2"/>
    <w:rsid w:val="00D353DF"/>
    <w:rsid w:val="00D35441"/>
    <w:rsid w:val="00D35448"/>
    <w:rsid w:val="00D3547E"/>
    <w:rsid w:val="00D356B8"/>
    <w:rsid w:val="00D35730"/>
    <w:rsid w:val="00D357B1"/>
    <w:rsid w:val="00D358C4"/>
    <w:rsid w:val="00D358FA"/>
    <w:rsid w:val="00D3593F"/>
    <w:rsid w:val="00D35943"/>
    <w:rsid w:val="00D35AFD"/>
    <w:rsid w:val="00D35BE7"/>
    <w:rsid w:val="00D35C3A"/>
    <w:rsid w:val="00D35DC2"/>
    <w:rsid w:val="00D361EF"/>
    <w:rsid w:val="00D3620A"/>
    <w:rsid w:val="00D3628A"/>
    <w:rsid w:val="00D362B2"/>
    <w:rsid w:val="00D36300"/>
    <w:rsid w:val="00D3637D"/>
    <w:rsid w:val="00D36531"/>
    <w:rsid w:val="00D36721"/>
    <w:rsid w:val="00D36732"/>
    <w:rsid w:val="00D3675A"/>
    <w:rsid w:val="00D367D3"/>
    <w:rsid w:val="00D36897"/>
    <w:rsid w:val="00D368F2"/>
    <w:rsid w:val="00D36934"/>
    <w:rsid w:val="00D36946"/>
    <w:rsid w:val="00D36975"/>
    <w:rsid w:val="00D36977"/>
    <w:rsid w:val="00D36B6D"/>
    <w:rsid w:val="00D36FA4"/>
    <w:rsid w:val="00D36FA5"/>
    <w:rsid w:val="00D37046"/>
    <w:rsid w:val="00D37163"/>
    <w:rsid w:val="00D3728E"/>
    <w:rsid w:val="00D37316"/>
    <w:rsid w:val="00D37503"/>
    <w:rsid w:val="00D3754E"/>
    <w:rsid w:val="00D37721"/>
    <w:rsid w:val="00D377A9"/>
    <w:rsid w:val="00D37A27"/>
    <w:rsid w:val="00D37B33"/>
    <w:rsid w:val="00D37C21"/>
    <w:rsid w:val="00D37C2B"/>
    <w:rsid w:val="00D37C6C"/>
    <w:rsid w:val="00D37C93"/>
    <w:rsid w:val="00D37D5A"/>
    <w:rsid w:val="00D37DD6"/>
    <w:rsid w:val="00D37E1E"/>
    <w:rsid w:val="00D37E43"/>
    <w:rsid w:val="00D37EC0"/>
    <w:rsid w:val="00D37F13"/>
    <w:rsid w:val="00D37FCC"/>
    <w:rsid w:val="00D40103"/>
    <w:rsid w:val="00D4019A"/>
    <w:rsid w:val="00D40313"/>
    <w:rsid w:val="00D40315"/>
    <w:rsid w:val="00D4038E"/>
    <w:rsid w:val="00D40476"/>
    <w:rsid w:val="00D4054D"/>
    <w:rsid w:val="00D405E7"/>
    <w:rsid w:val="00D406B6"/>
    <w:rsid w:val="00D4070B"/>
    <w:rsid w:val="00D4084B"/>
    <w:rsid w:val="00D40855"/>
    <w:rsid w:val="00D40961"/>
    <w:rsid w:val="00D409A0"/>
    <w:rsid w:val="00D409FC"/>
    <w:rsid w:val="00D40AE6"/>
    <w:rsid w:val="00D40AFB"/>
    <w:rsid w:val="00D40B17"/>
    <w:rsid w:val="00D40B32"/>
    <w:rsid w:val="00D40BD9"/>
    <w:rsid w:val="00D40BF5"/>
    <w:rsid w:val="00D40CAE"/>
    <w:rsid w:val="00D4103E"/>
    <w:rsid w:val="00D411DC"/>
    <w:rsid w:val="00D411F0"/>
    <w:rsid w:val="00D41222"/>
    <w:rsid w:val="00D41271"/>
    <w:rsid w:val="00D416F7"/>
    <w:rsid w:val="00D41B8A"/>
    <w:rsid w:val="00D41CD1"/>
    <w:rsid w:val="00D41E2B"/>
    <w:rsid w:val="00D41EDB"/>
    <w:rsid w:val="00D41F21"/>
    <w:rsid w:val="00D41F41"/>
    <w:rsid w:val="00D41F6E"/>
    <w:rsid w:val="00D41FEE"/>
    <w:rsid w:val="00D42095"/>
    <w:rsid w:val="00D422AD"/>
    <w:rsid w:val="00D42377"/>
    <w:rsid w:val="00D423D5"/>
    <w:rsid w:val="00D42614"/>
    <w:rsid w:val="00D4271D"/>
    <w:rsid w:val="00D4276B"/>
    <w:rsid w:val="00D42786"/>
    <w:rsid w:val="00D427F7"/>
    <w:rsid w:val="00D42943"/>
    <w:rsid w:val="00D42D39"/>
    <w:rsid w:val="00D42DAC"/>
    <w:rsid w:val="00D42F4A"/>
    <w:rsid w:val="00D42F88"/>
    <w:rsid w:val="00D430B1"/>
    <w:rsid w:val="00D430C0"/>
    <w:rsid w:val="00D430FB"/>
    <w:rsid w:val="00D4323E"/>
    <w:rsid w:val="00D432F7"/>
    <w:rsid w:val="00D433AC"/>
    <w:rsid w:val="00D433B6"/>
    <w:rsid w:val="00D434B1"/>
    <w:rsid w:val="00D435E5"/>
    <w:rsid w:val="00D438E7"/>
    <w:rsid w:val="00D4391B"/>
    <w:rsid w:val="00D43A1D"/>
    <w:rsid w:val="00D43BA4"/>
    <w:rsid w:val="00D43DCD"/>
    <w:rsid w:val="00D43E45"/>
    <w:rsid w:val="00D4404E"/>
    <w:rsid w:val="00D4415F"/>
    <w:rsid w:val="00D441D2"/>
    <w:rsid w:val="00D44241"/>
    <w:rsid w:val="00D44339"/>
    <w:rsid w:val="00D44387"/>
    <w:rsid w:val="00D44496"/>
    <w:rsid w:val="00D4465A"/>
    <w:rsid w:val="00D446DD"/>
    <w:rsid w:val="00D4476F"/>
    <w:rsid w:val="00D44793"/>
    <w:rsid w:val="00D44944"/>
    <w:rsid w:val="00D44B08"/>
    <w:rsid w:val="00D44DF1"/>
    <w:rsid w:val="00D44E19"/>
    <w:rsid w:val="00D44E28"/>
    <w:rsid w:val="00D44F41"/>
    <w:rsid w:val="00D44F7A"/>
    <w:rsid w:val="00D45039"/>
    <w:rsid w:val="00D451AA"/>
    <w:rsid w:val="00D4522C"/>
    <w:rsid w:val="00D4524F"/>
    <w:rsid w:val="00D452BB"/>
    <w:rsid w:val="00D452DE"/>
    <w:rsid w:val="00D452F8"/>
    <w:rsid w:val="00D4539C"/>
    <w:rsid w:val="00D45475"/>
    <w:rsid w:val="00D455EB"/>
    <w:rsid w:val="00D4571B"/>
    <w:rsid w:val="00D4574D"/>
    <w:rsid w:val="00D4576D"/>
    <w:rsid w:val="00D459F5"/>
    <w:rsid w:val="00D45AED"/>
    <w:rsid w:val="00D45AF4"/>
    <w:rsid w:val="00D45DEF"/>
    <w:rsid w:val="00D45E98"/>
    <w:rsid w:val="00D46094"/>
    <w:rsid w:val="00D4633F"/>
    <w:rsid w:val="00D46375"/>
    <w:rsid w:val="00D464CA"/>
    <w:rsid w:val="00D467B4"/>
    <w:rsid w:val="00D46803"/>
    <w:rsid w:val="00D46858"/>
    <w:rsid w:val="00D4685E"/>
    <w:rsid w:val="00D46931"/>
    <w:rsid w:val="00D469F1"/>
    <w:rsid w:val="00D46A98"/>
    <w:rsid w:val="00D46AB9"/>
    <w:rsid w:val="00D46AF4"/>
    <w:rsid w:val="00D46E0C"/>
    <w:rsid w:val="00D46F3A"/>
    <w:rsid w:val="00D47022"/>
    <w:rsid w:val="00D4708C"/>
    <w:rsid w:val="00D470A7"/>
    <w:rsid w:val="00D47341"/>
    <w:rsid w:val="00D47511"/>
    <w:rsid w:val="00D47514"/>
    <w:rsid w:val="00D476F7"/>
    <w:rsid w:val="00D47798"/>
    <w:rsid w:val="00D477D1"/>
    <w:rsid w:val="00D47834"/>
    <w:rsid w:val="00D4789E"/>
    <w:rsid w:val="00D479B0"/>
    <w:rsid w:val="00D479BE"/>
    <w:rsid w:val="00D479FC"/>
    <w:rsid w:val="00D47A83"/>
    <w:rsid w:val="00D47B2D"/>
    <w:rsid w:val="00D47BF5"/>
    <w:rsid w:val="00D47CEA"/>
    <w:rsid w:val="00D47DFD"/>
    <w:rsid w:val="00D47E9B"/>
    <w:rsid w:val="00D47F11"/>
    <w:rsid w:val="00D50028"/>
    <w:rsid w:val="00D50031"/>
    <w:rsid w:val="00D50246"/>
    <w:rsid w:val="00D50272"/>
    <w:rsid w:val="00D50476"/>
    <w:rsid w:val="00D504A4"/>
    <w:rsid w:val="00D504C4"/>
    <w:rsid w:val="00D5052F"/>
    <w:rsid w:val="00D506DA"/>
    <w:rsid w:val="00D506F8"/>
    <w:rsid w:val="00D507BF"/>
    <w:rsid w:val="00D50A42"/>
    <w:rsid w:val="00D50A50"/>
    <w:rsid w:val="00D50BAC"/>
    <w:rsid w:val="00D50BC6"/>
    <w:rsid w:val="00D50C51"/>
    <w:rsid w:val="00D50C5F"/>
    <w:rsid w:val="00D50CB9"/>
    <w:rsid w:val="00D50E8B"/>
    <w:rsid w:val="00D50F25"/>
    <w:rsid w:val="00D51114"/>
    <w:rsid w:val="00D51121"/>
    <w:rsid w:val="00D51189"/>
    <w:rsid w:val="00D511B1"/>
    <w:rsid w:val="00D51202"/>
    <w:rsid w:val="00D5126E"/>
    <w:rsid w:val="00D513F4"/>
    <w:rsid w:val="00D516BE"/>
    <w:rsid w:val="00D5181A"/>
    <w:rsid w:val="00D5196E"/>
    <w:rsid w:val="00D51A1D"/>
    <w:rsid w:val="00D51A9F"/>
    <w:rsid w:val="00D51B34"/>
    <w:rsid w:val="00D51BFF"/>
    <w:rsid w:val="00D51DED"/>
    <w:rsid w:val="00D51E1A"/>
    <w:rsid w:val="00D520CF"/>
    <w:rsid w:val="00D5223F"/>
    <w:rsid w:val="00D52341"/>
    <w:rsid w:val="00D5235F"/>
    <w:rsid w:val="00D523FE"/>
    <w:rsid w:val="00D5242A"/>
    <w:rsid w:val="00D5255D"/>
    <w:rsid w:val="00D52561"/>
    <w:rsid w:val="00D52571"/>
    <w:rsid w:val="00D525A1"/>
    <w:rsid w:val="00D52660"/>
    <w:rsid w:val="00D5267A"/>
    <w:rsid w:val="00D52996"/>
    <w:rsid w:val="00D52A03"/>
    <w:rsid w:val="00D52BDD"/>
    <w:rsid w:val="00D52C0F"/>
    <w:rsid w:val="00D52C63"/>
    <w:rsid w:val="00D52C68"/>
    <w:rsid w:val="00D52D1B"/>
    <w:rsid w:val="00D52D49"/>
    <w:rsid w:val="00D52ECF"/>
    <w:rsid w:val="00D53033"/>
    <w:rsid w:val="00D53077"/>
    <w:rsid w:val="00D53169"/>
    <w:rsid w:val="00D531AE"/>
    <w:rsid w:val="00D53243"/>
    <w:rsid w:val="00D5336F"/>
    <w:rsid w:val="00D5349C"/>
    <w:rsid w:val="00D5384F"/>
    <w:rsid w:val="00D5392B"/>
    <w:rsid w:val="00D53984"/>
    <w:rsid w:val="00D53A64"/>
    <w:rsid w:val="00D53A65"/>
    <w:rsid w:val="00D53ABA"/>
    <w:rsid w:val="00D53B9B"/>
    <w:rsid w:val="00D53BC7"/>
    <w:rsid w:val="00D53BE0"/>
    <w:rsid w:val="00D53BF0"/>
    <w:rsid w:val="00D53C60"/>
    <w:rsid w:val="00D53C6B"/>
    <w:rsid w:val="00D53D50"/>
    <w:rsid w:val="00D53D61"/>
    <w:rsid w:val="00D53DFD"/>
    <w:rsid w:val="00D53E4D"/>
    <w:rsid w:val="00D53E66"/>
    <w:rsid w:val="00D53F4C"/>
    <w:rsid w:val="00D540E4"/>
    <w:rsid w:val="00D5415C"/>
    <w:rsid w:val="00D541B4"/>
    <w:rsid w:val="00D54251"/>
    <w:rsid w:val="00D543E2"/>
    <w:rsid w:val="00D54402"/>
    <w:rsid w:val="00D54432"/>
    <w:rsid w:val="00D54505"/>
    <w:rsid w:val="00D54725"/>
    <w:rsid w:val="00D5484A"/>
    <w:rsid w:val="00D54A63"/>
    <w:rsid w:val="00D54AB9"/>
    <w:rsid w:val="00D54B3C"/>
    <w:rsid w:val="00D54C13"/>
    <w:rsid w:val="00D54D74"/>
    <w:rsid w:val="00D54DC3"/>
    <w:rsid w:val="00D54DDF"/>
    <w:rsid w:val="00D54F88"/>
    <w:rsid w:val="00D54FA7"/>
    <w:rsid w:val="00D54FCC"/>
    <w:rsid w:val="00D55118"/>
    <w:rsid w:val="00D55278"/>
    <w:rsid w:val="00D552FF"/>
    <w:rsid w:val="00D55544"/>
    <w:rsid w:val="00D55592"/>
    <w:rsid w:val="00D55680"/>
    <w:rsid w:val="00D556C9"/>
    <w:rsid w:val="00D556E5"/>
    <w:rsid w:val="00D556EE"/>
    <w:rsid w:val="00D55914"/>
    <w:rsid w:val="00D55A4D"/>
    <w:rsid w:val="00D55A98"/>
    <w:rsid w:val="00D55B3F"/>
    <w:rsid w:val="00D55B4D"/>
    <w:rsid w:val="00D55B77"/>
    <w:rsid w:val="00D55D24"/>
    <w:rsid w:val="00D55E03"/>
    <w:rsid w:val="00D55E74"/>
    <w:rsid w:val="00D55F2C"/>
    <w:rsid w:val="00D55FDE"/>
    <w:rsid w:val="00D56286"/>
    <w:rsid w:val="00D56332"/>
    <w:rsid w:val="00D56417"/>
    <w:rsid w:val="00D564C4"/>
    <w:rsid w:val="00D56536"/>
    <w:rsid w:val="00D568D3"/>
    <w:rsid w:val="00D56917"/>
    <w:rsid w:val="00D569D0"/>
    <w:rsid w:val="00D569F7"/>
    <w:rsid w:val="00D56AEC"/>
    <w:rsid w:val="00D56E1A"/>
    <w:rsid w:val="00D56EFA"/>
    <w:rsid w:val="00D56F60"/>
    <w:rsid w:val="00D56FD7"/>
    <w:rsid w:val="00D56FEA"/>
    <w:rsid w:val="00D56FED"/>
    <w:rsid w:val="00D5700C"/>
    <w:rsid w:val="00D570E8"/>
    <w:rsid w:val="00D57277"/>
    <w:rsid w:val="00D572CA"/>
    <w:rsid w:val="00D5738B"/>
    <w:rsid w:val="00D57549"/>
    <w:rsid w:val="00D576BB"/>
    <w:rsid w:val="00D57753"/>
    <w:rsid w:val="00D5797E"/>
    <w:rsid w:val="00D57A0D"/>
    <w:rsid w:val="00D57A53"/>
    <w:rsid w:val="00D57A59"/>
    <w:rsid w:val="00D57ABC"/>
    <w:rsid w:val="00D57C06"/>
    <w:rsid w:val="00D57C5E"/>
    <w:rsid w:val="00D57C86"/>
    <w:rsid w:val="00D57D7F"/>
    <w:rsid w:val="00D57E2E"/>
    <w:rsid w:val="00D57FBC"/>
    <w:rsid w:val="00D602D0"/>
    <w:rsid w:val="00D6084C"/>
    <w:rsid w:val="00D6086B"/>
    <w:rsid w:val="00D60B23"/>
    <w:rsid w:val="00D60D65"/>
    <w:rsid w:val="00D61092"/>
    <w:rsid w:val="00D610F2"/>
    <w:rsid w:val="00D61193"/>
    <w:rsid w:val="00D61216"/>
    <w:rsid w:val="00D61256"/>
    <w:rsid w:val="00D612E6"/>
    <w:rsid w:val="00D6135B"/>
    <w:rsid w:val="00D61474"/>
    <w:rsid w:val="00D6170D"/>
    <w:rsid w:val="00D61891"/>
    <w:rsid w:val="00D61BFB"/>
    <w:rsid w:val="00D61C28"/>
    <w:rsid w:val="00D61C55"/>
    <w:rsid w:val="00D61E67"/>
    <w:rsid w:val="00D61F1C"/>
    <w:rsid w:val="00D61FBD"/>
    <w:rsid w:val="00D62040"/>
    <w:rsid w:val="00D62206"/>
    <w:rsid w:val="00D62418"/>
    <w:rsid w:val="00D6254A"/>
    <w:rsid w:val="00D62679"/>
    <w:rsid w:val="00D626E4"/>
    <w:rsid w:val="00D627C1"/>
    <w:rsid w:val="00D62804"/>
    <w:rsid w:val="00D629F3"/>
    <w:rsid w:val="00D62B24"/>
    <w:rsid w:val="00D62B28"/>
    <w:rsid w:val="00D62C8A"/>
    <w:rsid w:val="00D62F2B"/>
    <w:rsid w:val="00D62F53"/>
    <w:rsid w:val="00D63192"/>
    <w:rsid w:val="00D63214"/>
    <w:rsid w:val="00D632D8"/>
    <w:rsid w:val="00D632E6"/>
    <w:rsid w:val="00D63321"/>
    <w:rsid w:val="00D633BA"/>
    <w:rsid w:val="00D6340E"/>
    <w:rsid w:val="00D6351D"/>
    <w:rsid w:val="00D635A0"/>
    <w:rsid w:val="00D635D6"/>
    <w:rsid w:val="00D635FB"/>
    <w:rsid w:val="00D63758"/>
    <w:rsid w:val="00D638E4"/>
    <w:rsid w:val="00D639F8"/>
    <w:rsid w:val="00D63B3E"/>
    <w:rsid w:val="00D63DEE"/>
    <w:rsid w:val="00D63F19"/>
    <w:rsid w:val="00D64128"/>
    <w:rsid w:val="00D641D7"/>
    <w:rsid w:val="00D641EE"/>
    <w:rsid w:val="00D64294"/>
    <w:rsid w:val="00D645CD"/>
    <w:rsid w:val="00D6466A"/>
    <w:rsid w:val="00D646C5"/>
    <w:rsid w:val="00D646EA"/>
    <w:rsid w:val="00D64767"/>
    <w:rsid w:val="00D64785"/>
    <w:rsid w:val="00D647B9"/>
    <w:rsid w:val="00D64AAD"/>
    <w:rsid w:val="00D64ADD"/>
    <w:rsid w:val="00D64AF2"/>
    <w:rsid w:val="00D64CE0"/>
    <w:rsid w:val="00D64D5C"/>
    <w:rsid w:val="00D64D7D"/>
    <w:rsid w:val="00D64EC9"/>
    <w:rsid w:val="00D64F44"/>
    <w:rsid w:val="00D65510"/>
    <w:rsid w:val="00D655B8"/>
    <w:rsid w:val="00D655E0"/>
    <w:rsid w:val="00D65824"/>
    <w:rsid w:val="00D659CA"/>
    <w:rsid w:val="00D65A3F"/>
    <w:rsid w:val="00D65B48"/>
    <w:rsid w:val="00D65B67"/>
    <w:rsid w:val="00D65D2A"/>
    <w:rsid w:val="00D65F3F"/>
    <w:rsid w:val="00D66053"/>
    <w:rsid w:val="00D6617A"/>
    <w:rsid w:val="00D661E8"/>
    <w:rsid w:val="00D662CF"/>
    <w:rsid w:val="00D663A1"/>
    <w:rsid w:val="00D663D5"/>
    <w:rsid w:val="00D66428"/>
    <w:rsid w:val="00D6648E"/>
    <w:rsid w:val="00D66666"/>
    <w:rsid w:val="00D66686"/>
    <w:rsid w:val="00D6671A"/>
    <w:rsid w:val="00D668C0"/>
    <w:rsid w:val="00D66A71"/>
    <w:rsid w:val="00D66A8E"/>
    <w:rsid w:val="00D66AEB"/>
    <w:rsid w:val="00D66BE5"/>
    <w:rsid w:val="00D66E9B"/>
    <w:rsid w:val="00D66F52"/>
    <w:rsid w:val="00D66FDB"/>
    <w:rsid w:val="00D66FED"/>
    <w:rsid w:val="00D670C1"/>
    <w:rsid w:val="00D67172"/>
    <w:rsid w:val="00D6730B"/>
    <w:rsid w:val="00D6733F"/>
    <w:rsid w:val="00D674A2"/>
    <w:rsid w:val="00D678DC"/>
    <w:rsid w:val="00D679AB"/>
    <w:rsid w:val="00D679BF"/>
    <w:rsid w:val="00D67AC8"/>
    <w:rsid w:val="00D67B37"/>
    <w:rsid w:val="00D67B5D"/>
    <w:rsid w:val="00D67BE7"/>
    <w:rsid w:val="00D67EDC"/>
    <w:rsid w:val="00D67F0C"/>
    <w:rsid w:val="00D70050"/>
    <w:rsid w:val="00D70159"/>
    <w:rsid w:val="00D7035D"/>
    <w:rsid w:val="00D70456"/>
    <w:rsid w:val="00D704A7"/>
    <w:rsid w:val="00D705F1"/>
    <w:rsid w:val="00D70698"/>
    <w:rsid w:val="00D70705"/>
    <w:rsid w:val="00D70779"/>
    <w:rsid w:val="00D7077C"/>
    <w:rsid w:val="00D7086B"/>
    <w:rsid w:val="00D708DD"/>
    <w:rsid w:val="00D70924"/>
    <w:rsid w:val="00D70964"/>
    <w:rsid w:val="00D70A11"/>
    <w:rsid w:val="00D70A12"/>
    <w:rsid w:val="00D70A73"/>
    <w:rsid w:val="00D70AA1"/>
    <w:rsid w:val="00D70EF6"/>
    <w:rsid w:val="00D71113"/>
    <w:rsid w:val="00D71407"/>
    <w:rsid w:val="00D7140F"/>
    <w:rsid w:val="00D715FE"/>
    <w:rsid w:val="00D716D7"/>
    <w:rsid w:val="00D716F0"/>
    <w:rsid w:val="00D71B46"/>
    <w:rsid w:val="00D71C09"/>
    <w:rsid w:val="00D71C1A"/>
    <w:rsid w:val="00D71D94"/>
    <w:rsid w:val="00D71F1D"/>
    <w:rsid w:val="00D7202B"/>
    <w:rsid w:val="00D72089"/>
    <w:rsid w:val="00D720E5"/>
    <w:rsid w:val="00D72357"/>
    <w:rsid w:val="00D724EA"/>
    <w:rsid w:val="00D72720"/>
    <w:rsid w:val="00D7273A"/>
    <w:rsid w:val="00D7282A"/>
    <w:rsid w:val="00D728C2"/>
    <w:rsid w:val="00D72A0E"/>
    <w:rsid w:val="00D72B0A"/>
    <w:rsid w:val="00D72BB9"/>
    <w:rsid w:val="00D72C00"/>
    <w:rsid w:val="00D72CCE"/>
    <w:rsid w:val="00D72D3C"/>
    <w:rsid w:val="00D72DC4"/>
    <w:rsid w:val="00D7321D"/>
    <w:rsid w:val="00D73253"/>
    <w:rsid w:val="00D7341D"/>
    <w:rsid w:val="00D734A5"/>
    <w:rsid w:val="00D7350C"/>
    <w:rsid w:val="00D735AA"/>
    <w:rsid w:val="00D7373F"/>
    <w:rsid w:val="00D73784"/>
    <w:rsid w:val="00D7381F"/>
    <w:rsid w:val="00D738F4"/>
    <w:rsid w:val="00D73BF6"/>
    <w:rsid w:val="00D73C14"/>
    <w:rsid w:val="00D73C71"/>
    <w:rsid w:val="00D73CED"/>
    <w:rsid w:val="00D73D08"/>
    <w:rsid w:val="00D73EB7"/>
    <w:rsid w:val="00D73F33"/>
    <w:rsid w:val="00D74008"/>
    <w:rsid w:val="00D74189"/>
    <w:rsid w:val="00D7436D"/>
    <w:rsid w:val="00D743C0"/>
    <w:rsid w:val="00D744A1"/>
    <w:rsid w:val="00D746C1"/>
    <w:rsid w:val="00D7475B"/>
    <w:rsid w:val="00D749DC"/>
    <w:rsid w:val="00D74CC9"/>
    <w:rsid w:val="00D74DD6"/>
    <w:rsid w:val="00D74E51"/>
    <w:rsid w:val="00D74EEB"/>
    <w:rsid w:val="00D74EFE"/>
    <w:rsid w:val="00D74EFF"/>
    <w:rsid w:val="00D75116"/>
    <w:rsid w:val="00D75189"/>
    <w:rsid w:val="00D75403"/>
    <w:rsid w:val="00D75417"/>
    <w:rsid w:val="00D756A8"/>
    <w:rsid w:val="00D757B0"/>
    <w:rsid w:val="00D75857"/>
    <w:rsid w:val="00D758AA"/>
    <w:rsid w:val="00D75925"/>
    <w:rsid w:val="00D759D3"/>
    <w:rsid w:val="00D759D5"/>
    <w:rsid w:val="00D759FA"/>
    <w:rsid w:val="00D75A16"/>
    <w:rsid w:val="00D75BE2"/>
    <w:rsid w:val="00D75C04"/>
    <w:rsid w:val="00D75D94"/>
    <w:rsid w:val="00D75DEB"/>
    <w:rsid w:val="00D75E0B"/>
    <w:rsid w:val="00D75E33"/>
    <w:rsid w:val="00D75FBA"/>
    <w:rsid w:val="00D76035"/>
    <w:rsid w:val="00D760A7"/>
    <w:rsid w:val="00D761BE"/>
    <w:rsid w:val="00D763D5"/>
    <w:rsid w:val="00D76410"/>
    <w:rsid w:val="00D76548"/>
    <w:rsid w:val="00D7657C"/>
    <w:rsid w:val="00D766D6"/>
    <w:rsid w:val="00D7676D"/>
    <w:rsid w:val="00D7683C"/>
    <w:rsid w:val="00D7694C"/>
    <w:rsid w:val="00D76953"/>
    <w:rsid w:val="00D76A98"/>
    <w:rsid w:val="00D76B3A"/>
    <w:rsid w:val="00D76D35"/>
    <w:rsid w:val="00D76FD1"/>
    <w:rsid w:val="00D76FF4"/>
    <w:rsid w:val="00D7702D"/>
    <w:rsid w:val="00D7706E"/>
    <w:rsid w:val="00D77147"/>
    <w:rsid w:val="00D77252"/>
    <w:rsid w:val="00D775BE"/>
    <w:rsid w:val="00D7782F"/>
    <w:rsid w:val="00D77893"/>
    <w:rsid w:val="00D779A1"/>
    <w:rsid w:val="00D77A43"/>
    <w:rsid w:val="00D77B63"/>
    <w:rsid w:val="00D77F34"/>
    <w:rsid w:val="00D77F5F"/>
    <w:rsid w:val="00D77F90"/>
    <w:rsid w:val="00D77FB0"/>
    <w:rsid w:val="00D77FFB"/>
    <w:rsid w:val="00D800DF"/>
    <w:rsid w:val="00D80120"/>
    <w:rsid w:val="00D80219"/>
    <w:rsid w:val="00D80290"/>
    <w:rsid w:val="00D802DE"/>
    <w:rsid w:val="00D8049C"/>
    <w:rsid w:val="00D80581"/>
    <w:rsid w:val="00D80608"/>
    <w:rsid w:val="00D809BB"/>
    <w:rsid w:val="00D80B82"/>
    <w:rsid w:val="00D80BAE"/>
    <w:rsid w:val="00D80C4E"/>
    <w:rsid w:val="00D80D40"/>
    <w:rsid w:val="00D80D53"/>
    <w:rsid w:val="00D80DF5"/>
    <w:rsid w:val="00D80F58"/>
    <w:rsid w:val="00D80FB1"/>
    <w:rsid w:val="00D81067"/>
    <w:rsid w:val="00D8106E"/>
    <w:rsid w:val="00D81106"/>
    <w:rsid w:val="00D81123"/>
    <w:rsid w:val="00D811CC"/>
    <w:rsid w:val="00D811FD"/>
    <w:rsid w:val="00D81261"/>
    <w:rsid w:val="00D81299"/>
    <w:rsid w:val="00D81374"/>
    <w:rsid w:val="00D81445"/>
    <w:rsid w:val="00D81465"/>
    <w:rsid w:val="00D81994"/>
    <w:rsid w:val="00D81A39"/>
    <w:rsid w:val="00D81A55"/>
    <w:rsid w:val="00D81B4F"/>
    <w:rsid w:val="00D81B66"/>
    <w:rsid w:val="00D81EE9"/>
    <w:rsid w:val="00D81F5C"/>
    <w:rsid w:val="00D82146"/>
    <w:rsid w:val="00D822A0"/>
    <w:rsid w:val="00D822FD"/>
    <w:rsid w:val="00D824C7"/>
    <w:rsid w:val="00D82532"/>
    <w:rsid w:val="00D825C0"/>
    <w:rsid w:val="00D826FD"/>
    <w:rsid w:val="00D827C7"/>
    <w:rsid w:val="00D82864"/>
    <w:rsid w:val="00D828AD"/>
    <w:rsid w:val="00D828B5"/>
    <w:rsid w:val="00D828D3"/>
    <w:rsid w:val="00D82AF2"/>
    <w:rsid w:val="00D82B2E"/>
    <w:rsid w:val="00D82E9C"/>
    <w:rsid w:val="00D82F80"/>
    <w:rsid w:val="00D82FB2"/>
    <w:rsid w:val="00D83047"/>
    <w:rsid w:val="00D8321D"/>
    <w:rsid w:val="00D8326A"/>
    <w:rsid w:val="00D832C7"/>
    <w:rsid w:val="00D832DB"/>
    <w:rsid w:val="00D8338B"/>
    <w:rsid w:val="00D834BB"/>
    <w:rsid w:val="00D8358D"/>
    <w:rsid w:val="00D8364D"/>
    <w:rsid w:val="00D83772"/>
    <w:rsid w:val="00D8381F"/>
    <w:rsid w:val="00D839A7"/>
    <w:rsid w:val="00D83A55"/>
    <w:rsid w:val="00D83BD0"/>
    <w:rsid w:val="00D83BDE"/>
    <w:rsid w:val="00D83DB4"/>
    <w:rsid w:val="00D83DF6"/>
    <w:rsid w:val="00D83F07"/>
    <w:rsid w:val="00D83F5E"/>
    <w:rsid w:val="00D83FF9"/>
    <w:rsid w:val="00D84008"/>
    <w:rsid w:val="00D84191"/>
    <w:rsid w:val="00D8420E"/>
    <w:rsid w:val="00D84374"/>
    <w:rsid w:val="00D84435"/>
    <w:rsid w:val="00D84509"/>
    <w:rsid w:val="00D8459F"/>
    <w:rsid w:val="00D845DB"/>
    <w:rsid w:val="00D84817"/>
    <w:rsid w:val="00D8496E"/>
    <w:rsid w:val="00D849BC"/>
    <w:rsid w:val="00D84A03"/>
    <w:rsid w:val="00D84AAE"/>
    <w:rsid w:val="00D84C38"/>
    <w:rsid w:val="00D84C7C"/>
    <w:rsid w:val="00D84DF7"/>
    <w:rsid w:val="00D84EB4"/>
    <w:rsid w:val="00D84F2F"/>
    <w:rsid w:val="00D850D0"/>
    <w:rsid w:val="00D8517B"/>
    <w:rsid w:val="00D85314"/>
    <w:rsid w:val="00D853DE"/>
    <w:rsid w:val="00D854E9"/>
    <w:rsid w:val="00D855DD"/>
    <w:rsid w:val="00D855F4"/>
    <w:rsid w:val="00D856FC"/>
    <w:rsid w:val="00D85756"/>
    <w:rsid w:val="00D859D1"/>
    <w:rsid w:val="00D85A4D"/>
    <w:rsid w:val="00D85B62"/>
    <w:rsid w:val="00D85C29"/>
    <w:rsid w:val="00D85CEE"/>
    <w:rsid w:val="00D85E06"/>
    <w:rsid w:val="00D860BB"/>
    <w:rsid w:val="00D860D7"/>
    <w:rsid w:val="00D86274"/>
    <w:rsid w:val="00D862BD"/>
    <w:rsid w:val="00D865D5"/>
    <w:rsid w:val="00D8672F"/>
    <w:rsid w:val="00D86825"/>
    <w:rsid w:val="00D86983"/>
    <w:rsid w:val="00D86986"/>
    <w:rsid w:val="00D86A6E"/>
    <w:rsid w:val="00D86AAF"/>
    <w:rsid w:val="00D86B05"/>
    <w:rsid w:val="00D86C57"/>
    <w:rsid w:val="00D872A3"/>
    <w:rsid w:val="00D872DA"/>
    <w:rsid w:val="00D87361"/>
    <w:rsid w:val="00D87385"/>
    <w:rsid w:val="00D87402"/>
    <w:rsid w:val="00D87492"/>
    <w:rsid w:val="00D874A1"/>
    <w:rsid w:val="00D87521"/>
    <w:rsid w:val="00D87598"/>
    <w:rsid w:val="00D87638"/>
    <w:rsid w:val="00D87645"/>
    <w:rsid w:val="00D8769A"/>
    <w:rsid w:val="00D878D5"/>
    <w:rsid w:val="00D878DE"/>
    <w:rsid w:val="00D8795A"/>
    <w:rsid w:val="00D87A57"/>
    <w:rsid w:val="00D87B4A"/>
    <w:rsid w:val="00D87B4C"/>
    <w:rsid w:val="00D87C52"/>
    <w:rsid w:val="00D87D68"/>
    <w:rsid w:val="00D87D7C"/>
    <w:rsid w:val="00D87DAB"/>
    <w:rsid w:val="00D87E2B"/>
    <w:rsid w:val="00D87E56"/>
    <w:rsid w:val="00D87EA7"/>
    <w:rsid w:val="00D87EC9"/>
    <w:rsid w:val="00D87F80"/>
    <w:rsid w:val="00D87FEA"/>
    <w:rsid w:val="00D90045"/>
    <w:rsid w:val="00D90053"/>
    <w:rsid w:val="00D900E4"/>
    <w:rsid w:val="00D901F4"/>
    <w:rsid w:val="00D90258"/>
    <w:rsid w:val="00D90469"/>
    <w:rsid w:val="00D904EB"/>
    <w:rsid w:val="00D9054C"/>
    <w:rsid w:val="00D90610"/>
    <w:rsid w:val="00D90779"/>
    <w:rsid w:val="00D9077B"/>
    <w:rsid w:val="00D907ED"/>
    <w:rsid w:val="00D90877"/>
    <w:rsid w:val="00D908F5"/>
    <w:rsid w:val="00D9092B"/>
    <w:rsid w:val="00D909D9"/>
    <w:rsid w:val="00D90BCA"/>
    <w:rsid w:val="00D90C23"/>
    <w:rsid w:val="00D90C24"/>
    <w:rsid w:val="00D90C80"/>
    <w:rsid w:val="00D90CEA"/>
    <w:rsid w:val="00D90D61"/>
    <w:rsid w:val="00D90DBE"/>
    <w:rsid w:val="00D90EFE"/>
    <w:rsid w:val="00D90F05"/>
    <w:rsid w:val="00D91058"/>
    <w:rsid w:val="00D91107"/>
    <w:rsid w:val="00D91443"/>
    <w:rsid w:val="00D914A0"/>
    <w:rsid w:val="00D9156F"/>
    <w:rsid w:val="00D9159A"/>
    <w:rsid w:val="00D91610"/>
    <w:rsid w:val="00D91836"/>
    <w:rsid w:val="00D91846"/>
    <w:rsid w:val="00D9198C"/>
    <w:rsid w:val="00D91A0E"/>
    <w:rsid w:val="00D91A5B"/>
    <w:rsid w:val="00D91CFE"/>
    <w:rsid w:val="00D91E83"/>
    <w:rsid w:val="00D91F26"/>
    <w:rsid w:val="00D91FAE"/>
    <w:rsid w:val="00D921B5"/>
    <w:rsid w:val="00D921F4"/>
    <w:rsid w:val="00D922D6"/>
    <w:rsid w:val="00D92377"/>
    <w:rsid w:val="00D92425"/>
    <w:rsid w:val="00D9252B"/>
    <w:rsid w:val="00D9264C"/>
    <w:rsid w:val="00D92894"/>
    <w:rsid w:val="00D92898"/>
    <w:rsid w:val="00D929A7"/>
    <w:rsid w:val="00D92CB3"/>
    <w:rsid w:val="00D92DDA"/>
    <w:rsid w:val="00D92F66"/>
    <w:rsid w:val="00D92F9B"/>
    <w:rsid w:val="00D92FB3"/>
    <w:rsid w:val="00D93013"/>
    <w:rsid w:val="00D9303F"/>
    <w:rsid w:val="00D9307A"/>
    <w:rsid w:val="00D93376"/>
    <w:rsid w:val="00D9342B"/>
    <w:rsid w:val="00D934A4"/>
    <w:rsid w:val="00D9358F"/>
    <w:rsid w:val="00D935A7"/>
    <w:rsid w:val="00D93636"/>
    <w:rsid w:val="00D93714"/>
    <w:rsid w:val="00D93725"/>
    <w:rsid w:val="00D9372C"/>
    <w:rsid w:val="00D93815"/>
    <w:rsid w:val="00D9389A"/>
    <w:rsid w:val="00D93945"/>
    <w:rsid w:val="00D93BB8"/>
    <w:rsid w:val="00D93C0B"/>
    <w:rsid w:val="00D93C6F"/>
    <w:rsid w:val="00D93D54"/>
    <w:rsid w:val="00D93F3C"/>
    <w:rsid w:val="00D93F71"/>
    <w:rsid w:val="00D940C5"/>
    <w:rsid w:val="00D9436E"/>
    <w:rsid w:val="00D94406"/>
    <w:rsid w:val="00D946E0"/>
    <w:rsid w:val="00D94741"/>
    <w:rsid w:val="00D947EB"/>
    <w:rsid w:val="00D947F2"/>
    <w:rsid w:val="00D94843"/>
    <w:rsid w:val="00D948E0"/>
    <w:rsid w:val="00D94986"/>
    <w:rsid w:val="00D94A0C"/>
    <w:rsid w:val="00D94A56"/>
    <w:rsid w:val="00D94C40"/>
    <w:rsid w:val="00D94D68"/>
    <w:rsid w:val="00D94E64"/>
    <w:rsid w:val="00D94E6A"/>
    <w:rsid w:val="00D94F65"/>
    <w:rsid w:val="00D95054"/>
    <w:rsid w:val="00D951D3"/>
    <w:rsid w:val="00D95284"/>
    <w:rsid w:val="00D952AE"/>
    <w:rsid w:val="00D952CD"/>
    <w:rsid w:val="00D95487"/>
    <w:rsid w:val="00D9554D"/>
    <w:rsid w:val="00D955A4"/>
    <w:rsid w:val="00D95671"/>
    <w:rsid w:val="00D957C8"/>
    <w:rsid w:val="00D959FA"/>
    <w:rsid w:val="00D95A12"/>
    <w:rsid w:val="00D95A53"/>
    <w:rsid w:val="00D95AE9"/>
    <w:rsid w:val="00D95BF8"/>
    <w:rsid w:val="00D95CED"/>
    <w:rsid w:val="00D95E0A"/>
    <w:rsid w:val="00D95F32"/>
    <w:rsid w:val="00D95F99"/>
    <w:rsid w:val="00D9604B"/>
    <w:rsid w:val="00D96181"/>
    <w:rsid w:val="00D9627C"/>
    <w:rsid w:val="00D962B4"/>
    <w:rsid w:val="00D964A8"/>
    <w:rsid w:val="00D964B2"/>
    <w:rsid w:val="00D96530"/>
    <w:rsid w:val="00D9662C"/>
    <w:rsid w:val="00D966D1"/>
    <w:rsid w:val="00D96797"/>
    <w:rsid w:val="00D967EB"/>
    <w:rsid w:val="00D96AA8"/>
    <w:rsid w:val="00D96B94"/>
    <w:rsid w:val="00D96BE4"/>
    <w:rsid w:val="00D96D02"/>
    <w:rsid w:val="00D96E0A"/>
    <w:rsid w:val="00D96E6C"/>
    <w:rsid w:val="00D96EC7"/>
    <w:rsid w:val="00D96F64"/>
    <w:rsid w:val="00D96FAD"/>
    <w:rsid w:val="00D97024"/>
    <w:rsid w:val="00D97250"/>
    <w:rsid w:val="00D972A5"/>
    <w:rsid w:val="00D9735C"/>
    <w:rsid w:val="00D974F0"/>
    <w:rsid w:val="00D974F2"/>
    <w:rsid w:val="00D97518"/>
    <w:rsid w:val="00D97701"/>
    <w:rsid w:val="00D97741"/>
    <w:rsid w:val="00D977AB"/>
    <w:rsid w:val="00D977CB"/>
    <w:rsid w:val="00D97818"/>
    <w:rsid w:val="00D97A96"/>
    <w:rsid w:val="00D97AEF"/>
    <w:rsid w:val="00D97D70"/>
    <w:rsid w:val="00D97D8F"/>
    <w:rsid w:val="00D97F05"/>
    <w:rsid w:val="00D97F0E"/>
    <w:rsid w:val="00D97F59"/>
    <w:rsid w:val="00DA021D"/>
    <w:rsid w:val="00DA02A5"/>
    <w:rsid w:val="00DA03A5"/>
    <w:rsid w:val="00DA05DF"/>
    <w:rsid w:val="00DA068D"/>
    <w:rsid w:val="00DA0916"/>
    <w:rsid w:val="00DA0A72"/>
    <w:rsid w:val="00DA0A8C"/>
    <w:rsid w:val="00DA0BA6"/>
    <w:rsid w:val="00DA0CB8"/>
    <w:rsid w:val="00DA0D8C"/>
    <w:rsid w:val="00DA0DCA"/>
    <w:rsid w:val="00DA0E03"/>
    <w:rsid w:val="00DA0E16"/>
    <w:rsid w:val="00DA0FC1"/>
    <w:rsid w:val="00DA1082"/>
    <w:rsid w:val="00DA127D"/>
    <w:rsid w:val="00DA13B0"/>
    <w:rsid w:val="00DA13B6"/>
    <w:rsid w:val="00DA16A8"/>
    <w:rsid w:val="00DA16CF"/>
    <w:rsid w:val="00DA1708"/>
    <w:rsid w:val="00DA171C"/>
    <w:rsid w:val="00DA18FC"/>
    <w:rsid w:val="00DA1C55"/>
    <w:rsid w:val="00DA1CE8"/>
    <w:rsid w:val="00DA1EB0"/>
    <w:rsid w:val="00DA2067"/>
    <w:rsid w:val="00DA20B1"/>
    <w:rsid w:val="00DA22B2"/>
    <w:rsid w:val="00DA2348"/>
    <w:rsid w:val="00DA23BE"/>
    <w:rsid w:val="00DA2634"/>
    <w:rsid w:val="00DA267C"/>
    <w:rsid w:val="00DA26B9"/>
    <w:rsid w:val="00DA271F"/>
    <w:rsid w:val="00DA27C7"/>
    <w:rsid w:val="00DA285E"/>
    <w:rsid w:val="00DA298D"/>
    <w:rsid w:val="00DA2AE8"/>
    <w:rsid w:val="00DA2C9C"/>
    <w:rsid w:val="00DA2CAE"/>
    <w:rsid w:val="00DA2D63"/>
    <w:rsid w:val="00DA2F0E"/>
    <w:rsid w:val="00DA2F21"/>
    <w:rsid w:val="00DA2F66"/>
    <w:rsid w:val="00DA2FDA"/>
    <w:rsid w:val="00DA3013"/>
    <w:rsid w:val="00DA3036"/>
    <w:rsid w:val="00DA30BD"/>
    <w:rsid w:val="00DA31BB"/>
    <w:rsid w:val="00DA31BE"/>
    <w:rsid w:val="00DA3340"/>
    <w:rsid w:val="00DA340A"/>
    <w:rsid w:val="00DA34BB"/>
    <w:rsid w:val="00DA34EE"/>
    <w:rsid w:val="00DA3702"/>
    <w:rsid w:val="00DA380C"/>
    <w:rsid w:val="00DA3A2A"/>
    <w:rsid w:val="00DA3A9D"/>
    <w:rsid w:val="00DA3C17"/>
    <w:rsid w:val="00DA3D89"/>
    <w:rsid w:val="00DA404E"/>
    <w:rsid w:val="00DA4085"/>
    <w:rsid w:val="00DA419B"/>
    <w:rsid w:val="00DA44A2"/>
    <w:rsid w:val="00DA44C1"/>
    <w:rsid w:val="00DA48C9"/>
    <w:rsid w:val="00DA48E5"/>
    <w:rsid w:val="00DA493B"/>
    <w:rsid w:val="00DA49F3"/>
    <w:rsid w:val="00DA4A38"/>
    <w:rsid w:val="00DA4B1A"/>
    <w:rsid w:val="00DA4B31"/>
    <w:rsid w:val="00DA4BD1"/>
    <w:rsid w:val="00DA4C0C"/>
    <w:rsid w:val="00DA4C49"/>
    <w:rsid w:val="00DA4C4E"/>
    <w:rsid w:val="00DA4CEE"/>
    <w:rsid w:val="00DA4D8F"/>
    <w:rsid w:val="00DA4F56"/>
    <w:rsid w:val="00DA501F"/>
    <w:rsid w:val="00DA5121"/>
    <w:rsid w:val="00DA514E"/>
    <w:rsid w:val="00DA516E"/>
    <w:rsid w:val="00DA52A4"/>
    <w:rsid w:val="00DA5330"/>
    <w:rsid w:val="00DA53F2"/>
    <w:rsid w:val="00DA5424"/>
    <w:rsid w:val="00DA5862"/>
    <w:rsid w:val="00DA58C3"/>
    <w:rsid w:val="00DA597D"/>
    <w:rsid w:val="00DA5E78"/>
    <w:rsid w:val="00DA5F08"/>
    <w:rsid w:val="00DA60CE"/>
    <w:rsid w:val="00DA61A7"/>
    <w:rsid w:val="00DA6284"/>
    <w:rsid w:val="00DA629B"/>
    <w:rsid w:val="00DA62BC"/>
    <w:rsid w:val="00DA631F"/>
    <w:rsid w:val="00DA6344"/>
    <w:rsid w:val="00DA63EF"/>
    <w:rsid w:val="00DA654D"/>
    <w:rsid w:val="00DA6599"/>
    <w:rsid w:val="00DA65BF"/>
    <w:rsid w:val="00DA669C"/>
    <w:rsid w:val="00DA682E"/>
    <w:rsid w:val="00DA68F7"/>
    <w:rsid w:val="00DA6A4B"/>
    <w:rsid w:val="00DA6B5C"/>
    <w:rsid w:val="00DA6C51"/>
    <w:rsid w:val="00DA6E90"/>
    <w:rsid w:val="00DA6E92"/>
    <w:rsid w:val="00DA71E1"/>
    <w:rsid w:val="00DA742C"/>
    <w:rsid w:val="00DA7576"/>
    <w:rsid w:val="00DA75A6"/>
    <w:rsid w:val="00DA76E1"/>
    <w:rsid w:val="00DA772E"/>
    <w:rsid w:val="00DA7817"/>
    <w:rsid w:val="00DA7828"/>
    <w:rsid w:val="00DA7834"/>
    <w:rsid w:val="00DA7837"/>
    <w:rsid w:val="00DA78E2"/>
    <w:rsid w:val="00DA79BC"/>
    <w:rsid w:val="00DA79D1"/>
    <w:rsid w:val="00DA7FD1"/>
    <w:rsid w:val="00DB0026"/>
    <w:rsid w:val="00DB002C"/>
    <w:rsid w:val="00DB011E"/>
    <w:rsid w:val="00DB01DF"/>
    <w:rsid w:val="00DB025E"/>
    <w:rsid w:val="00DB02BC"/>
    <w:rsid w:val="00DB02C7"/>
    <w:rsid w:val="00DB0622"/>
    <w:rsid w:val="00DB06A1"/>
    <w:rsid w:val="00DB0796"/>
    <w:rsid w:val="00DB099E"/>
    <w:rsid w:val="00DB0A01"/>
    <w:rsid w:val="00DB0ACD"/>
    <w:rsid w:val="00DB0B39"/>
    <w:rsid w:val="00DB0B4C"/>
    <w:rsid w:val="00DB0C6C"/>
    <w:rsid w:val="00DB0C8D"/>
    <w:rsid w:val="00DB0DFB"/>
    <w:rsid w:val="00DB0E3C"/>
    <w:rsid w:val="00DB0EEB"/>
    <w:rsid w:val="00DB0F02"/>
    <w:rsid w:val="00DB0F0C"/>
    <w:rsid w:val="00DB0F23"/>
    <w:rsid w:val="00DB0FAC"/>
    <w:rsid w:val="00DB0FDD"/>
    <w:rsid w:val="00DB11B7"/>
    <w:rsid w:val="00DB1248"/>
    <w:rsid w:val="00DB1329"/>
    <w:rsid w:val="00DB134C"/>
    <w:rsid w:val="00DB1379"/>
    <w:rsid w:val="00DB13D5"/>
    <w:rsid w:val="00DB1556"/>
    <w:rsid w:val="00DB1586"/>
    <w:rsid w:val="00DB169E"/>
    <w:rsid w:val="00DB1823"/>
    <w:rsid w:val="00DB1894"/>
    <w:rsid w:val="00DB1A8A"/>
    <w:rsid w:val="00DB1AF2"/>
    <w:rsid w:val="00DB1BD0"/>
    <w:rsid w:val="00DB1CDE"/>
    <w:rsid w:val="00DB1DD0"/>
    <w:rsid w:val="00DB1E7D"/>
    <w:rsid w:val="00DB1FCA"/>
    <w:rsid w:val="00DB20D4"/>
    <w:rsid w:val="00DB2130"/>
    <w:rsid w:val="00DB22D6"/>
    <w:rsid w:val="00DB2370"/>
    <w:rsid w:val="00DB240A"/>
    <w:rsid w:val="00DB253A"/>
    <w:rsid w:val="00DB2680"/>
    <w:rsid w:val="00DB269F"/>
    <w:rsid w:val="00DB26D5"/>
    <w:rsid w:val="00DB2876"/>
    <w:rsid w:val="00DB30D7"/>
    <w:rsid w:val="00DB310B"/>
    <w:rsid w:val="00DB31E6"/>
    <w:rsid w:val="00DB32E3"/>
    <w:rsid w:val="00DB33B6"/>
    <w:rsid w:val="00DB33D9"/>
    <w:rsid w:val="00DB34D3"/>
    <w:rsid w:val="00DB37B6"/>
    <w:rsid w:val="00DB39D2"/>
    <w:rsid w:val="00DB3A9E"/>
    <w:rsid w:val="00DB3BE8"/>
    <w:rsid w:val="00DB3C9E"/>
    <w:rsid w:val="00DB3CB9"/>
    <w:rsid w:val="00DB3DF3"/>
    <w:rsid w:val="00DB3E89"/>
    <w:rsid w:val="00DB3ECA"/>
    <w:rsid w:val="00DB3F89"/>
    <w:rsid w:val="00DB407F"/>
    <w:rsid w:val="00DB40CF"/>
    <w:rsid w:val="00DB41EF"/>
    <w:rsid w:val="00DB41F3"/>
    <w:rsid w:val="00DB4369"/>
    <w:rsid w:val="00DB437A"/>
    <w:rsid w:val="00DB44C0"/>
    <w:rsid w:val="00DB45D8"/>
    <w:rsid w:val="00DB4630"/>
    <w:rsid w:val="00DB464D"/>
    <w:rsid w:val="00DB4671"/>
    <w:rsid w:val="00DB4B00"/>
    <w:rsid w:val="00DB4B1B"/>
    <w:rsid w:val="00DB4C89"/>
    <w:rsid w:val="00DB4CD7"/>
    <w:rsid w:val="00DB4DB2"/>
    <w:rsid w:val="00DB4F6B"/>
    <w:rsid w:val="00DB5135"/>
    <w:rsid w:val="00DB51C0"/>
    <w:rsid w:val="00DB5423"/>
    <w:rsid w:val="00DB54DD"/>
    <w:rsid w:val="00DB55AB"/>
    <w:rsid w:val="00DB55B9"/>
    <w:rsid w:val="00DB5634"/>
    <w:rsid w:val="00DB56A8"/>
    <w:rsid w:val="00DB5815"/>
    <w:rsid w:val="00DB5A27"/>
    <w:rsid w:val="00DB5AFE"/>
    <w:rsid w:val="00DB5B4B"/>
    <w:rsid w:val="00DB5BB0"/>
    <w:rsid w:val="00DB5C14"/>
    <w:rsid w:val="00DB5C3F"/>
    <w:rsid w:val="00DB5CB7"/>
    <w:rsid w:val="00DB5D3C"/>
    <w:rsid w:val="00DB5DFE"/>
    <w:rsid w:val="00DB5E5D"/>
    <w:rsid w:val="00DB5EC5"/>
    <w:rsid w:val="00DB5EE2"/>
    <w:rsid w:val="00DB5F37"/>
    <w:rsid w:val="00DB60F1"/>
    <w:rsid w:val="00DB6235"/>
    <w:rsid w:val="00DB62C9"/>
    <w:rsid w:val="00DB62E9"/>
    <w:rsid w:val="00DB62F5"/>
    <w:rsid w:val="00DB636B"/>
    <w:rsid w:val="00DB6426"/>
    <w:rsid w:val="00DB64B1"/>
    <w:rsid w:val="00DB6672"/>
    <w:rsid w:val="00DB66C6"/>
    <w:rsid w:val="00DB67AD"/>
    <w:rsid w:val="00DB67FA"/>
    <w:rsid w:val="00DB691D"/>
    <w:rsid w:val="00DB6A1A"/>
    <w:rsid w:val="00DB6A75"/>
    <w:rsid w:val="00DB6B38"/>
    <w:rsid w:val="00DB6B4D"/>
    <w:rsid w:val="00DB6E57"/>
    <w:rsid w:val="00DB6E78"/>
    <w:rsid w:val="00DB6E89"/>
    <w:rsid w:val="00DB6F90"/>
    <w:rsid w:val="00DB6FE8"/>
    <w:rsid w:val="00DB70DE"/>
    <w:rsid w:val="00DB72AE"/>
    <w:rsid w:val="00DB7368"/>
    <w:rsid w:val="00DB73CB"/>
    <w:rsid w:val="00DB73F4"/>
    <w:rsid w:val="00DB74DA"/>
    <w:rsid w:val="00DB7532"/>
    <w:rsid w:val="00DB7612"/>
    <w:rsid w:val="00DB7650"/>
    <w:rsid w:val="00DB7653"/>
    <w:rsid w:val="00DB7743"/>
    <w:rsid w:val="00DB785F"/>
    <w:rsid w:val="00DB78C7"/>
    <w:rsid w:val="00DB7A86"/>
    <w:rsid w:val="00DB7B92"/>
    <w:rsid w:val="00DB7C2D"/>
    <w:rsid w:val="00DB7E32"/>
    <w:rsid w:val="00DB7F34"/>
    <w:rsid w:val="00DB7FAF"/>
    <w:rsid w:val="00DB7FF5"/>
    <w:rsid w:val="00DC002F"/>
    <w:rsid w:val="00DC00D6"/>
    <w:rsid w:val="00DC0141"/>
    <w:rsid w:val="00DC0180"/>
    <w:rsid w:val="00DC01D4"/>
    <w:rsid w:val="00DC0230"/>
    <w:rsid w:val="00DC03F8"/>
    <w:rsid w:val="00DC05E1"/>
    <w:rsid w:val="00DC0685"/>
    <w:rsid w:val="00DC06AA"/>
    <w:rsid w:val="00DC06C5"/>
    <w:rsid w:val="00DC06FB"/>
    <w:rsid w:val="00DC0858"/>
    <w:rsid w:val="00DC08DE"/>
    <w:rsid w:val="00DC098D"/>
    <w:rsid w:val="00DC0AA4"/>
    <w:rsid w:val="00DC0ADD"/>
    <w:rsid w:val="00DC0BEC"/>
    <w:rsid w:val="00DC0C8A"/>
    <w:rsid w:val="00DC0C96"/>
    <w:rsid w:val="00DC0D4C"/>
    <w:rsid w:val="00DC0E61"/>
    <w:rsid w:val="00DC0F72"/>
    <w:rsid w:val="00DC10DC"/>
    <w:rsid w:val="00DC127F"/>
    <w:rsid w:val="00DC12CD"/>
    <w:rsid w:val="00DC13EF"/>
    <w:rsid w:val="00DC1630"/>
    <w:rsid w:val="00DC16B5"/>
    <w:rsid w:val="00DC183C"/>
    <w:rsid w:val="00DC18E9"/>
    <w:rsid w:val="00DC1A41"/>
    <w:rsid w:val="00DC1B71"/>
    <w:rsid w:val="00DC1BAB"/>
    <w:rsid w:val="00DC1C07"/>
    <w:rsid w:val="00DC1D2D"/>
    <w:rsid w:val="00DC1E9F"/>
    <w:rsid w:val="00DC1EE4"/>
    <w:rsid w:val="00DC1EEB"/>
    <w:rsid w:val="00DC1FD8"/>
    <w:rsid w:val="00DC1FDE"/>
    <w:rsid w:val="00DC2181"/>
    <w:rsid w:val="00DC238D"/>
    <w:rsid w:val="00DC250A"/>
    <w:rsid w:val="00DC2562"/>
    <w:rsid w:val="00DC2573"/>
    <w:rsid w:val="00DC26E3"/>
    <w:rsid w:val="00DC270B"/>
    <w:rsid w:val="00DC2937"/>
    <w:rsid w:val="00DC29E8"/>
    <w:rsid w:val="00DC2A03"/>
    <w:rsid w:val="00DC2B1F"/>
    <w:rsid w:val="00DC2C18"/>
    <w:rsid w:val="00DC2F9F"/>
    <w:rsid w:val="00DC2FA8"/>
    <w:rsid w:val="00DC3173"/>
    <w:rsid w:val="00DC338E"/>
    <w:rsid w:val="00DC356C"/>
    <w:rsid w:val="00DC3629"/>
    <w:rsid w:val="00DC36B3"/>
    <w:rsid w:val="00DC36BF"/>
    <w:rsid w:val="00DC3714"/>
    <w:rsid w:val="00DC3778"/>
    <w:rsid w:val="00DC3845"/>
    <w:rsid w:val="00DC3873"/>
    <w:rsid w:val="00DC38F2"/>
    <w:rsid w:val="00DC3955"/>
    <w:rsid w:val="00DC3995"/>
    <w:rsid w:val="00DC3A66"/>
    <w:rsid w:val="00DC3AFB"/>
    <w:rsid w:val="00DC3BE8"/>
    <w:rsid w:val="00DC3C09"/>
    <w:rsid w:val="00DC3C1E"/>
    <w:rsid w:val="00DC4045"/>
    <w:rsid w:val="00DC4087"/>
    <w:rsid w:val="00DC4100"/>
    <w:rsid w:val="00DC428F"/>
    <w:rsid w:val="00DC42CF"/>
    <w:rsid w:val="00DC4319"/>
    <w:rsid w:val="00DC4366"/>
    <w:rsid w:val="00DC438D"/>
    <w:rsid w:val="00DC43D5"/>
    <w:rsid w:val="00DC441D"/>
    <w:rsid w:val="00DC447C"/>
    <w:rsid w:val="00DC46C7"/>
    <w:rsid w:val="00DC46F4"/>
    <w:rsid w:val="00DC47F3"/>
    <w:rsid w:val="00DC4904"/>
    <w:rsid w:val="00DC492E"/>
    <w:rsid w:val="00DC49AA"/>
    <w:rsid w:val="00DC4A27"/>
    <w:rsid w:val="00DC4AC1"/>
    <w:rsid w:val="00DC4B5D"/>
    <w:rsid w:val="00DC4C4D"/>
    <w:rsid w:val="00DC4C7F"/>
    <w:rsid w:val="00DC4D23"/>
    <w:rsid w:val="00DC5436"/>
    <w:rsid w:val="00DC558A"/>
    <w:rsid w:val="00DC5595"/>
    <w:rsid w:val="00DC55BF"/>
    <w:rsid w:val="00DC57B2"/>
    <w:rsid w:val="00DC581A"/>
    <w:rsid w:val="00DC584A"/>
    <w:rsid w:val="00DC58E5"/>
    <w:rsid w:val="00DC5939"/>
    <w:rsid w:val="00DC5A91"/>
    <w:rsid w:val="00DC5AB4"/>
    <w:rsid w:val="00DC5AB6"/>
    <w:rsid w:val="00DC5B52"/>
    <w:rsid w:val="00DC5DA5"/>
    <w:rsid w:val="00DC5DB0"/>
    <w:rsid w:val="00DC5F01"/>
    <w:rsid w:val="00DC5FC6"/>
    <w:rsid w:val="00DC6000"/>
    <w:rsid w:val="00DC623E"/>
    <w:rsid w:val="00DC6326"/>
    <w:rsid w:val="00DC63B1"/>
    <w:rsid w:val="00DC63F8"/>
    <w:rsid w:val="00DC63FF"/>
    <w:rsid w:val="00DC6493"/>
    <w:rsid w:val="00DC64A3"/>
    <w:rsid w:val="00DC66C1"/>
    <w:rsid w:val="00DC673F"/>
    <w:rsid w:val="00DC6A17"/>
    <w:rsid w:val="00DC6A8B"/>
    <w:rsid w:val="00DC6B9B"/>
    <w:rsid w:val="00DC6C69"/>
    <w:rsid w:val="00DC6C99"/>
    <w:rsid w:val="00DC6D7E"/>
    <w:rsid w:val="00DC7039"/>
    <w:rsid w:val="00DC7073"/>
    <w:rsid w:val="00DC70F5"/>
    <w:rsid w:val="00DC721B"/>
    <w:rsid w:val="00DC7312"/>
    <w:rsid w:val="00DC7338"/>
    <w:rsid w:val="00DC7374"/>
    <w:rsid w:val="00DC74AE"/>
    <w:rsid w:val="00DC74D9"/>
    <w:rsid w:val="00DC74E1"/>
    <w:rsid w:val="00DC7860"/>
    <w:rsid w:val="00DC78B8"/>
    <w:rsid w:val="00DC7956"/>
    <w:rsid w:val="00DC7A01"/>
    <w:rsid w:val="00DC7A02"/>
    <w:rsid w:val="00DC7AAB"/>
    <w:rsid w:val="00DC7B10"/>
    <w:rsid w:val="00DC7B18"/>
    <w:rsid w:val="00DC7C1E"/>
    <w:rsid w:val="00DC7D7B"/>
    <w:rsid w:val="00DC7E78"/>
    <w:rsid w:val="00DC7F0B"/>
    <w:rsid w:val="00DC7F1A"/>
    <w:rsid w:val="00DC7F40"/>
    <w:rsid w:val="00DC7FED"/>
    <w:rsid w:val="00DC89C2"/>
    <w:rsid w:val="00DD002F"/>
    <w:rsid w:val="00DD01B5"/>
    <w:rsid w:val="00DD0259"/>
    <w:rsid w:val="00DD02F1"/>
    <w:rsid w:val="00DD0336"/>
    <w:rsid w:val="00DD03C9"/>
    <w:rsid w:val="00DD04C6"/>
    <w:rsid w:val="00DD0543"/>
    <w:rsid w:val="00DD0576"/>
    <w:rsid w:val="00DD05AE"/>
    <w:rsid w:val="00DD064C"/>
    <w:rsid w:val="00DD06B8"/>
    <w:rsid w:val="00DD072E"/>
    <w:rsid w:val="00DD0746"/>
    <w:rsid w:val="00DD078F"/>
    <w:rsid w:val="00DD07F5"/>
    <w:rsid w:val="00DD084F"/>
    <w:rsid w:val="00DD0951"/>
    <w:rsid w:val="00DD0A0B"/>
    <w:rsid w:val="00DD0AC8"/>
    <w:rsid w:val="00DD0BFE"/>
    <w:rsid w:val="00DD0CA9"/>
    <w:rsid w:val="00DD0DD3"/>
    <w:rsid w:val="00DD0F56"/>
    <w:rsid w:val="00DD0F63"/>
    <w:rsid w:val="00DD0F79"/>
    <w:rsid w:val="00DD0FD4"/>
    <w:rsid w:val="00DD10C4"/>
    <w:rsid w:val="00DD121F"/>
    <w:rsid w:val="00DD12EC"/>
    <w:rsid w:val="00DD1315"/>
    <w:rsid w:val="00DD1539"/>
    <w:rsid w:val="00DD15EF"/>
    <w:rsid w:val="00DD166A"/>
    <w:rsid w:val="00DD1910"/>
    <w:rsid w:val="00DD1BDD"/>
    <w:rsid w:val="00DD1C00"/>
    <w:rsid w:val="00DD1C0B"/>
    <w:rsid w:val="00DD1C1B"/>
    <w:rsid w:val="00DD1C8B"/>
    <w:rsid w:val="00DD1DA9"/>
    <w:rsid w:val="00DD1DDB"/>
    <w:rsid w:val="00DD1E99"/>
    <w:rsid w:val="00DD1EA6"/>
    <w:rsid w:val="00DD1ED7"/>
    <w:rsid w:val="00DD1F91"/>
    <w:rsid w:val="00DD1F99"/>
    <w:rsid w:val="00DD2301"/>
    <w:rsid w:val="00DD234A"/>
    <w:rsid w:val="00DD235E"/>
    <w:rsid w:val="00DD2449"/>
    <w:rsid w:val="00DD24B7"/>
    <w:rsid w:val="00DD2576"/>
    <w:rsid w:val="00DD26BE"/>
    <w:rsid w:val="00DD26CC"/>
    <w:rsid w:val="00DD26D3"/>
    <w:rsid w:val="00DD26FE"/>
    <w:rsid w:val="00DD27F3"/>
    <w:rsid w:val="00DD29EE"/>
    <w:rsid w:val="00DD2AC3"/>
    <w:rsid w:val="00DD2B14"/>
    <w:rsid w:val="00DD2B4D"/>
    <w:rsid w:val="00DD2BFA"/>
    <w:rsid w:val="00DD2FB4"/>
    <w:rsid w:val="00DD3105"/>
    <w:rsid w:val="00DD318F"/>
    <w:rsid w:val="00DD31E1"/>
    <w:rsid w:val="00DD3360"/>
    <w:rsid w:val="00DD3422"/>
    <w:rsid w:val="00DD3490"/>
    <w:rsid w:val="00DD353E"/>
    <w:rsid w:val="00DD353F"/>
    <w:rsid w:val="00DD3552"/>
    <w:rsid w:val="00DD3604"/>
    <w:rsid w:val="00DD3677"/>
    <w:rsid w:val="00DD367D"/>
    <w:rsid w:val="00DD36D9"/>
    <w:rsid w:val="00DD371C"/>
    <w:rsid w:val="00DD37A2"/>
    <w:rsid w:val="00DD3881"/>
    <w:rsid w:val="00DD38CF"/>
    <w:rsid w:val="00DD3915"/>
    <w:rsid w:val="00DD3BE0"/>
    <w:rsid w:val="00DD3BF5"/>
    <w:rsid w:val="00DD3CF9"/>
    <w:rsid w:val="00DD3D0F"/>
    <w:rsid w:val="00DD3FFC"/>
    <w:rsid w:val="00DD400E"/>
    <w:rsid w:val="00DD403A"/>
    <w:rsid w:val="00DD408C"/>
    <w:rsid w:val="00DD4391"/>
    <w:rsid w:val="00DD43C1"/>
    <w:rsid w:val="00DD44D4"/>
    <w:rsid w:val="00DD4566"/>
    <w:rsid w:val="00DD4603"/>
    <w:rsid w:val="00DD4612"/>
    <w:rsid w:val="00DD466A"/>
    <w:rsid w:val="00DD474E"/>
    <w:rsid w:val="00DD4768"/>
    <w:rsid w:val="00DD480C"/>
    <w:rsid w:val="00DD4E80"/>
    <w:rsid w:val="00DD4FE7"/>
    <w:rsid w:val="00DD5042"/>
    <w:rsid w:val="00DD5196"/>
    <w:rsid w:val="00DD51FB"/>
    <w:rsid w:val="00DD52EC"/>
    <w:rsid w:val="00DD5467"/>
    <w:rsid w:val="00DD5626"/>
    <w:rsid w:val="00DD5714"/>
    <w:rsid w:val="00DD5738"/>
    <w:rsid w:val="00DD583D"/>
    <w:rsid w:val="00DD5867"/>
    <w:rsid w:val="00DD598D"/>
    <w:rsid w:val="00DD5A08"/>
    <w:rsid w:val="00DD5AC1"/>
    <w:rsid w:val="00DD5B80"/>
    <w:rsid w:val="00DD5CAA"/>
    <w:rsid w:val="00DD5CFD"/>
    <w:rsid w:val="00DD5E9D"/>
    <w:rsid w:val="00DD5F37"/>
    <w:rsid w:val="00DD5FD7"/>
    <w:rsid w:val="00DD61E1"/>
    <w:rsid w:val="00DD6292"/>
    <w:rsid w:val="00DD6378"/>
    <w:rsid w:val="00DD64C1"/>
    <w:rsid w:val="00DD651B"/>
    <w:rsid w:val="00DD6569"/>
    <w:rsid w:val="00DD657C"/>
    <w:rsid w:val="00DD670C"/>
    <w:rsid w:val="00DD67C2"/>
    <w:rsid w:val="00DD691B"/>
    <w:rsid w:val="00DD6A41"/>
    <w:rsid w:val="00DD6C6E"/>
    <w:rsid w:val="00DD6C9A"/>
    <w:rsid w:val="00DD7032"/>
    <w:rsid w:val="00DD7153"/>
    <w:rsid w:val="00DD73C8"/>
    <w:rsid w:val="00DD73CB"/>
    <w:rsid w:val="00DD7509"/>
    <w:rsid w:val="00DD7587"/>
    <w:rsid w:val="00DD75AE"/>
    <w:rsid w:val="00DD7AE7"/>
    <w:rsid w:val="00DD7BFF"/>
    <w:rsid w:val="00DD7C3C"/>
    <w:rsid w:val="00DD7D23"/>
    <w:rsid w:val="00DD7DA5"/>
    <w:rsid w:val="00DD7EBC"/>
    <w:rsid w:val="00DE0080"/>
    <w:rsid w:val="00DE00B6"/>
    <w:rsid w:val="00DE00D4"/>
    <w:rsid w:val="00DE016E"/>
    <w:rsid w:val="00DE0277"/>
    <w:rsid w:val="00DE036C"/>
    <w:rsid w:val="00DE0425"/>
    <w:rsid w:val="00DE0502"/>
    <w:rsid w:val="00DE059E"/>
    <w:rsid w:val="00DE077B"/>
    <w:rsid w:val="00DE0A6A"/>
    <w:rsid w:val="00DE0C34"/>
    <w:rsid w:val="00DE0E7A"/>
    <w:rsid w:val="00DE10BB"/>
    <w:rsid w:val="00DE117C"/>
    <w:rsid w:val="00DE1191"/>
    <w:rsid w:val="00DE1253"/>
    <w:rsid w:val="00DE12D6"/>
    <w:rsid w:val="00DE1377"/>
    <w:rsid w:val="00DE1463"/>
    <w:rsid w:val="00DE14CC"/>
    <w:rsid w:val="00DE159E"/>
    <w:rsid w:val="00DE1840"/>
    <w:rsid w:val="00DE1853"/>
    <w:rsid w:val="00DE18D3"/>
    <w:rsid w:val="00DE19E8"/>
    <w:rsid w:val="00DE1A01"/>
    <w:rsid w:val="00DE1A0A"/>
    <w:rsid w:val="00DE1BEC"/>
    <w:rsid w:val="00DE1C08"/>
    <w:rsid w:val="00DE1CB2"/>
    <w:rsid w:val="00DE1DA2"/>
    <w:rsid w:val="00DE1EB6"/>
    <w:rsid w:val="00DE2058"/>
    <w:rsid w:val="00DE22AB"/>
    <w:rsid w:val="00DE236B"/>
    <w:rsid w:val="00DE23A1"/>
    <w:rsid w:val="00DE23F1"/>
    <w:rsid w:val="00DE2416"/>
    <w:rsid w:val="00DE2553"/>
    <w:rsid w:val="00DE27B7"/>
    <w:rsid w:val="00DE2828"/>
    <w:rsid w:val="00DE284D"/>
    <w:rsid w:val="00DE288B"/>
    <w:rsid w:val="00DE29FE"/>
    <w:rsid w:val="00DE2A49"/>
    <w:rsid w:val="00DE2ABE"/>
    <w:rsid w:val="00DE2AD9"/>
    <w:rsid w:val="00DE2BAA"/>
    <w:rsid w:val="00DE2BFD"/>
    <w:rsid w:val="00DE2C6E"/>
    <w:rsid w:val="00DE2D77"/>
    <w:rsid w:val="00DE2DE5"/>
    <w:rsid w:val="00DE2E16"/>
    <w:rsid w:val="00DE2EDD"/>
    <w:rsid w:val="00DE2F0B"/>
    <w:rsid w:val="00DE2F78"/>
    <w:rsid w:val="00DE3158"/>
    <w:rsid w:val="00DE31A9"/>
    <w:rsid w:val="00DE34A5"/>
    <w:rsid w:val="00DE3511"/>
    <w:rsid w:val="00DE3516"/>
    <w:rsid w:val="00DE358B"/>
    <w:rsid w:val="00DE371A"/>
    <w:rsid w:val="00DE38D0"/>
    <w:rsid w:val="00DE38FE"/>
    <w:rsid w:val="00DE3912"/>
    <w:rsid w:val="00DE39A4"/>
    <w:rsid w:val="00DE3B42"/>
    <w:rsid w:val="00DE3B51"/>
    <w:rsid w:val="00DE3B8A"/>
    <w:rsid w:val="00DE3BF8"/>
    <w:rsid w:val="00DE3C9F"/>
    <w:rsid w:val="00DE3D10"/>
    <w:rsid w:val="00DE3D43"/>
    <w:rsid w:val="00DE3EEE"/>
    <w:rsid w:val="00DE404B"/>
    <w:rsid w:val="00DE4293"/>
    <w:rsid w:val="00DE43DC"/>
    <w:rsid w:val="00DE43FF"/>
    <w:rsid w:val="00DE4501"/>
    <w:rsid w:val="00DE475B"/>
    <w:rsid w:val="00DE4783"/>
    <w:rsid w:val="00DE4873"/>
    <w:rsid w:val="00DE4907"/>
    <w:rsid w:val="00DE4975"/>
    <w:rsid w:val="00DE4A86"/>
    <w:rsid w:val="00DE4B0A"/>
    <w:rsid w:val="00DE4BA1"/>
    <w:rsid w:val="00DE4C7F"/>
    <w:rsid w:val="00DE4C82"/>
    <w:rsid w:val="00DE4D69"/>
    <w:rsid w:val="00DE4E01"/>
    <w:rsid w:val="00DE4E09"/>
    <w:rsid w:val="00DE4F1D"/>
    <w:rsid w:val="00DE4F51"/>
    <w:rsid w:val="00DE5230"/>
    <w:rsid w:val="00DE531F"/>
    <w:rsid w:val="00DE532A"/>
    <w:rsid w:val="00DE53DC"/>
    <w:rsid w:val="00DE53EA"/>
    <w:rsid w:val="00DE5434"/>
    <w:rsid w:val="00DE55AA"/>
    <w:rsid w:val="00DE55D1"/>
    <w:rsid w:val="00DE568A"/>
    <w:rsid w:val="00DE57CC"/>
    <w:rsid w:val="00DE57F6"/>
    <w:rsid w:val="00DE58D8"/>
    <w:rsid w:val="00DE5960"/>
    <w:rsid w:val="00DE5A71"/>
    <w:rsid w:val="00DE5B3C"/>
    <w:rsid w:val="00DE5B71"/>
    <w:rsid w:val="00DE5EA5"/>
    <w:rsid w:val="00DE5EC8"/>
    <w:rsid w:val="00DE6081"/>
    <w:rsid w:val="00DE60E0"/>
    <w:rsid w:val="00DE611F"/>
    <w:rsid w:val="00DE6136"/>
    <w:rsid w:val="00DE6273"/>
    <w:rsid w:val="00DE6281"/>
    <w:rsid w:val="00DE62E8"/>
    <w:rsid w:val="00DE6352"/>
    <w:rsid w:val="00DE643C"/>
    <w:rsid w:val="00DE652F"/>
    <w:rsid w:val="00DE685B"/>
    <w:rsid w:val="00DE6A57"/>
    <w:rsid w:val="00DE6BE4"/>
    <w:rsid w:val="00DE6CEB"/>
    <w:rsid w:val="00DE6D15"/>
    <w:rsid w:val="00DE6D8B"/>
    <w:rsid w:val="00DE6E1D"/>
    <w:rsid w:val="00DE6E47"/>
    <w:rsid w:val="00DE6F5B"/>
    <w:rsid w:val="00DE7099"/>
    <w:rsid w:val="00DE70A6"/>
    <w:rsid w:val="00DE72D1"/>
    <w:rsid w:val="00DE73A7"/>
    <w:rsid w:val="00DE73C2"/>
    <w:rsid w:val="00DE73E2"/>
    <w:rsid w:val="00DE746F"/>
    <w:rsid w:val="00DE75AE"/>
    <w:rsid w:val="00DE76EC"/>
    <w:rsid w:val="00DE7786"/>
    <w:rsid w:val="00DE77F2"/>
    <w:rsid w:val="00DE7812"/>
    <w:rsid w:val="00DE78CD"/>
    <w:rsid w:val="00DE7B87"/>
    <w:rsid w:val="00DE7B8A"/>
    <w:rsid w:val="00DE7C22"/>
    <w:rsid w:val="00DE7E8B"/>
    <w:rsid w:val="00DE7EEF"/>
    <w:rsid w:val="00DE7FA8"/>
    <w:rsid w:val="00DF00AB"/>
    <w:rsid w:val="00DF0264"/>
    <w:rsid w:val="00DF02C7"/>
    <w:rsid w:val="00DF04D3"/>
    <w:rsid w:val="00DF0520"/>
    <w:rsid w:val="00DF0588"/>
    <w:rsid w:val="00DF05A0"/>
    <w:rsid w:val="00DF05AA"/>
    <w:rsid w:val="00DF05E0"/>
    <w:rsid w:val="00DF05FA"/>
    <w:rsid w:val="00DF063E"/>
    <w:rsid w:val="00DF091E"/>
    <w:rsid w:val="00DF0B24"/>
    <w:rsid w:val="00DF0C7C"/>
    <w:rsid w:val="00DF0CBF"/>
    <w:rsid w:val="00DF0D80"/>
    <w:rsid w:val="00DF0EBC"/>
    <w:rsid w:val="00DF0F48"/>
    <w:rsid w:val="00DF0F6B"/>
    <w:rsid w:val="00DF0F91"/>
    <w:rsid w:val="00DF1022"/>
    <w:rsid w:val="00DF1152"/>
    <w:rsid w:val="00DF13F2"/>
    <w:rsid w:val="00DF140A"/>
    <w:rsid w:val="00DF1496"/>
    <w:rsid w:val="00DF1512"/>
    <w:rsid w:val="00DF159A"/>
    <w:rsid w:val="00DF15AD"/>
    <w:rsid w:val="00DF16FD"/>
    <w:rsid w:val="00DF1760"/>
    <w:rsid w:val="00DF1764"/>
    <w:rsid w:val="00DF178E"/>
    <w:rsid w:val="00DF18F0"/>
    <w:rsid w:val="00DF19DE"/>
    <w:rsid w:val="00DF19FE"/>
    <w:rsid w:val="00DF1A3A"/>
    <w:rsid w:val="00DF1B05"/>
    <w:rsid w:val="00DF1B2D"/>
    <w:rsid w:val="00DF1B3C"/>
    <w:rsid w:val="00DF1BBE"/>
    <w:rsid w:val="00DF1BF9"/>
    <w:rsid w:val="00DF1CD0"/>
    <w:rsid w:val="00DF1E9D"/>
    <w:rsid w:val="00DF1F06"/>
    <w:rsid w:val="00DF2017"/>
    <w:rsid w:val="00DF201D"/>
    <w:rsid w:val="00DF2085"/>
    <w:rsid w:val="00DF212A"/>
    <w:rsid w:val="00DF216F"/>
    <w:rsid w:val="00DF21DC"/>
    <w:rsid w:val="00DF23AB"/>
    <w:rsid w:val="00DF2807"/>
    <w:rsid w:val="00DF2A96"/>
    <w:rsid w:val="00DF2AEC"/>
    <w:rsid w:val="00DF2B0A"/>
    <w:rsid w:val="00DF2C10"/>
    <w:rsid w:val="00DF2C8B"/>
    <w:rsid w:val="00DF2D4A"/>
    <w:rsid w:val="00DF2EFB"/>
    <w:rsid w:val="00DF325A"/>
    <w:rsid w:val="00DF3311"/>
    <w:rsid w:val="00DF3383"/>
    <w:rsid w:val="00DF3474"/>
    <w:rsid w:val="00DF34E7"/>
    <w:rsid w:val="00DF3570"/>
    <w:rsid w:val="00DF3674"/>
    <w:rsid w:val="00DF387B"/>
    <w:rsid w:val="00DF389E"/>
    <w:rsid w:val="00DF3BF3"/>
    <w:rsid w:val="00DF3C81"/>
    <w:rsid w:val="00DF3CC1"/>
    <w:rsid w:val="00DF3D72"/>
    <w:rsid w:val="00DF3D80"/>
    <w:rsid w:val="00DF3DE5"/>
    <w:rsid w:val="00DF3E6A"/>
    <w:rsid w:val="00DF3F99"/>
    <w:rsid w:val="00DF3FCC"/>
    <w:rsid w:val="00DF4040"/>
    <w:rsid w:val="00DF404D"/>
    <w:rsid w:val="00DF40D8"/>
    <w:rsid w:val="00DF4192"/>
    <w:rsid w:val="00DF4263"/>
    <w:rsid w:val="00DF4449"/>
    <w:rsid w:val="00DF4563"/>
    <w:rsid w:val="00DF46E1"/>
    <w:rsid w:val="00DF4BFF"/>
    <w:rsid w:val="00DF4C90"/>
    <w:rsid w:val="00DF4C9A"/>
    <w:rsid w:val="00DF4D95"/>
    <w:rsid w:val="00DF4E07"/>
    <w:rsid w:val="00DF4EF2"/>
    <w:rsid w:val="00DF4FD4"/>
    <w:rsid w:val="00DF5228"/>
    <w:rsid w:val="00DF5291"/>
    <w:rsid w:val="00DF5425"/>
    <w:rsid w:val="00DF5489"/>
    <w:rsid w:val="00DF5507"/>
    <w:rsid w:val="00DF55B2"/>
    <w:rsid w:val="00DF5671"/>
    <w:rsid w:val="00DF5738"/>
    <w:rsid w:val="00DF5790"/>
    <w:rsid w:val="00DF5796"/>
    <w:rsid w:val="00DF5825"/>
    <w:rsid w:val="00DF5902"/>
    <w:rsid w:val="00DF5909"/>
    <w:rsid w:val="00DF5A0F"/>
    <w:rsid w:val="00DF5A5E"/>
    <w:rsid w:val="00DF5A9D"/>
    <w:rsid w:val="00DF5AD0"/>
    <w:rsid w:val="00DF5C61"/>
    <w:rsid w:val="00DF5C81"/>
    <w:rsid w:val="00DF5C8E"/>
    <w:rsid w:val="00DF5CF6"/>
    <w:rsid w:val="00DF5E58"/>
    <w:rsid w:val="00DF5F9C"/>
    <w:rsid w:val="00DF617F"/>
    <w:rsid w:val="00DF6231"/>
    <w:rsid w:val="00DF6498"/>
    <w:rsid w:val="00DF651D"/>
    <w:rsid w:val="00DF65ED"/>
    <w:rsid w:val="00DF66D5"/>
    <w:rsid w:val="00DF66FD"/>
    <w:rsid w:val="00DF6705"/>
    <w:rsid w:val="00DF67CC"/>
    <w:rsid w:val="00DF67EF"/>
    <w:rsid w:val="00DF68D4"/>
    <w:rsid w:val="00DF6967"/>
    <w:rsid w:val="00DF698E"/>
    <w:rsid w:val="00DF6AA2"/>
    <w:rsid w:val="00DF6B30"/>
    <w:rsid w:val="00DF6B4A"/>
    <w:rsid w:val="00DF6C3C"/>
    <w:rsid w:val="00DF6DEC"/>
    <w:rsid w:val="00DF6E31"/>
    <w:rsid w:val="00DF6EE5"/>
    <w:rsid w:val="00DF6F10"/>
    <w:rsid w:val="00DF6FA6"/>
    <w:rsid w:val="00DF7057"/>
    <w:rsid w:val="00DF7251"/>
    <w:rsid w:val="00DF7370"/>
    <w:rsid w:val="00DF748F"/>
    <w:rsid w:val="00DF768A"/>
    <w:rsid w:val="00DF792E"/>
    <w:rsid w:val="00DF7A06"/>
    <w:rsid w:val="00DF7A11"/>
    <w:rsid w:val="00DF7B1A"/>
    <w:rsid w:val="00DF7BC8"/>
    <w:rsid w:val="00DF7C60"/>
    <w:rsid w:val="00DF7C7A"/>
    <w:rsid w:val="00DF7DAB"/>
    <w:rsid w:val="00DF7F1E"/>
    <w:rsid w:val="00DF7F53"/>
    <w:rsid w:val="00DF7F95"/>
    <w:rsid w:val="00E00052"/>
    <w:rsid w:val="00E0021C"/>
    <w:rsid w:val="00E0022D"/>
    <w:rsid w:val="00E0026A"/>
    <w:rsid w:val="00E002D5"/>
    <w:rsid w:val="00E003AE"/>
    <w:rsid w:val="00E00404"/>
    <w:rsid w:val="00E005B9"/>
    <w:rsid w:val="00E00888"/>
    <w:rsid w:val="00E0089E"/>
    <w:rsid w:val="00E008F4"/>
    <w:rsid w:val="00E0091F"/>
    <w:rsid w:val="00E009E7"/>
    <w:rsid w:val="00E00A9D"/>
    <w:rsid w:val="00E00C7E"/>
    <w:rsid w:val="00E00D89"/>
    <w:rsid w:val="00E00D9E"/>
    <w:rsid w:val="00E00E20"/>
    <w:rsid w:val="00E00E9E"/>
    <w:rsid w:val="00E00FC7"/>
    <w:rsid w:val="00E01285"/>
    <w:rsid w:val="00E01347"/>
    <w:rsid w:val="00E0152D"/>
    <w:rsid w:val="00E01563"/>
    <w:rsid w:val="00E01580"/>
    <w:rsid w:val="00E01650"/>
    <w:rsid w:val="00E01708"/>
    <w:rsid w:val="00E018C5"/>
    <w:rsid w:val="00E019BC"/>
    <w:rsid w:val="00E01A27"/>
    <w:rsid w:val="00E01A7E"/>
    <w:rsid w:val="00E01B51"/>
    <w:rsid w:val="00E01C83"/>
    <w:rsid w:val="00E01D4E"/>
    <w:rsid w:val="00E01D5B"/>
    <w:rsid w:val="00E01D6B"/>
    <w:rsid w:val="00E01E98"/>
    <w:rsid w:val="00E01EDB"/>
    <w:rsid w:val="00E02132"/>
    <w:rsid w:val="00E02147"/>
    <w:rsid w:val="00E02670"/>
    <w:rsid w:val="00E026DD"/>
    <w:rsid w:val="00E026DF"/>
    <w:rsid w:val="00E026F0"/>
    <w:rsid w:val="00E0289B"/>
    <w:rsid w:val="00E02ADE"/>
    <w:rsid w:val="00E02B76"/>
    <w:rsid w:val="00E02CEA"/>
    <w:rsid w:val="00E02D3D"/>
    <w:rsid w:val="00E02DA3"/>
    <w:rsid w:val="00E02DB7"/>
    <w:rsid w:val="00E02ECD"/>
    <w:rsid w:val="00E02EDB"/>
    <w:rsid w:val="00E02FE5"/>
    <w:rsid w:val="00E02FE6"/>
    <w:rsid w:val="00E03084"/>
    <w:rsid w:val="00E031CD"/>
    <w:rsid w:val="00E0321E"/>
    <w:rsid w:val="00E033A2"/>
    <w:rsid w:val="00E03508"/>
    <w:rsid w:val="00E035F0"/>
    <w:rsid w:val="00E03613"/>
    <w:rsid w:val="00E0376F"/>
    <w:rsid w:val="00E037AC"/>
    <w:rsid w:val="00E0383E"/>
    <w:rsid w:val="00E03B9A"/>
    <w:rsid w:val="00E03C15"/>
    <w:rsid w:val="00E03C35"/>
    <w:rsid w:val="00E03CB8"/>
    <w:rsid w:val="00E03E05"/>
    <w:rsid w:val="00E03FA3"/>
    <w:rsid w:val="00E03FD2"/>
    <w:rsid w:val="00E041E6"/>
    <w:rsid w:val="00E0422D"/>
    <w:rsid w:val="00E04325"/>
    <w:rsid w:val="00E043BB"/>
    <w:rsid w:val="00E044DB"/>
    <w:rsid w:val="00E04557"/>
    <w:rsid w:val="00E0460E"/>
    <w:rsid w:val="00E046DF"/>
    <w:rsid w:val="00E0478D"/>
    <w:rsid w:val="00E04844"/>
    <w:rsid w:val="00E04869"/>
    <w:rsid w:val="00E04874"/>
    <w:rsid w:val="00E04909"/>
    <w:rsid w:val="00E049F0"/>
    <w:rsid w:val="00E04B57"/>
    <w:rsid w:val="00E04B9F"/>
    <w:rsid w:val="00E04BD0"/>
    <w:rsid w:val="00E04CED"/>
    <w:rsid w:val="00E04D33"/>
    <w:rsid w:val="00E04D87"/>
    <w:rsid w:val="00E04DC7"/>
    <w:rsid w:val="00E04EC0"/>
    <w:rsid w:val="00E04EFB"/>
    <w:rsid w:val="00E04FA3"/>
    <w:rsid w:val="00E05087"/>
    <w:rsid w:val="00E050ED"/>
    <w:rsid w:val="00E051C3"/>
    <w:rsid w:val="00E05298"/>
    <w:rsid w:val="00E05324"/>
    <w:rsid w:val="00E05421"/>
    <w:rsid w:val="00E05469"/>
    <w:rsid w:val="00E05536"/>
    <w:rsid w:val="00E0554F"/>
    <w:rsid w:val="00E05672"/>
    <w:rsid w:val="00E056D2"/>
    <w:rsid w:val="00E05755"/>
    <w:rsid w:val="00E0578C"/>
    <w:rsid w:val="00E05B6A"/>
    <w:rsid w:val="00E05CB4"/>
    <w:rsid w:val="00E05D0C"/>
    <w:rsid w:val="00E05D7B"/>
    <w:rsid w:val="00E05DF2"/>
    <w:rsid w:val="00E05EEB"/>
    <w:rsid w:val="00E05F5C"/>
    <w:rsid w:val="00E05F7D"/>
    <w:rsid w:val="00E05F8D"/>
    <w:rsid w:val="00E06145"/>
    <w:rsid w:val="00E061EA"/>
    <w:rsid w:val="00E062AF"/>
    <w:rsid w:val="00E065FA"/>
    <w:rsid w:val="00E0694B"/>
    <w:rsid w:val="00E06999"/>
    <w:rsid w:val="00E06A53"/>
    <w:rsid w:val="00E06AC9"/>
    <w:rsid w:val="00E06CE2"/>
    <w:rsid w:val="00E06CE4"/>
    <w:rsid w:val="00E06CEF"/>
    <w:rsid w:val="00E06D6E"/>
    <w:rsid w:val="00E06E93"/>
    <w:rsid w:val="00E070A6"/>
    <w:rsid w:val="00E0713F"/>
    <w:rsid w:val="00E073F1"/>
    <w:rsid w:val="00E073F2"/>
    <w:rsid w:val="00E07458"/>
    <w:rsid w:val="00E074A7"/>
    <w:rsid w:val="00E07555"/>
    <w:rsid w:val="00E075B8"/>
    <w:rsid w:val="00E07606"/>
    <w:rsid w:val="00E076B3"/>
    <w:rsid w:val="00E0770F"/>
    <w:rsid w:val="00E078C6"/>
    <w:rsid w:val="00E079D3"/>
    <w:rsid w:val="00E07A42"/>
    <w:rsid w:val="00E07BF2"/>
    <w:rsid w:val="00E07D71"/>
    <w:rsid w:val="00E07DBA"/>
    <w:rsid w:val="00E07DF3"/>
    <w:rsid w:val="00E07F40"/>
    <w:rsid w:val="00E10189"/>
    <w:rsid w:val="00E101C8"/>
    <w:rsid w:val="00E101DD"/>
    <w:rsid w:val="00E10432"/>
    <w:rsid w:val="00E1052E"/>
    <w:rsid w:val="00E105BB"/>
    <w:rsid w:val="00E10664"/>
    <w:rsid w:val="00E10696"/>
    <w:rsid w:val="00E106D9"/>
    <w:rsid w:val="00E1075A"/>
    <w:rsid w:val="00E10941"/>
    <w:rsid w:val="00E10986"/>
    <w:rsid w:val="00E109BC"/>
    <w:rsid w:val="00E109BF"/>
    <w:rsid w:val="00E10AC1"/>
    <w:rsid w:val="00E10AED"/>
    <w:rsid w:val="00E10AF1"/>
    <w:rsid w:val="00E10B50"/>
    <w:rsid w:val="00E10B63"/>
    <w:rsid w:val="00E10B75"/>
    <w:rsid w:val="00E10C25"/>
    <w:rsid w:val="00E10D74"/>
    <w:rsid w:val="00E10DAB"/>
    <w:rsid w:val="00E10ED3"/>
    <w:rsid w:val="00E10EF7"/>
    <w:rsid w:val="00E10FE7"/>
    <w:rsid w:val="00E1102D"/>
    <w:rsid w:val="00E11034"/>
    <w:rsid w:val="00E11271"/>
    <w:rsid w:val="00E112E8"/>
    <w:rsid w:val="00E1154D"/>
    <w:rsid w:val="00E11642"/>
    <w:rsid w:val="00E116AD"/>
    <w:rsid w:val="00E11834"/>
    <w:rsid w:val="00E118F4"/>
    <w:rsid w:val="00E11997"/>
    <w:rsid w:val="00E119FB"/>
    <w:rsid w:val="00E11BC8"/>
    <w:rsid w:val="00E11BE9"/>
    <w:rsid w:val="00E11C0C"/>
    <w:rsid w:val="00E11C6A"/>
    <w:rsid w:val="00E11DCC"/>
    <w:rsid w:val="00E11E8C"/>
    <w:rsid w:val="00E11F12"/>
    <w:rsid w:val="00E12041"/>
    <w:rsid w:val="00E12067"/>
    <w:rsid w:val="00E120BA"/>
    <w:rsid w:val="00E123C8"/>
    <w:rsid w:val="00E1252D"/>
    <w:rsid w:val="00E126C3"/>
    <w:rsid w:val="00E126E6"/>
    <w:rsid w:val="00E126F1"/>
    <w:rsid w:val="00E12792"/>
    <w:rsid w:val="00E12794"/>
    <w:rsid w:val="00E12803"/>
    <w:rsid w:val="00E128DC"/>
    <w:rsid w:val="00E12ADA"/>
    <w:rsid w:val="00E12C77"/>
    <w:rsid w:val="00E12D03"/>
    <w:rsid w:val="00E12D6D"/>
    <w:rsid w:val="00E12DBE"/>
    <w:rsid w:val="00E13025"/>
    <w:rsid w:val="00E13102"/>
    <w:rsid w:val="00E1326A"/>
    <w:rsid w:val="00E13278"/>
    <w:rsid w:val="00E132A1"/>
    <w:rsid w:val="00E13444"/>
    <w:rsid w:val="00E13467"/>
    <w:rsid w:val="00E136B1"/>
    <w:rsid w:val="00E1387F"/>
    <w:rsid w:val="00E138AB"/>
    <w:rsid w:val="00E1391F"/>
    <w:rsid w:val="00E13AB9"/>
    <w:rsid w:val="00E13BEC"/>
    <w:rsid w:val="00E13C2D"/>
    <w:rsid w:val="00E13C81"/>
    <w:rsid w:val="00E13D67"/>
    <w:rsid w:val="00E13EC6"/>
    <w:rsid w:val="00E14071"/>
    <w:rsid w:val="00E140FD"/>
    <w:rsid w:val="00E141FC"/>
    <w:rsid w:val="00E143D7"/>
    <w:rsid w:val="00E14424"/>
    <w:rsid w:val="00E14541"/>
    <w:rsid w:val="00E1471E"/>
    <w:rsid w:val="00E148DE"/>
    <w:rsid w:val="00E149CB"/>
    <w:rsid w:val="00E149D4"/>
    <w:rsid w:val="00E14AC0"/>
    <w:rsid w:val="00E14C1E"/>
    <w:rsid w:val="00E14D1F"/>
    <w:rsid w:val="00E14D6E"/>
    <w:rsid w:val="00E14DF7"/>
    <w:rsid w:val="00E14E2D"/>
    <w:rsid w:val="00E14F32"/>
    <w:rsid w:val="00E14F5B"/>
    <w:rsid w:val="00E14F69"/>
    <w:rsid w:val="00E14FB5"/>
    <w:rsid w:val="00E14FB9"/>
    <w:rsid w:val="00E150F4"/>
    <w:rsid w:val="00E15101"/>
    <w:rsid w:val="00E15133"/>
    <w:rsid w:val="00E15203"/>
    <w:rsid w:val="00E1535B"/>
    <w:rsid w:val="00E1545D"/>
    <w:rsid w:val="00E1548F"/>
    <w:rsid w:val="00E154F1"/>
    <w:rsid w:val="00E1552C"/>
    <w:rsid w:val="00E15585"/>
    <w:rsid w:val="00E15745"/>
    <w:rsid w:val="00E1597B"/>
    <w:rsid w:val="00E15986"/>
    <w:rsid w:val="00E15A70"/>
    <w:rsid w:val="00E15A92"/>
    <w:rsid w:val="00E15C93"/>
    <w:rsid w:val="00E15D2F"/>
    <w:rsid w:val="00E15F0A"/>
    <w:rsid w:val="00E15F2D"/>
    <w:rsid w:val="00E15FBF"/>
    <w:rsid w:val="00E16079"/>
    <w:rsid w:val="00E16092"/>
    <w:rsid w:val="00E1611E"/>
    <w:rsid w:val="00E16253"/>
    <w:rsid w:val="00E162EC"/>
    <w:rsid w:val="00E1632D"/>
    <w:rsid w:val="00E165B9"/>
    <w:rsid w:val="00E16706"/>
    <w:rsid w:val="00E16860"/>
    <w:rsid w:val="00E1696D"/>
    <w:rsid w:val="00E1698E"/>
    <w:rsid w:val="00E169A4"/>
    <w:rsid w:val="00E169C4"/>
    <w:rsid w:val="00E16A92"/>
    <w:rsid w:val="00E16C94"/>
    <w:rsid w:val="00E16DFA"/>
    <w:rsid w:val="00E16F52"/>
    <w:rsid w:val="00E16FE7"/>
    <w:rsid w:val="00E170F5"/>
    <w:rsid w:val="00E17267"/>
    <w:rsid w:val="00E173F3"/>
    <w:rsid w:val="00E1740A"/>
    <w:rsid w:val="00E1748D"/>
    <w:rsid w:val="00E177B7"/>
    <w:rsid w:val="00E17988"/>
    <w:rsid w:val="00E179C7"/>
    <w:rsid w:val="00E17D65"/>
    <w:rsid w:val="00E2000C"/>
    <w:rsid w:val="00E20050"/>
    <w:rsid w:val="00E201CB"/>
    <w:rsid w:val="00E20237"/>
    <w:rsid w:val="00E20274"/>
    <w:rsid w:val="00E20492"/>
    <w:rsid w:val="00E205F9"/>
    <w:rsid w:val="00E206AF"/>
    <w:rsid w:val="00E20848"/>
    <w:rsid w:val="00E209B3"/>
    <w:rsid w:val="00E209BD"/>
    <w:rsid w:val="00E209F5"/>
    <w:rsid w:val="00E20A7A"/>
    <w:rsid w:val="00E20CE3"/>
    <w:rsid w:val="00E20E27"/>
    <w:rsid w:val="00E20E87"/>
    <w:rsid w:val="00E20FBB"/>
    <w:rsid w:val="00E20FE3"/>
    <w:rsid w:val="00E21050"/>
    <w:rsid w:val="00E212F6"/>
    <w:rsid w:val="00E21307"/>
    <w:rsid w:val="00E2149B"/>
    <w:rsid w:val="00E21769"/>
    <w:rsid w:val="00E217C5"/>
    <w:rsid w:val="00E21897"/>
    <w:rsid w:val="00E218B6"/>
    <w:rsid w:val="00E21A04"/>
    <w:rsid w:val="00E21A46"/>
    <w:rsid w:val="00E21ABC"/>
    <w:rsid w:val="00E21C11"/>
    <w:rsid w:val="00E21E6F"/>
    <w:rsid w:val="00E21F29"/>
    <w:rsid w:val="00E21F56"/>
    <w:rsid w:val="00E22002"/>
    <w:rsid w:val="00E220CA"/>
    <w:rsid w:val="00E221B4"/>
    <w:rsid w:val="00E22328"/>
    <w:rsid w:val="00E2237B"/>
    <w:rsid w:val="00E22600"/>
    <w:rsid w:val="00E22796"/>
    <w:rsid w:val="00E22926"/>
    <w:rsid w:val="00E2298F"/>
    <w:rsid w:val="00E22A6E"/>
    <w:rsid w:val="00E22B07"/>
    <w:rsid w:val="00E22C66"/>
    <w:rsid w:val="00E2309D"/>
    <w:rsid w:val="00E23146"/>
    <w:rsid w:val="00E23220"/>
    <w:rsid w:val="00E232DB"/>
    <w:rsid w:val="00E235D8"/>
    <w:rsid w:val="00E2360F"/>
    <w:rsid w:val="00E237DA"/>
    <w:rsid w:val="00E23B8E"/>
    <w:rsid w:val="00E23DDD"/>
    <w:rsid w:val="00E24017"/>
    <w:rsid w:val="00E24160"/>
    <w:rsid w:val="00E2429D"/>
    <w:rsid w:val="00E243F0"/>
    <w:rsid w:val="00E2456A"/>
    <w:rsid w:val="00E2459D"/>
    <w:rsid w:val="00E2471E"/>
    <w:rsid w:val="00E24742"/>
    <w:rsid w:val="00E2486D"/>
    <w:rsid w:val="00E24916"/>
    <w:rsid w:val="00E24AB5"/>
    <w:rsid w:val="00E24B04"/>
    <w:rsid w:val="00E24B27"/>
    <w:rsid w:val="00E24D3B"/>
    <w:rsid w:val="00E24DAF"/>
    <w:rsid w:val="00E24E22"/>
    <w:rsid w:val="00E2508C"/>
    <w:rsid w:val="00E250EA"/>
    <w:rsid w:val="00E25211"/>
    <w:rsid w:val="00E25383"/>
    <w:rsid w:val="00E253C1"/>
    <w:rsid w:val="00E253F2"/>
    <w:rsid w:val="00E25432"/>
    <w:rsid w:val="00E254C5"/>
    <w:rsid w:val="00E2554B"/>
    <w:rsid w:val="00E256DB"/>
    <w:rsid w:val="00E2574A"/>
    <w:rsid w:val="00E257A9"/>
    <w:rsid w:val="00E2580D"/>
    <w:rsid w:val="00E2589A"/>
    <w:rsid w:val="00E2589D"/>
    <w:rsid w:val="00E25970"/>
    <w:rsid w:val="00E259A7"/>
    <w:rsid w:val="00E259DF"/>
    <w:rsid w:val="00E259FD"/>
    <w:rsid w:val="00E25A30"/>
    <w:rsid w:val="00E25DA8"/>
    <w:rsid w:val="00E25E1A"/>
    <w:rsid w:val="00E25EDF"/>
    <w:rsid w:val="00E25EED"/>
    <w:rsid w:val="00E25F2A"/>
    <w:rsid w:val="00E25F93"/>
    <w:rsid w:val="00E260D2"/>
    <w:rsid w:val="00E262C5"/>
    <w:rsid w:val="00E262D1"/>
    <w:rsid w:val="00E26362"/>
    <w:rsid w:val="00E26392"/>
    <w:rsid w:val="00E26422"/>
    <w:rsid w:val="00E26424"/>
    <w:rsid w:val="00E2658C"/>
    <w:rsid w:val="00E265AF"/>
    <w:rsid w:val="00E2664F"/>
    <w:rsid w:val="00E2699C"/>
    <w:rsid w:val="00E26BF3"/>
    <w:rsid w:val="00E26C0E"/>
    <w:rsid w:val="00E26DC9"/>
    <w:rsid w:val="00E26DE7"/>
    <w:rsid w:val="00E26E1E"/>
    <w:rsid w:val="00E26F63"/>
    <w:rsid w:val="00E26FDE"/>
    <w:rsid w:val="00E27149"/>
    <w:rsid w:val="00E27193"/>
    <w:rsid w:val="00E2739E"/>
    <w:rsid w:val="00E275DA"/>
    <w:rsid w:val="00E276C8"/>
    <w:rsid w:val="00E27707"/>
    <w:rsid w:val="00E2779C"/>
    <w:rsid w:val="00E27832"/>
    <w:rsid w:val="00E279CF"/>
    <w:rsid w:val="00E27A90"/>
    <w:rsid w:val="00E27C3F"/>
    <w:rsid w:val="00E27C4A"/>
    <w:rsid w:val="00E27DF7"/>
    <w:rsid w:val="00E27FE2"/>
    <w:rsid w:val="00E3010F"/>
    <w:rsid w:val="00E30371"/>
    <w:rsid w:val="00E3052B"/>
    <w:rsid w:val="00E305E6"/>
    <w:rsid w:val="00E30646"/>
    <w:rsid w:val="00E30658"/>
    <w:rsid w:val="00E30726"/>
    <w:rsid w:val="00E307E2"/>
    <w:rsid w:val="00E308AF"/>
    <w:rsid w:val="00E308EB"/>
    <w:rsid w:val="00E30A70"/>
    <w:rsid w:val="00E30BD9"/>
    <w:rsid w:val="00E30BFD"/>
    <w:rsid w:val="00E30CA7"/>
    <w:rsid w:val="00E30CFA"/>
    <w:rsid w:val="00E30E62"/>
    <w:rsid w:val="00E31039"/>
    <w:rsid w:val="00E310F0"/>
    <w:rsid w:val="00E31198"/>
    <w:rsid w:val="00E3121B"/>
    <w:rsid w:val="00E3123E"/>
    <w:rsid w:val="00E312BD"/>
    <w:rsid w:val="00E31365"/>
    <w:rsid w:val="00E31650"/>
    <w:rsid w:val="00E31682"/>
    <w:rsid w:val="00E316BC"/>
    <w:rsid w:val="00E31703"/>
    <w:rsid w:val="00E3178E"/>
    <w:rsid w:val="00E317A0"/>
    <w:rsid w:val="00E31841"/>
    <w:rsid w:val="00E318F8"/>
    <w:rsid w:val="00E31ADD"/>
    <w:rsid w:val="00E31C01"/>
    <w:rsid w:val="00E31CB7"/>
    <w:rsid w:val="00E320A0"/>
    <w:rsid w:val="00E321F2"/>
    <w:rsid w:val="00E32220"/>
    <w:rsid w:val="00E3233B"/>
    <w:rsid w:val="00E32526"/>
    <w:rsid w:val="00E3256F"/>
    <w:rsid w:val="00E326E8"/>
    <w:rsid w:val="00E32758"/>
    <w:rsid w:val="00E327B6"/>
    <w:rsid w:val="00E32C34"/>
    <w:rsid w:val="00E32C4E"/>
    <w:rsid w:val="00E32D5F"/>
    <w:rsid w:val="00E32E65"/>
    <w:rsid w:val="00E33130"/>
    <w:rsid w:val="00E3315A"/>
    <w:rsid w:val="00E33166"/>
    <w:rsid w:val="00E33177"/>
    <w:rsid w:val="00E331FF"/>
    <w:rsid w:val="00E3334F"/>
    <w:rsid w:val="00E33484"/>
    <w:rsid w:val="00E334B7"/>
    <w:rsid w:val="00E33669"/>
    <w:rsid w:val="00E33710"/>
    <w:rsid w:val="00E337DC"/>
    <w:rsid w:val="00E3388F"/>
    <w:rsid w:val="00E33895"/>
    <w:rsid w:val="00E3399D"/>
    <w:rsid w:val="00E33B34"/>
    <w:rsid w:val="00E33B78"/>
    <w:rsid w:val="00E33CD6"/>
    <w:rsid w:val="00E33D09"/>
    <w:rsid w:val="00E33EF2"/>
    <w:rsid w:val="00E33F7F"/>
    <w:rsid w:val="00E34002"/>
    <w:rsid w:val="00E34155"/>
    <w:rsid w:val="00E3417E"/>
    <w:rsid w:val="00E341A4"/>
    <w:rsid w:val="00E341BB"/>
    <w:rsid w:val="00E341C4"/>
    <w:rsid w:val="00E341E3"/>
    <w:rsid w:val="00E341F7"/>
    <w:rsid w:val="00E342AC"/>
    <w:rsid w:val="00E34340"/>
    <w:rsid w:val="00E3436D"/>
    <w:rsid w:val="00E343AE"/>
    <w:rsid w:val="00E343E2"/>
    <w:rsid w:val="00E34494"/>
    <w:rsid w:val="00E344D0"/>
    <w:rsid w:val="00E34577"/>
    <w:rsid w:val="00E34591"/>
    <w:rsid w:val="00E345AB"/>
    <w:rsid w:val="00E34740"/>
    <w:rsid w:val="00E3479E"/>
    <w:rsid w:val="00E348C9"/>
    <w:rsid w:val="00E348E7"/>
    <w:rsid w:val="00E34AC1"/>
    <w:rsid w:val="00E34C2A"/>
    <w:rsid w:val="00E34C41"/>
    <w:rsid w:val="00E352C2"/>
    <w:rsid w:val="00E352F3"/>
    <w:rsid w:val="00E35303"/>
    <w:rsid w:val="00E35354"/>
    <w:rsid w:val="00E353A2"/>
    <w:rsid w:val="00E353A9"/>
    <w:rsid w:val="00E353EB"/>
    <w:rsid w:val="00E354AE"/>
    <w:rsid w:val="00E354FB"/>
    <w:rsid w:val="00E35685"/>
    <w:rsid w:val="00E357A1"/>
    <w:rsid w:val="00E358E4"/>
    <w:rsid w:val="00E35A2F"/>
    <w:rsid w:val="00E35A78"/>
    <w:rsid w:val="00E35AE3"/>
    <w:rsid w:val="00E35CD6"/>
    <w:rsid w:val="00E35E72"/>
    <w:rsid w:val="00E35ED5"/>
    <w:rsid w:val="00E36086"/>
    <w:rsid w:val="00E360DF"/>
    <w:rsid w:val="00E360FD"/>
    <w:rsid w:val="00E362FD"/>
    <w:rsid w:val="00E36501"/>
    <w:rsid w:val="00E366FB"/>
    <w:rsid w:val="00E3682D"/>
    <w:rsid w:val="00E36942"/>
    <w:rsid w:val="00E36C6D"/>
    <w:rsid w:val="00E36C9B"/>
    <w:rsid w:val="00E36DEE"/>
    <w:rsid w:val="00E36DFE"/>
    <w:rsid w:val="00E36FF5"/>
    <w:rsid w:val="00E370FA"/>
    <w:rsid w:val="00E371E1"/>
    <w:rsid w:val="00E37340"/>
    <w:rsid w:val="00E3761C"/>
    <w:rsid w:val="00E37A22"/>
    <w:rsid w:val="00E37CBB"/>
    <w:rsid w:val="00E37CD1"/>
    <w:rsid w:val="00E37D4B"/>
    <w:rsid w:val="00E37DAA"/>
    <w:rsid w:val="00E402A5"/>
    <w:rsid w:val="00E40308"/>
    <w:rsid w:val="00E403C1"/>
    <w:rsid w:val="00E4054F"/>
    <w:rsid w:val="00E4055F"/>
    <w:rsid w:val="00E405B9"/>
    <w:rsid w:val="00E4072F"/>
    <w:rsid w:val="00E40731"/>
    <w:rsid w:val="00E4087D"/>
    <w:rsid w:val="00E40899"/>
    <w:rsid w:val="00E4097B"/>
    <w:rsid w:val="00E40ABE"/>
    <w:rsid w:val="00E40B5B"/>
    <w:rsid w:val="00E40B8F"/>
    <w:rsid w:val="00E40D30"/>
    <w:rsid w:val="00E40D35"/>
    <w:rsid w:val="00E40DEF"/>
    <w:rsid w:val="00E40E01"/>
    <w:rsid w:val="00E40E06"/>
    <w:rsid w:val="00E40E1B"/>
    <w:rsid w:val="00E40EC9"/>
    <w:rsid w:val="00E40F30"/>
    <w:rsid w:val="00E41038"/>
    <w:rsid w:val="00E4103E"/>
    <w:rsid w:val="00E41230"/>
    <w:rsid w:val="00E4134A"/>
    <w:rsid w:val="00E413DB"/>
    <w:rsid w:val="00E4140D"/>
    <w:rsid w:val="00E415BE"/>
    <w:rsid w:val="00E415EA"/>
    <w:rsid w:val="00E4169E"/>
    <w:rsid w:val="00E417A0"/>
    <w:rsid w:val="00E4185A"/>
    <w:rsid w:val="00E4189D"/>
    <w:rsid w:val="00E41978"/>
    <w:rsid w:val="00E41B6B"/>
    <w:rsid w:val="00E41C1E"/>
    <w:rsid w:val="00E41C40"/>
    <w:rsid w:val="00E41CC7"/>
    <w:rsid w:val="00E41D13"/>
    <w:rsid w:val="00E41D70"/>
    <w:rsid w:val="00E41DD5"/>
    <w:rsid w:val="00E41E15"/>
    <w:rsid w:val="00E41EBC"/>
    <w:rsid w:val="00E41EEE"/>
    <w:rsid w:val="00E41F9D"/>
    <w:rsid w:val="00E41FA7"/>
    <w:rsid w:val="00E4210C"/>
    <w:rsid w:val="00E42188"/>
    <w:rsid w:val="00E421CE"/>
    <w:rsid w:val="00E4238E"/>
    <w:rsid w:val="00E4245E"/>
    <w:rsid w:val="00E42486"/>
    <w:rsid w:val="00E4257C"/>
    <w:rsid w:val="00E425EB"/>
    <w:rsid w:val="00E42621"/>
    <w:rsid w:val="00E42822"/>
    <w:rsid w:val="00E429BA"/>
    <w:rsid w:val="00E42BAA"/>
    <w:rsid w:val="00E42BEF"/>
    <w:rsid w:val="00E42D39"/>
    <w:rsid w:val="00E42E37"/>
    <w:rsid w:val="00E42EFE"/>
    <w:rsid w:val="00E43141"/>
    <w:rsid w:val="00E43167"/>
    <w:rsid w:val="00E431FB"/>
    <w:rsid w:val="00E43249"/>
    <w:rsid w:val="00E43313"/>
    <w:rsid w:val="00E43478"/>
    <w:rsid w:val="00E4348A"/>
    <w:rsid w:val="00E43512"/>
    <w:rsid w:val="00E43590"/>
    <w:rsid w:val="00E4365B"/>
    <w:rsid w:val="00E43668"/>
    <w:rsid w:val="00E43681"/>
    <w:rsid w:val="00E436E0"/>
    <w:rsid w:val="00E437A9"/>
    <w:rsid w:val="00E4381B"/>
    <w:rsid w:val="00E43930"/>
    <w:rsid w:val="00E439A6"/>
    <w:rsid w:val="00E439DF"/>
    <w:rsid w:val="00E43A5F"/>
    <w:rsid w:val="00E43C4A"/>
    <w:rsid w:val="00E43CB5"/>
    <w:rsid w:val="00E43D83"/>
    <w:rsid w:val="00E43F87"/>
    <w:rsid w:val="00E440AB"/>
    <w:rsid w:val="00E440C5"/>
    <w:rsid w:val="00E44105"/>
    <w:rsid w:val="00E44132"/>
    <w:rsid w:val="00E44233"/>
    <w:rsid w:val="00E44255"/>
    <w:rsid w:val="00E442D5"/>
    <w:rsid w:val="00E443C3"/>
    <w:rsid w:val="00E4441D"/>
    <w:rsid w:val="00E44534"/>
    <w:rsid w:val="00E446E5"/>
    <w:rsid w:val="00E44723"/>
    <w:rsid w:val="00E44A13"/>
    <w:rsid w:val="00E44A23"/>
    <w:rsid w:val="00E44AC3"/>
    <w:rsid w:val="00E44AFD"/>
    <w:rsid w:val="00E44B6C"/>
    <w:rsid w:val="00E44C0E"/>
    <w:rsid w:val="00E44D60"/>
    <w:rsid w:val="00E44DE7"/>
    <w:rsid w:val="00E44E96"/>
    <w:rsid w:val="00E44F42"/>
    <w:rsid w:val="00E44FA4"/>
    <w:rsid w:val="00E450CD"/>
    <w:rsid w:val="00E45145"/>
    <w:rsid w:val="00E451E2"/>
    <w:rsid w:val="00E45226"/>
    <w:rsid w:val="00E45266"/>
    <w:rsid w:val="00E45517"/>
    <w:rsid w:val="00E455D7"/>
    <w:rsid w:val="00E457AA"/>
    <w:rsid w:val="00E4581F"/>
    <w:rsid w:val="00E45923"/>
    <w:rsid w:val="00E45979"/>
    <w:rsid w:val="00E459BA"/>
    <w:rsid w:val="00E459EE"/>
    <w:rsid w:val="00E45A17"/>
    <w:rsid w:val="00E45B36"/>
    <w:rsid w:val="00E45BAF"/>
    <w:rsid w:val="00E45C3F"/>
    <w:rsid w:val="00E45CF7"/>
    <w:rsid w:val="00E45E40"/>
    <w:rsid w:val="00E45EBF"/>
    <w:rsid w:val="00E45F05"/>
    <w:rsid w:val="00E45F5A"/>
    <w:rsid w:val="00E45FB7"/>
    <w:rsid w:val="00E46138"/>
    <w:rsid w:val="00E4616A"/>
    <w:rsid w:val="00E46263"/>
    <w:rsid w:val="00E462A8"/>
    <w:rsid w:val="00E462AD"/>
    <w:rsid w:val="00E462DA"/>
    <w:rsid w:val="00E46454"/>
    <w:rsid w:val="00E46461"/>
    <w:rsid w:val="00E46625"/>
    <w:rsid w:val="00E46634"/>
    <w:rsid w:val="00E466E4"/>
    <w:rsid w:val="00E46737"/>
    <w:rsid w:val="00E4684B"/>
    <w:rsid w:val="00E46894"/>
    <w:rsid w:val="00E46B88"/>
    <w:rsid w:val="00E46BE0"/>
    <w:rsid w:val="00E46C6E"/>
    <w:rsid w:val="00E46E0D"/>
    <w:rsid w:val="00E46F9E"/>
    <w:rsid w:val="00E470B9"/>
    <w:rsid w:val="00E471CF"/>
    <w:rsid w:val="00E471E1"/>
    <w:rsid w:val="00E47304"/>
    <w:rsid w:val="00E475C8"/>
    <w:rsid w:val="00E47668"/>
    <w:rsid w:val="00E47673"/>
    <w:rsid w:val="00E476BA"/>
    <w:rsid w:val="00E477D0"/>
    <w:rsid w:val="00E477F4"/>
    <w:rsid w:val="00E47824"/>
    <w:rsid w:val="00E47980"/>
    <w:rsid w:val="00E47A2D"/>
    <w:rsid w:val="00E47B1A"/>
    <w:rsid w:val="00E47B86"/>
    <w:rsid w:val="00E47C18"/>
    <w:rsid w:val="00E47C23"/>
    <w:rsid w:val="00E47C57"/>
    <w:rsid w:val="00E47CDB"/>
    <w:rsid w:val="00E47EFB"/>
    <w:rsid w:val="00E47F86"/>
    <w:rsid w:val="00E5006F"/>
    <w:rsid w:val="00E50088"/>
    <w:rsid w:val="00E50094"/>
    <w:rsid w:val="00E500E1"/>
    <w:rsid w:val="00E5012B"/>
    <w:rsid w:val="00E50170"/>
    <w:rsid w:val="00E50226"/>
    <w:rsid w:val="00E502AF"/>
    <w:rsid w:val="00E5030A"/>
    <w:rsid w:val="00E504AC"/>
    <w:rsid w:val="00E50631"/>
    <w:rsid w:val="00E50756"/>
    <w:rsid w:val="00E507C3"/>
    <w:rsid w:val="00E50819"/>
    <w:rsid w:val="00E50827"/>
    <w:rsid w:val="00E508D6"/>
    <w:rsid w:val="00E508E1"/>
    <w:rsid w:val="00E50B77"/>
    <w:rsid w:val="00E50BE4"/>
    <w:rsid w:val="00E50C31"/>
    <w:rsid w:val="00E50CD6"/>
    <w:rsid w:val="00E50D67"/>
    <w:rsid w:val="00E50EDB"/>
    <w:rsid w:val="00E50FD1"/>
    <w:rsid w:val="00E51041"/>
    <w:rsid w:val="00E51126"/>
    <w:rsid w:val="00E5144C"/>
    <w:rsid w:val="00E51770"/>
    <w:rsid w:val="00E5179F"/>
    <w:rsid w:val="00E51842"/>
    <w:rsid w:val="00E51887"/>
    <w:rsid w:val="00E5188E"/>
    <w:rsid w:val="00E518F8"/>
    <w:rsid w:val="00E51A7F"/>
    <w:rsid w:val="00E51AD4"/>
    <w:rsid w:val="00E51B60"/>
    <w:rsid w:val="00E51BAC"/>
    <w:rsid w:val="00E51C51"/>
    <w:rsid w:val="00E51C75"/>
    <w:rsid w:val="00E51C8E"/>
    <w:rsid w:val="00E51D04"/>
    <w:rsid w:val="00E51F93"/>
    <w:rsid w:val="00E5200D"/>
    <w:rsid w:val="00E52021"/>
    <w:rsid w:val="00E520CA"/>
    <w:rsid w:val="00E520FC"/>
    <w:rsid w:val="00E5218B"/>
    <w:rsid w:val="00E52193"/>
    <w:rsid w:val="00E521D0"/>
    <w:rsid w:val="00E52213"/>
    <w:rsid w:val="00E5237D"/>
    <w:rsid w:val="00E523AB"/>
    <w:rsid w:val="00E52417"/>
    <w:rsid w:val="00E5254F"/>
    <w:rsid w:val="00E5268B"/>
    <w:rsid w:val="00E52738"/>
    <w:rsid w:val="00E527BD"/>
    <w:rsid w:val="00E527F6"/>
    <w:rsid w:val="00E528B3"/>
    <w:rsid w:val="00E52946"/>
    <w:rsid w:val="00E52A78"/>
    <w:rsid w:val="00E52AF5"/>
    <w:rsid w:val="00E52B7A"/>
    <w:rsid w:val="00E52FB1"/>
    <w:rsid w:val="00E52FCC"/>
    <w:rsid w:val="00E531D2"/>
    <w:rsid w:val="00E53236"/>
    <w:rsid w:val="00E53295"/>
    <w:rsid w:val="00E53B5D"/>
    <w:rsid w:val="00E53B99"/>
    <w:rsid w:val="00E53C2B"/>
    <w:rsid w:val="00E53CF3"/>
    <w:rsid w:val="00E53E8B"/>
    <w:rsid w:val="00E53F37"/>
    <w:rsid w:val="00E542B9"/>
    <w:rsid w:val="00E54608"/>
    <w:rsid w:val="00E54722"/>
    <w:rsid w:val="00E54741"/>
    <w:rsid w:val="00E547AB"/>
    <w:rsid w:val="00E548CF"/>
    <w:rsid w:val="00E5493C"/>
    <w:rsid w:val="00E54946"/>
    <w:rsid w:val="00E54B2D"/>
    <w:rsid w:val="00E54BF5"/>
    <w:rsid w:val="00E54E66"/>
    <w:rsid w:val="00E54EBC"/>
    <w:rsid w:val="00E54F1A"/>
    <w:rsid w:val="00E54F34"/>
    <w:rsid w:val="00E5507E"/>
    <w:rsid w:val="00E55097"/>
    <w:rsid w:val="00E550D9"/>
    <w:rsid w:val="00E55118"/>
    <w:rsid w:val="00E5516B"/>
    <w:rsid w:val="00E55184"/>
    <w:rsid w:val="00E55428"/>
    <w:rsid w:val="00E559D9"/>
    <w:rsid w:val="00E55A08"/>
    <w:rsid w:val="00E55A38"/>
    <w:rsid w:val="00E55C8E"/>
    <w:rsid w:val="00E55DDD"/>
    <w:rsid w:val="00E55FD9"/>
    <w:rsid w:val="00E560A1"/>
    <w:rsid w:val="00E560B3"/>
    <w:rsid w:val="00E56294"/>
    <w:rsid w:val="00E562E5"/>
    <w:rsid w:val="00E562E6"/>
    <w:rsid w:val="00E565BB"/>
    <w:rsid w:val="00E56674"/>
    <w:rsid w:val="00E5670B"/>
    <w:rsid w:val="00E5681D"/>
    <w:rsid w:val="00E56825"/>
    <w:rsid w:val="00E5688C"/>
    <w:rsid w:val="00E568AC"/>
    <w:rsid w:val="00E568C2"/>
    <w:rsid w:val="00E56C01"/>
    <w:rsid w:val="00E56D7B"/>
    <w:rsid w:val="00E56DC7"/>
    <w:rsid w:val="00E56DD3"/>
    <w:rsid w:val="00E56E22"/>
    <w:rsid w:val="00E56EDE"/>
    <w:rsid w:val="00E57134"/>
    <w:rsid w:val="00E5731F"/>
    <w:rsid w:val="00E5744A"/>
    <w:rsid w:val="00E5756F"/>
    <w:rsid w:val="00E576D0"/>
    <w:rsid w:val="00E576FE"/>
    <w:rsid w:val="00E5774F"/>
    <w:rsid w:val="00E577DA"/>
    <w:rsid w:val="00E5794A"/>
    <w:rsid w:val="00E57B96"/>
    <w:rsid w:val="00E57F6A"/>
    <w:rsid w:val="00E60031"/>
    <w:rsid w:val="00E60169"/>
    <w:rsid w:val="00E601BF"/>
    <w:rsid w:val="00E60351"/>
    <w:rsid w:val="00E604ED"/>
    <w:rsid w:val="00E606DC"/>
    <w:rsid w:val="00E60794"/>
    <w:rsid w:val="00E609D3"/>
    <w:rsid w:val="00E60AC3"/>
    <w:rsid w:val="00E60B41"/>
    <w:rsid w:val="00E60BFB"/>
    <w:rsid w:val="00E60CE5"/>
    <w:rsid w:val="00E60E42"/>
    <w:rsid w:val="00E60F92"/>
    <w:rsid w:val="00E60F95"/>
    <w:rsid w:val="00E60FB3"/>
    <w:rsid w:val="00E61014"/>
    <w:rsid w:val="00E6101B"/>
    <w:rsid w:val="00E610AC"/>
    <w:rsid w:val="00E611B1"/>
    <w:rsid w:val="00E611B4"/>
    <w:rsid w:val="00E611D3"/>
    <w:rsid w:val="00E612DF"/>
    <w:rsid w:val="00E61611"/>
    <w:rsid w:val="00E6163A"/>
    <w:rsid w:val="00E61699"/>
    <w:rsid w:val="00E61733"/>
    <w:rsid w:val="00E61745"/>
    <w:rsid w:val="00E61946"/>
    <w:rsid w:val="00E619E0"/>
    <w:rsid w:val="00E61B99"/>
    <w:rsid w:val="00E61BD9"/>
    <w:rsid w:val="00E61C6C"/>
    <w:rsid w:val="00E61C8B"/>
    <w:rsid w:val="00E62119"/>
    <w:rsid w:val="00E62131"/>
    <w:rsid w:val="00E62167"/>
    <w:rsid w:val="00E625A0"/>
    <w:rsid w:val="00E6260D"/>
    <w:rsid w:val="00E62645"/>
    <w:rsid w:val="00E62697"/>
    <w:rsid w:val="00E62827"/>
    <w:rsid w:val="00E6284F"/>
    <w:rsid w:val="00E62898"/>
    <w:rsid w:val="00E6299D"/>
    <w:rsid w:val="00E629C3"/>
    <w:rsid w:val="00E62A5C"/>
    <w:rsid w:val="00E62A74"/>
    <w:rsid w:val="00E62AEC"/>
    <w:rsid w:val="00E62C28"/>
    <w:rsid w:val="00E62C58"/>
    <w:rsid w:val="00E62D65"/>
    <w:rsid w:val="00E62DDC"/>
    <w:rsid w:val="00E62DE2"/>
    <w:rsid w:val="00E62E1D"/>
    <w:rsid w:val="00E62E94"/>
    <w:rsid w:val="00E62EC3"/>
    <w:rsid w:val="00E630BB"/>
    <w:rsid w:val="00E631FF"/>
    <w:rsid w:val="00E632AE"/>
    <w:rsid w:val="00E632E0"/>
    <w:rsid w:val="00E634D6"/>
    <w:rsid w:val="00E63529"/>
    <w:rsid w:val="00E6356D"/>
    <w:rsid w:val="00E63697"/>
    <w:rsid w:val="00E637DD"/>
    <w:rsid w:val="00E6393A"/>
    <w:rsid w:val="00E6398E"/>
    <w:rsid w:val="00E63BE5"/>
    <w:rsid w:val="00E63C98"/>
    <w:rsid w:val="00E63CA5"/>
    <w:rsid w:val="00E63D63"/>
    <w:rsid w:val="00E63D7C"/>
    <w:rsid w:val="00E64184"/>
    <w:rsid w:val="00E64239"/>
    <w:rsid w:val="00E642E8"/>
    <w:rsid w:val="00E64361"/>
    <w:rsid w:val="00E64541"/>
    <w:rsid w:val="00E645CE"/>
    <w:rsid w:val="00E6471A"/>
    <w:rsid w:val="00E64748"/>
    <w:rsid w:val="00E64A60"/>
    <w:rsid w:val="00E64C48"/>
    <w:rsid w:val="00E64EDB"/>
    <w:rsid w:val="00E64F30"/>
    <w:rsid w:val="00E64FD4"/>
    <w:rsid w:val="00E64FD8"/>
    <w:rsid w:val="00E651C3"/>
    <w:rsid w:val="00E652F0"/>
    <w:rsid w:val="00E6533B"/>
    <w:rsid w:val="00E65362"/>
    <w:rsid w:val="00E654DA"/>
    <w:rsid w:val="00E6559B"/>
    <w:rsid w:val="00E655F3"/>
    <w:rsid w:val="00E658A4"/>
    <w:rsid w:val="00E65BB4"/>
    <w:rsid w:val="00E65BF5"/>
    <w:rsid w:val="00E65CC8"/>
    <w:rsid w:val="00E65ED2"/>
    <w:rsid w:val="00E65ED9"/>
    <w:rsid w:val="00E65F06"/>
    <w:rsid w:val="00E65F39"/>
    <w:rsid w:val="00E65FD1"/>
    <w:rsid w:val="00E660CC"/>
    <w:rsid w:val="00E6637A"/>
    <w:rsid w:val="00E66450"/>
    <w:rsid w:val="00E66457"/>
    <w:rsid w:val="00E66483"/>
    <w:rsid w:val="00E66493"/>
    <w:rsid w:val="00E665A1"/>
    <w:rsid w:val="00E6672F"/>
    <w:rsid w:val="00E6690B"/>
    <w:rsid w:val="00E6699C"/>
    <w:rsid w:val="00E669E5"/>
    <w:rsid w:val="00E669EA"/>
    <w:rsid w:val="00E66A0B"/>
    <w:rsid w:val="00E66AF1"/>
    <w:rsid w:val="00E66C3F"/>
    <w:rsid w:val="00E66CC7"/>
    <w:rsid w:val="00E66E6F"/>
    <w:rsid w:val="00E66E79"/>
    <w:rsid w:val="00E66F86"/>
    <w:rsid w:val="00E67000"/>
    <w:rsid w:val="00E67117"/>
    <w:rsid w:val="00E6734E"/>
    <w:rsid w:val="00E67404"/>
    <w:rsid w:val="00E6740D"/>
    <w:rsid w:val="00E67490"/>
    <w:rsid w:val="00E674CF"/>
    <w:rsid w:val="00E674D6"/>
    <w:rsid w:val="00E6763C"/>
    <w:rsid w:val="00E6773F"/>
    <w:rsid w:val="00E67763"/>
    <w:rsid w:val="00E677CE"/>
    <w:rsid w:val="00E6784F"/>
    <w:rsid w:val="00E67854"/>
    <w:rsid w:val="00E67894"/>
    <w:rsid w:val="00E678D2"/>
    <w:rsid w:val="00E67905"/>
    <w:rsid w:val="00E67948"/>
    <w:rsid w:val="00E6798C"/>
    <w:rsid w:val="00E679CE"/>
    <w:rsid w:val="00E67A84"/>
    <w:rsid w:val="00E67A97"/>
    <w:rsid w:val="00E67ACE"/>
    <w:rsid w:val="00E67ADB"/>
    <w:rsid w:val="00E67AF1"/>
    <w:rsid w:val="00E67CC2"/>
    <w:rsid w:val="00E70006"/>
    <w:rsid w:val="00E70260"/>
    <w:rsid w:val="00E70296"/>
    <w:rsid w:val="00E702E7"/>
    <w:rsid w:val="00E70311"/>
    <w:rsid w:val="00E70458"/>
    <w:rsid w:val="00E70543"/>
    <w:rsid w:val="00E70577"/>
    <w:rsid w:val="00E70619"/>
    <w:rsid w:val="00E7080B"/>
    <w:rsid w:val="00E70932"/>
    <w:rsid w:val="00E70A5E"/>
    <w:rsid w:val="00E70A63"/>
    <w:rsid w:val="00E70ADD"/>
    <w:rsid w:val="00E70AFC"/>
    <w:rsid w:val="00E70BD6"/>
    <w:rsid w:val="00E70E08"/>
    <w:rsid w:val="00E70F4D"/>
    <w:rsid w:val="00E70F50"/>
    <w:rsid w:val="00E70FF8"/>
    <w:rsid w:val="00E7100E"/>
    <w:rsid w:val="00E711BB"/>
    <w:rsid w:val="00E7134D"/>
    <w:rsid w:val="00E71350"/>
    <w:rsid w:val="00E713A5"/>
    <w:rsid w:val="00E713BC"/>
    <w:rsid w:val="00E71437"/>
    <w:rsid w:val="00E71508"/>
    <w:rsid w:val="00E717E0"/>
    <w:rsid w:val="00E7182F"/>
    <w:rsid w:val="00E71962"/>
    <w:rsid w:val="00E71966"/>
    <w:rsid w:val="00E71994"/>
    <w:rsid w:val="00E71AE2"/>
    <w:rsid w:val="00E71BAA"/>
    <w:rsid w:val="00E7205C"/>
    <w:rsid w:val="00E72143"/>
    <w:rsid w:val="00E7214B"/>
    <w:rsid w:val="00E721BE"/>
    <w:rsid w:val="00E721CF"/>
    <w:rsid w:val="00E721E6"/>
    <w:rsid w:val="00E72212"/>
    <w:rsid w:val="00E722B7"/>
    <w:rsid w:val="00E7235C"/>
    <w:rsid w:val="00E724FB"/>
    <w:rsid w:val="00E72509"/>
    <w:rsid w:val="00E7251F"/>
    <w:rsid w:val="00E7256E"/>
    <w:rsid w:val="00E725FC"/>
    <w:rsid w:val="00E72607"/>
    <w:rsid w:val="00E726B9"/>
    <w:rsid w:val="00E72906"/>
    <w:rsid w:val="00E72AE1"/>
    <w:rsid w:val="00E72B21"/>
    <w:rsid w:val="00E72B3C"/>
    <w:rsid w:val="00E72BD5"/>
    <w:rsid w:val="00E72DC4"/>
    <w:rsid w:val="00E72EA7"/>
    <w:rsid w:val="00E73159"/>
    <w:rsid w:val="00E7317E"/>
    <w:rsid w:val="00E73358"/>
    <w:rsid w:val="00E7343B"/>
    <w:rsid w:val="00E73499"/>
    <w:rsid w:val="00E7350A"/>
    <w:rsid w:val="00E73708"/>
    <w:rsid w:val="00E737CA"/>
    <w:rsid w:val="00E739F5"/>
    <w:rsid w:val="00E73A19"/>
    <w:rsid w:val="00E73A43"/>
    <w:rsid w:val="00E73B20"/>
    <w:rsid w:val="00E73BCC"/>
    <w:rsid w:val="00E73C54"/>
    <w:rsid w:val="00E73C9F"/>
    <w:rsid w:val="00E73CE2"/>
    <w:rsid w:val="00E73D14"/>
    <w:rsid w:val="00E73DB8"/>
    <w:rsid w:val="00E73F46"/>
    <w:rsid w:val="00E74190"/>
    <w:rsid w:val="00E74257"/>
    <w:rsid w:val="00E7439B"/>
    <w:rsid w:val="00E74404"/>
    <w:rsid w:val="00E744D4"/>
    <w:rsid w:val="00E74608"/>
    <w:rsid w:val="00E74877"/>
    <w:rsid w:val="00E74911"/>
    <w:rsid w:val="00E74A02"/>
    <w:rsid w:val="00E74A43"/>
    <w:rsid w:val="00E74AB3"/>
    <w:rsid w:val="00E74BB4"/>
    <w:rsid w:val="00E74C23"/>
    <w:rsid w:val="00E74CB4"/>
    <w:rsid w:val="00E74F9E"/>
    <w:rsid w:val="00E74FC3"/>
    <w:rsid w:val="00E75025"/>
    <w:rsid w:val="00E751EE"/>
    <w:rsid w:val="00E75251"/>
    <w:rsid w:val="00E75262"/>
    <w:rsid w:val="00E75409"/>
    <w:rsid w:val="00E75447"/>
    <w:rsid w:val="00E7554E"/>
    <w:rsid w:val="00E757C5"/>
    <w:rsid w:val="00E75800"/>
    <w:rsid w:val="00E75928"/>
    <w:rsid w:val="00E75AA6"/>
    <w:rsid w:val="00E75B34"/>
    <w:rsid w:val="00E75BB7"/>
    <w:rsid w:val="00E75FB7"/>
    <w:rsid w:val="00E76043"/>
    <w:rsid w:val="00E760E1"/>
    <w:rsid w:val="00E7622E"/>
    <w:rsid w:val="00E7625D"/>
    <w:rsid w:val="00E762AD"/>
    <w:rsid w:val="00E763B5"/>
    <w:rsid w:val="00E7646E"/>
    <w:rsid w:val="00E765DF"/>
    <w:rsid w:val="00E7672E"/>
    <w:rsid w:val="00E76792"/>
    <w:rsid w:val="00E7680B"/>
    <w:rsid w:val="00E76845"/>
    <w:rsid w:val="00E76872"/>
    <w:rsid w:val="00E76A36"/>
    <w:rsid w:val="00E76BEC"/>
    <w:rsid w:val="00E76D6B"/>
    <w:rsid w:val="00E76D97"/>
    <w:rsid w:val="00E76DF6"/>
    <w:rsid w:val="00E76EAC"/>
    <w:rsid w:val="00E76F89"/>
    <w:rsid w:val="00E76F94"/>
    <w:rsid w:val="00E7717B"/>
    <w:rsid w:val="00E771E5"/>
    <w:rsid w:val="00E77623"/>
    <w:rsid w:val="00E7762F"/>
    <w:rsid w:val="00E776B9"/>
    <w:rsid w:val="00E776FE"/>
    <w:rsid w:val="00E7779B"/>
    <w:rsid w:val="00E777F6"/>
    <w:rsid w:val="00E778B4"/>
    <w:rsid w:val="00E779DC"/>
    <w:rsid w:val="00E77B00"/>
    <w:rsid w:val="00E77B02"/>
    <w:rsid w:val="00E77B4E"/>
    <w:rsid w:val="00E77BBE"/>
    <w:rsid w:val="00E77D7A"/>
    <w:rsid w:val="00E77D9F"/>
    <w:rsid w:val="00E77DB7"/>
    <w:rsid w:val="00E77E9B"/>
    <w:rsid w:val="00E77F46"/>
    <w:rsid w:val="00E77FE3"/>
    <w:rsid w:val="00E80019"/>
    <w:rsid w:val="00E80026"/>
    <w:rsid w:val="00E801AB"/>
    <w:rsid w:val="00E801E8"/>
    <w:rsid w:val="00E802F9"/>
    <w:rsid w:val="00E8039B"/>
    <w:rsid w:val="00E80403"/>
    <w:rsid w:val="00E8047E"/>
    <w:rsid w:val="00E8064C"/>
    <w:rsid w:val="00E80652"/>
    <w:rsid w:val="00E80667"/>
    <w:rsid w:val="00E808AF"/>
    <w:rsid w:val="00E808F6"/>
    <w:rsid w:val="00E809B8"/>
    <w:rsid w:val="00E80AE5"/>
    <w:rsid w:val="00E80BCD"/>
    <w:rsid w:val="00E80CA1"/>
    <w:rsid w:val="00E80CC7"/>
    <w:rsid w:val="00E80D01"/>
    <w:rsid w:val="00E80D54"/>
    <w:rsid w:val="00E80D60"/>
    <w:rsid w:val="00E80D8B"/>
    <w:rsid w:val="00E80F95"/>
    <w:rsid w:val="00E80F96"/>
    <w:rsid w:val="00E80FD6"/>
    <w:rsid w:val="00E8102C"/>
    <w:rsid w:val="00E81069"/>
    <w:rsid w:val="00E81169"/>
    <w:rsid w:val="00E812CF"/>
    <w:rsid w:val="00E812D6"/>
    <w:rsid w:val="00E81307"/>
    <w:rsid w:val="00E81433"/>
    <w:rsid w:val="00E815E7"/>
    <w:rsid w:val="00E81611"/>
    <w:rsid w:val="00E817CE"/>
    <w:rsid w:val="00E817E1"/>
    <w:rsid w:val="00E81920"/>
    <w:rsid w:val="00E81BE3"/>
    <w:rsid w:val="00E81CC1"/>
    <w:rsid w:val="00E81DA4"/>
    <w:rsid w:val="00E81DAD"/>
    <w:rsid w:val="00E81E78"/>
    <w:rsid w:val="00E81ED8"/>
    <w:rsid w:val="00E82052"/>
    <w:rsid w:val="00E82191"/>
    <w:rsid w:val="00E821AC"/>
    <w:rsid w:val="00E821D0"/>
    <w:rsid w:val="00E8226E"/>
    <w:rsid w:val="00E8226F"/>
    <w:rsid w:val="00E822D7"/>
    <w:rsid w:val="00E8234D"/>
    <w:rsid w:val="00E8239A"/>
    <w:rsid w:val="00E82470"/>
    <w:rsid w:val="00E82505"/>
    <w:rsid w:val="00E82516"/>
    <w:rsid w:val="00E82598"/>
    <w:rsid w:val="00E826A4"/>
    <w:rsid w:val="00E82750"/>
    <w:rsid w:val="00E82857"/>
    <w:rsid w:val="00E82979"/>
    <w:rsid w:val="00E82C75"/>
    <w:rsid w:val="00E82E58"/>
    <w:rsid w:val="00E82E7F"/>
    <w:rsid w:val="00E82EA7"/>
    <w:rsid w:val="00E82EB5"/>
    <w:rsid w:val="00E82EB8"/>
    <w:rsid w:val="00E82ECE"/>
    <w:rsid w:val="00E82FBF"/>
    <w:rsid w:val="00E8306F"/>
    <w:rsid w:val="00E83094"/>
    <w:rsid w:val="00E83298"/>
    <w:rsid w:val="00E83317"/>
    <w:rsid w:val="00E83358"/>
    <w:rsid w:val="00E8338F"/>
    <w:rsid w:val="00E83403"/>
    <w:rsid w:val="00E8342E"/>
    <w:rsid w:val="00E83810"/>
    <w:rsid w:val="00E83981"/>
    <w:rsid w:val="00E83995"/>
    <w:rsid w:val="00E83A62"/>
    <w:rsid w:val="00E83AFC"/>
    <w:rsid w:val="00E83C07"/>
    <w:rsid w:val="00E83E58"/>
    <w:rsid w:val="00E83F2F"/>
    <w:rsid w:val="00E83F45"/>
    <w:rsid w:val="00E83F4B"/>
    <w:rsid w:val="00E83FEE"/>
    <w:rsid w:val="00E8416F"/>
    <w:rsid w:val="00E84300"/>
    <w:rsid w:val="00E843B7"/>
    <w:rsid w:val="00E8446E"/>
    <w:rsid w:val="00E84671"/>
    <w:rsid w:val="00E84946"/>
    <w:rsid w:val="00E84A65"/>
    <w:rsid w:val="00E84AAE"/>
    <w:rsid w:val="00E84D3C"/>
    <w:rsid w:val="00E84F06"/>
    <w:rsid w:val="00E84F1C"/>
    <w:rsid w:val="00E84FA6"/>
    <w:rsid w:val="00E84FAD"/>
    <w:rsid w:val="00E84FEB"/>
    <w:rsid w:val="00E85025"/>
    <w:rsid w:val="00E850C6"/>
    <w:rsid w:val="00E8517B"/>
    <w:rsid w:val="00E851BF"/>
    <w:rsid w:val="00E851D9"/>
    <w:rsid w:val="00E85269"/>
    <w:rsid w:val="00E852C5"/>
    <w:rsid w:val="00E852DE"/>
    <w:rsid w:val="00E85313"/>
    <w:rsid w:val="00E853F7"/>
    <w:rsid w:val="00E85410"/>
    <w:rsid w:val="00E854E8"/>
    <w:rsid w:val="00E85519"/>
    <w:rsid w:val="00E8558E"/>
    <w:rsid w:val="00E855F9"/>
    <w:rsid w:val="00E85649"/>
    <w:rsid w:val="00E856AC"/>
    <w:rsid w:val="00E85919"/>
    <w:rsid w:val="00E8591A"/>
    <w:rsid w:val="00E85A0A"/>
    <w:rsid w:val="00E85C2E"/>
    <w:rsid w:val="00E85D77"/>
    <w:rsid w:val="00E85F43"/>
    <w:rsid w:val="00E86048"/>
    <w:rsid w:val="00E86139"/>
    <w:rsid w:val="00E861BC"/>
    <w:rsid w:val="00E86210"/>
    <w:rsid w:val="00E86280"/>
    <w:rsid w:val="00E8636B"/>
    <w:rsid w:val="00E8636F"/>
    <w:rsid w:val="00E8639F"/>
    <w:rsid w:val="00E865C6"/>
    <w:rsid w:val="00E868F0"/>
    <w:rsid w:val="00E86BBC"/>
    <w:rsid w:val="00E86C3A"/>
    <w:rsid w:val="00E86D2B"/>
    <w:rsid w:val="00E86D57"/>
    <w:rsid w:val="00E86D94"/>
    <w:rsid w:val="00E86E1D"/>
    <w:rsid w:val="00E86EFE"/>
    <w:rsid w:val="00E872E2"/>
    <w:rsid w:val="00E87407"/>
    <w:rsid w:val="00E87456"/>
    <w:rsid w:val="00E87478"/>
    <w:rsid w:val="00E874B0"/>
    <w:rsid w:val="00E87520"/>
    <w:rsid w:val="00E876AB"/>
    <w:rsid w:val="00E87746"/>
    <w:rsid w:val="00E8782F"/>
    <w:rsid w:val="00E8786C"/>
    <w:rsid w:val="00E8793E"/>
    <w:rsid w:val="00E8794D"/>
    <w:rsid w:val="00E879C5"/>
    <w:rsid w:val="00E87A54"/>
    <w:rsid w:val="00E87B04"/>
    <w:rsid w:val="00E87B35"/>
    <w:rsid w:val="00E87B8B"/>
    <w:rsid w:val="00E87BAA"/>
    <w:rsid w:val="00E87CAD"/>
    <w:rsid w:val="00E87CF4"/>
    <w:rsid w:val="00E87D95"/>
    <w:rsid w:val="00E87D98"/>
    <w:rsid w:val="00E87DFF"/>
    <w:rsid w:val="00E87EDB"/>
    <w:rsid w:val="00E87F40"/>
    <w:rsid w:val="00E87FB9"/>
    <w:rsid w:val="00E87FF0"/>
    <w:rsid w:val="00E90162"/>
    <w:rsid w:val="00E9035F"/>
    <w:rsid w:val="00E90532"/>
    <w:rsid w:val="00E905C1"/>
    <w:rsid w:val="00E9076B"/>
    <w:rsid w:val="00E907AE"/>
    <w:rsid w:val="00E9084F"/>
    <w:rsid w:val="00E909A0"/>
    <w:rsid w:val="00E909D9"/>
    <w:rsid w:val="00E90A46"/>
    <w:rsid w:val="00E90BAD"/>
    <w:rsid w:val="00E90CF2"/>
    <w:rsid w:val="00E90E5E"/>
    <w:rsid w:val="00E9103F"/>
    <w:rsid w:val="00E91078"/>
    <w:rsid w:val="00E910F8"/>
    <w:rsid w:val="00E9113F"/>
    <w:rsid w:val="00E912EB"/>
    <w:rsid w:val="00E913CD"/>
    <w:rsid w:val="00E914F8"/>
    <w:rsid w:val="00E91653"/>
    <w:rsid w:val="00E91773"/>
    <w:rsid w:val="00E91995"/>
    <w:rsid w:val="00E91B71"/>
    <w:rsid w:val="00E91EB1"/>
    <w:rsid w:val="00E91EC0"/>
    <w:rsid w:val="00E9203D"/>
    <w:rsid w:val="00E920E2"/>
    <w:rsid w:val="00E921A0"/>
    <w:rsid w:val="00E92335"/>
    <w:rsid w:val="00E92587"/>
    <w:rsid w:val="00E925D8"/>
    <w:rsid w:val="00E9264F"/>
    <w:rsid w:val="00E92797"/>
    <w:rsid w:val="00E92820"/>
    <w:rsid w:val="00E92835"/>
    <w:rsid w:val="00E92869"/>
    <w:rsid w:val="00E9287B"/>
    <w:rsid w:val="00E92976"/>
    <w:rsid w:val="00E92B90"/>
    <w:rsid w:val="00E92C5A"/>
    <w:rsid w:val="00E92CB1"/>
    <w:rsid w:val="00E92CFA"/>
    <w:rsid w:val="00E931B4"/>
    <w:rsid w:val="00E931D5"/>
    <w:rsid w:val="00E9321D"/>
    <w:rsid w:val="00E93300"/>
    <w:rsid w:val="00E9339E"/>
    <w:rsid w:val="00E93797"/>
    <w:rsid w:val="00E93806"/>
    <w:rsid w:val="00E93860"/>
    <w:rsid w:val="00E9388C"/>
    <w:rsid w:val="00E93925"/>
    <w:rsid w:val="00E93A01"/>
    <w:rsid w:val="00E93AE3"/>
    <w:rsid w:val="00E93B07"/>
    <w:rsid w:val="00E93B1E"/>
    <w:rsid w:val="00E93B2F"/>
    <w:rsid w:val="00E93BAF"/>
    <w:rsid w:val="00E93DE7"/>
    <w:rsid w:val="00E93FEF"/>
    <w:rsid w:val="00E94107"/>
    <w:rsid w:val="00E941CF"/>
    <w:rsid w:val="00E94251"/>
    <w:rsid w:val="00E94362"/>
    <w:rsid w:val="00E94384"/>
    <w:rsid w:val="00E94443"/>
    <w:rsid w:val="00E9446E"/>
    <w:rsid w:val="00E944E5"/>
    <w:rsid w:val="00E94627"/>
    <w:rsid w:val="00E94677"/>
    <w:rsid w:val="00E946C4"/>
    <w:rsid w:val="00E946E5"/>
    <w:rsid w:val="00E947B6"/>
    <w:rsid w:val="00E94940"/>
    <w:rsid w:val="00E94A78"/>
    <w:rsid w:val="00E94A9C"/>
    <w:rsid w:val="00E94ACC"/>
    <w:rsid w:val="00E94B98"/>
    <w:rsid w:val="00E94CC9"/>
    <w:rsid w:val="00E94CFE"/>
    <w:rsid w:val="00E94F59"/>
    <w:rsid w:val="00E94F7D"/>
    <w:rsid w:val="00E950A3"/>
    <w:rsid w:val="00E950A6"/>
    <w:rsid w:val="00E95134"/>
    <w:rsid w:val="00E9517A"/>
    <w:rsid w:val="00E95306"/>
    <w:rsid w:val="00E95531"/>
    <w:rsid w:val="00E9565D"/>
    <w:rsid w:val="00E95718"/>
    <w:rsid w:val="00E95889"/>
    <w:rsid w:val="00E959DF"/>
    <w:rsid w:val="00E959E0"/>
    <w:rsid w:val="00E95A35"/>
    <w:rsid w:val="00E95A5B"/>
    <w:rsid w:val="00E95BF9"/>
    <w:rsid w:val="00E95CE3"/>
    <w:rsid w:val="00E95DAB"/>
    <w:rsid w:val="00E95E03"/>
    <w:rsid w:val="00E95E54"/>
    <w:rsid w:val="00E95F9F"/>
    <w:rsid w:val="00E960E8"/>
    <w:rsid w:val="00E9611A"/>
    <w:rsid w:val="00E96235"/>
    <w:rsid w:val="00E96249"/>
    <w:rsid w:val="00E963BC"/>
    <w:rsid w:val="00E96582"/>
    <w:rsid w:val="00E9660F"/>
    <w:rsid w:val="00E96874"/>
    <w:rsid w:val="00E968A3"/>
    <w:rsid w:val="00E969B3"/>
    <w:rsid w:val="00E969E8"/>
    <w:rsid w:val="00E96A3B"/>
    <w:rsid w:val="00E96B07"/>
    <w:rsid w:val="00E96B3C"/>
    <w:rsid w:val="00E96BFD"/>
    <w:rsid w:val="00E96C21"/>
    <w:rsid w:val="00E96D18"/>
    <w:rsid w:val="00E96D1E"/>
    <w:rsid w:val="00E96E21"/>
    <w:rsid w:val="00E96ECF"/>
    <w:rsid w:val="00E96F3D"/>
    <w:rsid w:val="00E97347"/>
    <w:rsid w:val="00E97463"/>
    <w:rsid w:val="00E974DD"/>
    <w:rsid w:val="00E976C8"/>
    <w:rsid w:val="00E9782E"/>
    <w:rsid w:val="00E9794F"/>
    <w:rsid w:val="00E979F9"/>
    <w:rsid w:val="00E97A82"/>
    <w:rsid w:val="00E97AAD"/>
    <w:rsid w:val="00E97ABE"/>
    <w:rsid w:val="00E97B79"/>
    <w:rsid w:val="00E97D39"/>
    <w:rsid w:val="00E97EE3"/>
    <w:rsid w:val="00E97EE4"/>
    <w:rsid w:val="00E97FCA"/>
    <w:rsid w:val="00E97FCB"/>
    <w:rsid w:val="00EA0069"/>
    <w:rsid w:val="00EA00E1"/>
    <w:rsid w:val="00EA018B"/>
    <w:rsid w:val="00EA01D7"/>
    <w:rsid w:val="00EA01E7"/>
    <w:rsid w:val="00EA0224"/>
    <w:rsid w:val="00EA02DB"/>
    <w:rsid w:val="00EA02EB"/>
    <w:rsid w:val="00EA0424"/>
    <w:rsid w:val="00EA0644"/>
    <w:rsid w:val="00EA07E4"/>
    <w:rsid w:val="00EA0B56"/>
    <w:rsid w:val="00EA0B99"/>
    <w:rsid w:val="00EA0CB9"/>
    <w:rsid w:val="00EA0CE4"/>
    <w:rsid w:val="00EA0D5A"/>
    <w:rsid w:val="00EA0DB6"/>
    <w:rsid w:val="00EA0E2F"/>
    <w:rsid w:val="00EA0E3F"/>
    <w:rsid w:val="00EA0F6C"/>
    <w:rsid w:val="00EA0F82"/>
    <w:rsid w:val="00EA0FA0"/>
    <w:rsid w:val="00EA109C"/>
    <w:rsid w:val="00EA109E"/>
    <w:rsid w:val="00EA1101"/>
    <w:rsid w:val="00EA1179"/>
    <w:rsid w:val="00EA1205"/>
    <w:rsid w:val="00EA1254"/>
    <w:rsid w:val="00EA131B"/>
    <w:rsid w:val="00EA1444"/>
    <w:rsid w:val="00EA149C"/>
    <w:rsid w:val="00EA14FD"/>
    <w:rsid w:val="00EA155A"/>
    <w:rsid w:val="00EA1595"/>
    <w:rsid w:val="00EA171F"/>
    <w:rsid w:val="00EA17B7"/>
    <w:rsid w:val="00EA1828"/>
    <w:rsid w:val="00EA18C3"/>
    <w:rsid w:val="00EA1977"/>
    <w:rsid w:val="00EA1A31"/>
    <w:rsid w:val="00EA1A61"/>
    <w:rsid w:val="00EA1BB6"/>
    <w:rsid w:val="00EA1C4E"/>
    <w:rsid w:val="00EA1C8F"/>
    <w:rsid w:val="00EA1DB4"/>
    <w:rsid w:val="00EA1E66"/>
    <w:rsid w:val="00EA230C"/>
    <w:rsid w:val="00EA2334"/>
    <w:rsid w:val="00EA23B6"/>
    <w:rsid w:val="00EA251A"/>
    <w:rsid w:val="00EA2759"/>
    <w:rsid w:val="00EA2898"/>
    <w:rsid w:val="00EA2A5A"/>
    <w:rsid w:val="00EA2B54"/>
    <w:rsid w:val="00EA2C27"/>
    <w:rsid w:val="00EA2C82"/>
    <w:rsid w:val="00EA2CBE"/>
    <w:rsid w:val="00EA2D01"/>
    <w:rsid w:val="00EA2DAF"/>
    <w:rsid w:val="00EA2E03"/>
    <w:rsid w:val="00EA2EE4"/>
    <w:rsid w:val="00EA33DB"/>
    <w:rsid w:val="00EA3401"/>
    <w:rsid w:val="00EA3428"/>
    <w:rsid w:val="00EA34E1"/>
    <w:rsid w:val="00EA3639"/>
    <w:rsid w:val="00EA3BC0"/>
    <w:rsid w:val="00EA3D3B"/>
    <w:rsid w:val="00EA3EDF"/>
    <w:rsid w:val="00EA4089"/>
    <w:rsid w:val="00EA40F4"/>
    <w:rsid w:val="00EA4120"/>
    <w:rsid w:val="00EA4364"/>
    <w:rsid w:val="00EA44F8"/>
    <w:rsid w:val="00EA4520"/>
    <w:rsid w:val="00EA4851"/>
    <w:rsid w:val="00EA4953"/>
    <w:rsid w:val="00EA49D2"/>
    <w:rsid w:val="00EA4BB6"/>
    <w:rsid w:val="00EA4C8C"/>
    <w:rsid w:val="00EA4D3B"/>
    <w:rsid w:val="00EA4D75"/>
    <w:rsid w:val="00EA4E69"/>
    <w:rsid w:val="00EA4F43"/>
    <w:rsid w:val="00EA4F87"/>
    <w:rsid w:val="00EA4FA2"/>
    <w:rsid w:val="00EA5024"/>
    <w:rsid w:val="00EA50B2"/>
    <w:rsid w:val="00EA5195"/>
    <w:rsid w:val="00EA51A5"/>
    <w:rsid w:val="00EA51CF"/>
    <w:rsid w:val="00EA522C"/>
    <w:rsid w:val="00EA525A"/>
    <w:rsid w:val="00EA52E5"/>
    <w:rsid w:val="00EA572F"/>
    <w:rsid w:val="00EA58E4"/>
    <w:rsid w:val="00EA58EF"/>
    <w:rsid w:val="00EA596B"/>
    <w:rsid w:val="00EA59F3"/>
    <w:rsid w:val="00EA5A70"/>
    <w:rsid w:val="00EA5A72"/>
    <w:rsid w:val="00EA5B03"/>
    <w:rsid w:val="00EA5D73"/>
    <w:rsid w:val="00EA5DA9"/>
    <w:rsid w:val="00EA5DE3"/>
    <w:rsid w:val="00EA5E33"/>
    <w:rsid w:val="00EA5E81"/>
    <w:rsid w:val="00EA5F09"/>
    <w:rsid w:val="00EA5F12"/>
    <w:rsid w:val="00EA60B0"/>
    <w:rsid w:val="00EA6103"/>
    <w:rsid w:val="00EA61A9"/>
    <w:rsid w:val="00EA6259"/>
    <w:rsid w:val="00EA633F"/>
    <w:rsid w:val="00EA6368"/>
    <w:rsid w:val="00EA637D"/>
    <w:rsid w:val="00EA6508"/>
    <w:rsid w:val="00EA65BB"/>
    <w:rsid w:val="00EA6640"/>
    <w:rsid w:val="00EA6691"/>
    <w:rsid w:val="00EA685C"/>
    <w:rsid w:val="00EA6907"/>
    <w:rsid w:val="00EA696B"/>
    <w:rsid w:val="00EA6A37"/>
    <w:rsid w:val="00EA6A60"/>
    <w:rsid w:val="00EA6C8D"/>
    <w:rsid w:val="00EA6CAA"/>
    <w:rsid w:val="00EA6D13"/>
    <w:rsid w:val="00EA6D47"/>
    <w:rsid w:val="00EA6D56"/>
    <w:rsid w:val="00EA6EEC"/>
    <w:rsid w:val="00EA6F5F"/>
    <w:rsid w:val="00EA7199"/>
    <w:rsid w:val="00EA7225"/>
    <w:rsid w:val="00EA722D"/>
    <w:rsid w:val="00EA7601"/>
    <w:rsid w:val="00EA7618"/>
    <w:rsid w:val="00EA762D"/>
    <w:rsid w:val="00EA767C"/>
    <w:rsid w:val="00EA77A6"/>
    <w:rsid w:val="00EA785B"/>
    <w:rsid w:val="00EA79CE"/>
    <w:rsid w:val="00EA7A0A"/>
    <w:rsid w:val="00EA7AE6"/>
    <w:rsid w:val="00EA7B2C"/>
    <w:rsid w:val="00EA7B7A"/>
    <w:rsid w:val="00EA7CFB"/>
    <w:rsid w:val="00EA7D88"/>
    <w:rsid w:val="00EA7E39"/>
    <w:rsid w:val="00EA7FEB"/>
    <w:rsid w:val="00EB01E2"/>
    <w:rsid w:val="00EB0325"/>
    <w:rsid w:val="00EB0380"/>
    <w:rsid w:val="00EB0469"/>
    <w:rsid w:val="00EB04AC"/>
    <w:rsid w:val="00EB059D"/>
    <w:rsid w:val="00EB0642"/>
    <w:rsid w:val="00EB069B"/>
    <w:rsid w:val="00EB06C7"/>
    <w:rsid w:val="00EB094D"/>
    <w:rsid w:val="00EB09E0"/>
    <w:rsid w:val="00EB0A1F"/>
    <w:rsid w:val="00EB0AE9"/>
    <w:rsid w:val="00EB0D50"/>
    <w:rsid w:val="00EB0E50"/>
    <w:rsid w:val="00EB0E6A"/>
    <w:rsid w:val="00EB0E85"/>
    <w:rsid w:val="00EB0F06"/>
    <w:rsid w:val="00EB0F0E"/>
    <w:rsid w:val="00EB1178"/>
    <w:rsid w:val="00EB124A"/>
    <w:rsid w:val="00EB126D"/>
    <w:rsid w:val="00EB132A"/>
    <w:rsid w:val="00EB1394"/>
    <w:rsid w:val="00EB13C0"/>
    <w:rsid w:val="00EB1604"/>
    <w:rsid w:val="00EB1639"/>
    <w:rsid w:val="00EB16F1"/>
    <w:rsid w:val="00EB1737"/>
    <w:rsid w:val="00EB17C6"/>
    <w:rsid w:val="00EB1A82"/>
    <w:rsid w:val="00EB1A98"/>
    <w:rsid w:val="00EB1C05"/>
    <w:rsid w:val="00EB1C1D"/>
    <w:rsid w:val="00EB1C5A"/>
    <w:rsid w:val="00EB1CDE"/>
    <w:rsid w:val="00EB1E9B"/>
    <w:rsid w:val="00EB2016"/>
    <w:rsid w:val="00EB20F5"/>
    <w:rsid w:val="00EB2168"/>
    <w:rsid w:val="00EB2169"/>
    <w:rsid w:val="00EB2408"/>
    <w:rsid w:val="00EB2503"/>
    <w:rsid w:val="00EB2551"/>
    <w:rsid w:val="00EB257D"/>
    <w:rsid w:val="00EB290B"/>
    <w:rsid w:val="00EB2A44"/>
    <w:rsid w:val="00EB2B26"/>
    <w:rsid w:val="00EB2B29"/>
    <w:rsid w:val="00EB2B77"/>
    <w:rsid w:val="00EB2C1A"/>
    <w:rsid w:val="00EB2CDD"/>
    <w:rsid w:val="00EB2CEB"/>
    <w:rsid w:val="00EB2CEF"/>
    <w:rsid w:val="00EB3036"/>
    <w:rsid w:val="00EB313F"/>
    <w:rsid w:val="00EB31DD"/>
    <w:rsid w:val="00EB326F"/>
    <w:rsid w:val="00EB329C"/>
    <w:rsid w:val="00EB333C"/>
    <w:rsid w:val="00EB337B"/>
    <w:rsid w:val="00EB33C7"/>
    <w:rsid w:val="00EB35B9"/>
    <w:rsid w:val="00EB35F9"/>
    <w:rsid w:val="00EB3792"/>
    <w:rsid w:val="00EB3820"/>
    <w:rsid w:val="00EB384A"/>
    <w:rsid w:val="00EB3A1B"/>
    <w:rsid w:val="00EB3AF4"/>
    <w:rsid w:val="00EB3B43"/>
    <w:rsid w:val="00EB3C15"/>
    <w:rsid w:val="00EB3D3E"/>
    <w:rsid w:val="00EB3E09"/>
    <w:rsid w:val="00EB3E75"/>
    <w:rsid w:val="00EB3EAD"/>
    <w:rsid w:val="00EB3F5A"/>
    <w:rsid w:val="00EB3F94"/>
    <w:rsid w:val="00EB400D"/>
    <w:rsid w:val="00EB405C"/>
    <w:rsid w:val="00EB4495"/>
    <w:rsid w:val="00EB4767"/>
    <w:rsid w:val="00EB47B3"/>
    <w:rsid w:val="00EB47CC"/>
    <w:rsid w:val="00EB47F9"/>
    <w:rsid w:val="00EB487D"/>
    <w:rsid w:val="00EB4AA0"/>
    <w:rsid w:val="00EB4B3C"/>
    <w:rsid w:val="00EB4D27"/>
    <w:rsid w:val="00EB4E8F"/>
    <w:rsid w:val="00EB4EB4"/>
    <w:rsid w:val="00EB4EBA"/>
    <w:rsid w:val="00EB512A"/>
    <w:rsid w:val="00EB51CD"/>
    <w:rsid w:val="00EB52D0"/>
    <w:rsid w:val="00EB54DB"/>
    <w:rsid w:val="00EB5578"/>
    <w:rsid w:val="00EB55AA"/>
    <w:rsid w:val="00EB562F"/>
    <w:rsid w:val="00EB573B"/>
    <w:rsid w:val="00EB57E0"/>
    <w:rsid w:val="00EB58FA"/>
    <w:rsid w:val="00EB594C"/>
    <w:rsid w:val="00EB5A34"/>
    <w:rsid w:val="00EB5B27"/>
    <w:rsid w:val="00EB5B45"/>
    <w:rsid w:val="00EB5BE5"/>
    <w:rsid w:val="00EB5BFA"/>
    <w:rsid w:val="00EB5D38"/>
    <w:rsid w:val="00EB5D9A"/>
    <w:rsid w:val="00EB5D9E"/>
    <w:rsid w:val="00EB60F5"/>
    <w:rsid w:val="00EB6209"/>
    <w:rsid w:val="00EB628D"/>
    <w:rsid w:val="00EB62A3"/>
    <w:rsid w:val="00EB6318"/>
    <w:rsid w:val="00EB649E"/>
    <w:rsid w:val="00EB652A"/>
    <w:rsid w:val="00EB66C6"/>
    <w:rsid w:val="00EB6738"/>
    <w:rsid w:val="00EB6767"/>
    <w:rsid w:val="00EB6951"/>
    <w:rsid w:val="00EB698A"/>
    <w:rsid w:val="00EB6A25"/>
    <w:rsid w:val="00EB6AB8"/>
    <w:rsid w:val="00EB6C96"/>
    <w:rsid w:val="00EB6C9C"/>
    <w:rsid w:val="00EB6F06"/>
    <w:rsid w:val="00EB7119"/>
    <w:rsid w:val="00EB71EC"/>
    <w:rsid w:val="00EB7207"/>
    <w:rsid w:val="00EB72CB"/>
    <w:rsid w:val="00EB7341"/>
    <w:rsid w:val="00EB74BF"/>
    <w:rsid w:val="00EB7515"/>
    <w:rsid w:val="00EB7643"/>
    <w:rsid w:val="00EB765B"/>
    <w:rsid w:val="00EB777F"/>
    <w:rsid w:val="00EB7856"/>
    <w:rsid w:val="00EB78A2"/>
    <w:rsid w:val="00EB78D4"/>
    <w:rsid w:val="00EB7962"/>
    <w:rsid w:val="00EB7968"/>
    <w:rsid w:val="00EB79B4"/>
    <w:rsid w:val="00EB79D8"/>
    <w:rsid w:val="00EB7A69"/>
    <w:rsid w:val="00EB7ACC"/>
    <w:rsid w:val="00EB7BD8"/>
    <w:rsid w:val="00EB7EF1"/>
    <w:rsid w:val="00EC004B"/>
    <w:rsid w:val="00EC011C"/>
    <w:rsid w:val="00EC0227"/>
    <w:rsid w:val="00EC02F7"/>
    <w:rsid w:val="00EC034E"/>
    <w:rsid w:val="00EC0378"/>
    <w:rsid w:val="00EC0461"/>
    <w:rsid w:val="00EC047F"/>
    <w:rsid w:val="00EC0492"/>
    <w:rsid w:val="00EC058D"/>
    <w:rsid w:val="00EC05A8"/>
    <w:rsid w:val="00EC05DE"/>
    <w:rsid w:val="00EC0736"/>
    <w:rsid w:val="00EC0764"/>
    <w:rsid w:val="00EC0784"/>
    <w:rsid w:val="00EC0852"/>
    <w:rsid w:val="00EC091D"/>
    <w:rsid w:val="00EC094F"/>
    <w:rsid w:val="00EC09B4"/>
    <w:rsid w:val="00EC0C59"/>
    <w:rsid w:val="00EC0DF4"/>
    <w:rsid w:val="00EC0EA3"/>
    <w:rsid w:val="00EC0F23"/>
    <w:rsid w:val="00EC0FA9"/>
    <w:rsid w:val="00EC10B6"/>
    <w:rsid w:val="00EC10D7"/>
    <w:rsid w:val="00EC11C7"/>
    <w:rsid w:val="00EC13E1"/>
    <w:rsid w:val="00EC16DD"/>
    <w:rsid w:val="00EC17C5"/>
    <w:rsid w:val="00EC19BC"/>
    <w:rsid w:val="00EC1B11"/>
    <w:rsid w:val="00EC1CA5"/>
    <w:rsid w:val="00EC1D06"/>
    <w:rsid w:val="00EC1F75"/>
    <w:rsid w:val="00EC1FD2"/>
    <w:rsid w:val="00EC2072"/>
    <w:rsid w:val="00EC2085"/>
    <w:rsid w:val="00EC218C"/>
    <w:rsid w:val="00EC225A"/>
    <w:rsid w:val="00EC2266"/>
    <w:rsid w:val="00EC22B1"/>
    <w:rsid w:val="00EC22DF"/>
    <w:rsid w:val="00EC22FB"/>
    <w:rsid w:val="00EC23F7"/>
    <w:rsid w:val="00EC24CA"/>
    <w:rsid w:val="00EC271C"/>
    <w:rsid w:val="00EC28E9"/>
    <w:rsid w:val="00EC28F0"/>
    <w:rsid w:val="00EC295F"/>
    <w:rsid w:val="00EC299E"/>
    <w:rsid w:val="00EC2A0E"/>
    <w:rsid w:val="00EC2A83"/>
    <w:rsid w:val="00EC2B10"/>
    <w:rsid w:val="00EC2CCA"/>
    <w:rsid w:val="00EC2DA4"/>
    <w:rsid w:val="00EC2DCC"/>
    <w:rsid w:val="00EC2DE1"/>
    <w:rsid w:val="00EC2ECF"/>
    <w:rsid w:val="00EC2FC3"/>
    <w:rsid w:val="00EC3017"/>
    <w:rsid w:val="00EC3107"/>
    <w:rsid w:val="00EC313D"/>
    <w:rsid w:val="00EC338B"/>
    <w:rsid w:val="00EC34CC"/>
    <w:rsid w:val="00EC36D5"/>
    <w:rsid w:val="00EC3770"/>
    <w:rsid w:val="00EC3AF7"/>
    <w:rsid w:val="00EC3BB1"/>
    <w:rsid w:val="00EC3BE0"/>
    <w:rsid w:val="00EC3BFF"/>
    <w:rsid w:val="00EC3C58"/>
    <w:rsid w:val="00EC3CBC"/>
    <w:rsid w:val="00EC3CD4"/>
    <w:rsid w:val="00EC3D39"/>
    <w:rsid w:val="00EC3E2F"/>
    <w:rsid w:val="00EC3E4C"/>
    <w:rsid w:val="00EC3E88"/>
    <w:rsid w:val="00EC3EA5"/>
    <w:rsid w:val="00EC3F7C"/>
    <w:rsid w:val="00EC4061"/>
    <w:rsid w:val="00EC407E"/>
    <w:rsid w:val="00EC429C"/>
    <w:rsid w:val="00EC42AF"/>
    <w:rsid w:val="00EC43A7"/>
    <w:rsid w:val="00EC446B"/>
    <w:rsid w:val="00EC448B"/>
    <w:rsid w:val="00EC4522"/>
    <w:rsid w:val="00EC458E"/>
    <w:rsid w:val="00EC4629"/>
    <w:rsid w:val="00EC47C5"/>
    <w:rsid w:val="00EC493D"/>
    <w:rsid w:val="00EC498A"/>
    <w:rsid w:val="00EC4A18"/>
    <w:rsid w:val="00EC4C6B"/>
    <w:rsid w:val="00EC4CB4"/>
    <w:rsid w:val="00EC4CDE"/>
    <w:rsid w:val="00EC4E4C"/>
    <w:rsid w:val="00EC4F27"/>
    <w:rsid w:val="00EC4F68"/>
    <w:rsid w:val="00EC4FC8"/>
    <w:rsid w:val="00EC5071"/>
    <w:rsid w:val="00EC514F"/>
    <w:rsid w:val="00EC52DD"/>
    <w:rsid w:val="00EC55A0"/>
    <w:rsid w:val="00EC55D3"/>
    <w:rsid w:val="00EC55E6"/>
    <w:rsid w:val="00EC56DB"/>
    <w:rsid w:val="00EC56EA"/>
    <w:rsid w:val="00EC5824"/>
    <w:rsid w:val="00EC5853"/>
    <w:rsid w:val="00EC5A22"/>
    <w:rsid w:val="00EC5A96"/>
    <w:rsid w:val="00EC5ABA"/>
    <w:rsid w:val="00EC5AD0"/>
    <w:rsid w:val="00EC5B7C"/>
    <w:rsid w:val="00EC5B8E"/>
    <w:rsid w:val="00EC5C6C"/>
    <w:rsid w:val="00EC5C8B"/>
    <w:rsid w:val="00EC5E18"/>
    <w:rsid w:val="00EC5EC6"/>
    <w:rsid w:val="00EC5EF0"/>
    <w:rsid w:val="00EC6061"/>
    <w:rsid w:val="00EC61A8"/>
    <w:rsid w:val="00EC6225"/>
    <w:rsid w:val="00EC623D"/>
    <w:rsid w:val="00EC6273"/>
    <w:rsid w:val="00EC6314"/>
    <w:rsid w:val="00EC6329"/>
    <w:rsid w:val="00EC6383"/>
    <w:rsid w:val="00EC63EC"/>
    <w:rsid w:val="00EC64AB"/>
    <w:rsid w:val="00EC668F"/>
    <w:rsid w:val="00EC67D8"/>
    <w:rsid w:val="00EC67FB"/>
    <w:rsid w:val="00EC6852"/>
    <w:rsid w:val="00EC6972"/>
    <w:rsid w:val="00EC699E"/>
    <w:rsid w:val="00EC6AC8"/>
    <w:rsid w:val="00EC6C71"/>
    <w:rsid w:val="00EC6DD2"/>
    <w:rsid w:val="00EC6F69"/>
    <w:rsid w:val="00EC7122"/>
    <w:rsid w:val="00EC718C"/>
    <w:rsid w:val="00EC71BC"/>
    <w:rsid w:val="00EC71DF"/>
    <w:rsid w:val="00EC72CB"/>
    <w:rsid w:val="00EC72DA"/>
    <w:rsid w:val="00EC7373"/>
    <w:rsid w:val="00EC74AF"/>
    <w:rsid w:val="00EC7596"/>
    <w:rsid w:val="00EC75E8"/>
    <w:rsid w:val="00EC7729"/>
    <w:rsid w:val="00EC7791"/>
    <w:rsid w:val="00EC78AE"/>
    <w:rsid w:val="00EC7996"/>
    <w:rsid w:val="00EC7A8C"/>
    <w:rsid w:val="00EC7B45"/>
    <w:rsid w:val="00EC7BCD"/>
    <w:rsid w:val="00EC7CA0"/>
    <w:rsid w:val="00EC7D03"/>
    <w:rsid w:val="00EC7ECE"/>
    <w:rsid w:val="00EC7FA4"/>
    <w:rsid w:val="00ED0056"/>
    <w:rsid w:val="00ED00B8"/>
    <w:rsid w:val="00ED00C4"/>
    <w:rsid w:val="00ED0367"/>
    <w:rsid w:val="00ED037F"/>
    <w:rsid w:val="00ED03A9"/>
    <w:rsid w:val="00ED03B1"/>
    <w:rsid w:val="00ED04A2"/>
    <w:rsid w:val="00ED04D6"/>
    <w:rsid w:val="00ED0527"/>
    <w:rsid w:val="00ED0558"/>
    <w:rsid w:val="00ED055B"/>
    <w:rsid w:val="00ED08BD"/>
    <w:rsid w:val="00ED0926"/>
    <w:rsid w:val="00ED0D9E"/>
    <w:rsid w:val="00ED0E34"/>
    <w:rsid w:val="00ED0E3C"/>
    <w:rsid w:val="00ED0E59"/>
    <w:rsid w:val="00ED0F76"/>
    <w:rsid w:val="00ED0FE8"/>
    <w:rsid w:val="00ED1009"/>
    <w:rsid w:val="00ED10D9"/>
    <w:rsid w:val="00ED1165"/>
    <w:rsid w:val="00ED11F9"/>
    <w:rsid w:val="00ED131B"/>
    <w:rsid w:val="00ED1451"/>
    <w:rsid w:val="00ED14A6"/>
    <w:rsid w:val="00ED14B7"/>
    <w:rsid w:val="00ED15F1"/>
    <w:rsid w:val="00ED1604"/>
    <w:rsid w:val="00ED16FE"/>
    <w:rsid w:val="00ED17B1"/>
    <w:rsid w:val="00ED17C0"/>
    <w:rsid w:val="00ED19C8"/>
    <w:rsid w:val="00ED1ABF"/>
    <w:rsid w:val="00ED1D56"/>
    <w:rsid w:val="00ED1E2A"/>
    <w:rsid w:val="00ED1F7C"/>
    <w:rsid w:val="00ED20CC"/>
    <w:rsid w:val="00ED20E1"/>
    <w:rsid w:val="00ED2139"/>
    <w:rsid w:val="00ED216E"/>
    <w:rsid w:val="00ED226B"/>
    <w:rsid w:val="00ED2300"/>
    <w:rsid w:val="00ED24D8"/>
    <w:rsid w:val="00ED25CC"/>
    <w:rsid w:val="00ED26AD"/>
    <w:rsid w:val="00ED26C4"/>
    <w:rsid w:val="00ED2709"/>
    <w:rsid w:val="00ED2864"/>
    <w:rsid w:val="00ED29D3"/>
    <w:rsid w:val="00ED2B46"/>
    <w:rsid w:val="00ED2BDE"/>
    <w:rsid w:val="00ED2D6A"/>
    <w:rsid w:val="00ED2E42"/>
    <w:rsid w:val="00ED2EFD"/>
    <w:rsid w:val="00ED2FA8"/>
    <w:rsid w:val="00ED30B8"/>
    <w:rsid w:val="00ED3551"/>
    <w:rsid w:val="00ED37D5"/>
    <w:rsid w:val="00ED39DC"/>
    <w:rsid w:val="00ED39E9"/>
    <w:rsid w:val="00ED3B40"/>
    <w:rsid w:val="00ED3BED"/>
    <w:rsid w:val="00ED4110"/>
    <w:rsid w:val="00ED4204"/>
    <w:rsid w:val="00ED4222"/>
    <w:rsid w:val="00ED438B"/>
    <w:rsid w:val="00ED43BA"/>
    <w:rsid w:val="00ED4581"/>
    <w:rsid w:val="00ED4694"/>
    <w:rsid w:val="00ED46DA"/>
    <w:rsid w:val="00ED47B6"/>
    <w:rsid w:val="00ED4A21"/>
    <w:rsid w:val="00ED4A2B"/>
    <w:rsid w:val="00ED4A68"/>
    <w:rsid w:val="00ED4B47"/>
    <w:rsid w:val="00ED4D20"/>
    <w:rsid w:val="00ED4D7A"/>
    <w:rsid w:val="00ED4EA3"/>
    <w:rsid w:val="00ED4F87"/>
    <w:rsid w:val="00ED4F89"/>
    <w:rsid w:val="00ED502E"/>
    <w:rsid w:val="00ED50D2"/>
    <w:rsid w:val="00ED5116"/>
    <w:rsid w:val="00ED5168"/>
    <w:rsid w:val="00ED51F6"/>
    <w:rsid w:val="00ED5205"/>
    <w:rsid w:val="00ED5271"/>
    <w:rsid w:val="00ED53A2"/>
    <w:rsid w:val="00ED53F8"/>
    <w:rsid w:val="00ED5442"/>
    <w:rsid w:val="00ED552D"/>
    <w:rsid w:val="00ED57AD"/>
    <w:rsid w:val="00ED5849"/>
    <w:rsid w:val="00ED5856"/>
    <w:rsid w:val="00ED587F"/>
    <w:rsid w:val="00ED5983"/>
    <w:rsid w:val="00ED5A4A"/>
    <w:rsid w:val="00ED5A87"/>
    <w:rsid w:val="00ED5BBA"/>
    <w:rsid w:val="00ED5E6F"/>
    <w:rsid w:val="00ED5EC8"/>
    <w:rsid w:val="00ED5FE1"/>
    <w:rsid w:val="00ED6016"/>
    <w:rsid w:val="00ED60CE"/>
    <w:rsid w:val="00ED61B0"/>
    <w:rsid w:val="00ED6266"/>
    <w:rsid w:val="00ED627A"/>
    <w:rsid w:val="00ED6432"/>
    <w:rsid w:val="00ED643E"/>
    <w:rsid w:val="00ED64ED"/>
    <w:rsid w:val="00ED65A3"/>
    <w:rsid w:val="00ED65C0"/>
    <w:rsid w:val="00ED6647"/>
    <w:rsid w:val="00ED66A8"/>
    <w:rsid w:val="00ED6775"/>
    <w:rsid w:val="00ED6815"/>
    <w:rsid w:val="00ED69D6"/>
    <w:rsid w:val="00ED69DA"/>
    <w:rsid w:val="00ED6A6F"/>
    <w:rsid w:val="00ED6A9F"/>
    <w:rsid w:val="00ED6B32"/>
    <w:rsid w:val="00ED6C04"/>
    <w:rsid w:val="00ED6C1D"/>
    <w:rsid w:val="00ED6D91"/>
    <w:rsid w:val="00ED6DEA"/>
    <w:rsid w:val="00ED6F10"/>
    <w:rsid w:val="00ED6FCB"/>
    <w:rsid w:val="00ED6FF1"/>
    <w:rsid w:val="00ED7021"/>
    <w:rsid w:val="00ED7088"/>
    <w:rsid w:val="00ED71B9"/>
    <w:rsid w:val="00ED735A"/>
    <w:rsid w:val="00ED7542"/>
    <w:rsid w:val="00ED7573"/>
    <w:rsid w:val="00ED766D"/>
    <w:rsid w:val="00ED76F9"/>
    <w:rsid w:val="00ED76FC"/>
    <w:rsid w:val="00ED7765"/>
    <w:rsid w:val="00ED7890"/>
    <w:rsid w:val="00ED7944"/>
    <w:rsid w:val="00ED7ADF"/>
    <w:rsid w:val="00ED7BA3"/>
    <w:rsid w:val="00ED7BBE"/>
    <w:rsid w:val="00ED7C4D"/>
    <w:rsid w:val="00ED7CD1"/>
    <w:rsid w:val="00ED7FF0"/>
    <w:rsid w:val="00EE00FC"/>
    <w:rsid w:val="00EE01A3"/>
    <w:rsid w:val="00EE04D3"/>
    <w:rsid w:val="00EE04DC"/>
    <w:rsid w:val="00EE0500"/>
    <w:rsid w:val="00EE0531"/>
    <w:rsid w:val="00EE07A8"/>
    <w:rsid w:val="00EE0852"/>
    <w:rsid w:val="00EE08A0"/>
    <w:rsid w:val="00EE095F"/>
    <w:rsid w:val="00EE09B1"/>
    <w:rsid w:val="00EE0A17"/>
    <w:rsid w:val="00EE0A8E"/>
    <w:rsid w:val="00EE0C2D"/>
    <w:rsid w:val="00EE0D09"/>
    <w:rsid w:val="00EE0D10"/>
    <w:rsid w:val="00EE0D33"/>
    <w:rsid w:val="00EE0D4E"/>
    <w:rsid w:val="00EE0E04"/>
    <w:rsid w:val="00EE0F3B"/>
    <w:rsid w:val="00EE101D"/>
    <w:rsid w:val="00EE1207"/>
    <w:rsid w:val="00EE147E"/>
    <w:rsid w:val="00EE1569"/>
    <w:rsid w:val="00EE1584"/>
    <w:rsid w:val="00EE16CE"/>
    <w:rsid w:val="00EE1719"/>
    <w:rsid w:val="00EE1776"/>
    <w:rsid w:val="00EE179E"/>
    <w:rsid w:val="00EE1939"/>
    <w:rsid w:val="00EE19A0"/>
    <w:rsid w:val="00EE1CAF"/>
    <w:rsid w:val="00EE1D05"/>
    <w:rsid w:val="00EE1D25"/>
    <w:rsid w:val="00EE1EFF"/>
    <w:rsid w:val="00EE1F1F"/>
    <w:rsid w:val="00EE1F88"/>
    <w:rsid w:val="00EE2060"/>
    <w:rsid w:val="00EE2169"/>
    <w:rsid w:val="00EE21CA"/>
    <w:rsid w:val="00EE2252"/>
    <w:rsid w:val="00EE232D"/>
    <w:rsid w:val="00EE2405"/>
    <w:rsid w:val="00EE2569"/>
    <w:rsid w:val="00EE25AB"/>
    <w:rsid w:val="00EE260C"/>
    <w:rsid w:val="00EE269A"/>
    <w:rsid w:val="00EE2799"/>
    <w:rsid w:val="00EE27BE"/>
    <w:rsid w:val="00EE288C"/>
    <w:rsid w:val="00EE289B"/>
    <w:rsid w:val="00EE2A65"/>
    <w:rsid w:val="00EE2A7A"/>
    <w:rsid w:val="00EE2B02"/>
    <w:rsid w:val="00EE2BAE"/>
    <w:rsid w:val="00EE2ED0"/>
    <w:rsid w:val="00EE3030"/>
    <w:rsid w:val="00EE34BC"/>
    <w:rsid w:val="00EE3676"/>
    <w:rsid w:val="00EE36B8"/>
    <w:rsid w:val="00EE3819"/>
    <w:rsid w:val="00EE3859"/>
    <w:rsid w:val="00EE39CB"/>
    <w:rsid w:val="00EE3A25"/>
    <w:rsid w:val="00EE3AA0"/>
    <w:rsid w:val="00EE3AFB"/>
    <w:rsid w:val="00EE3BB0"/>
    <w:rsid w:val="00EE3C35"/>
    <w:rsid w:val="00EE3CF0"/>
    <w:rsid w:val="00EE3D04"/>
    <w:rsid w:val="00EE3D9D"/>
    <w:rsid w:val="00EE3E9C"/>
    <w:rsid w:val="00EE3EBF"/>
    <w:rsid w:val="00EE4357"/>
    <w:rsid w:val="00EE43CC"/>
    <w:rsid w:val="00EE4450"/>
    <w:rsid w:val="00EE4453"/>
    <w:rsid w:val="00EE448D"/>
    <w:rsid w:val="00EE45E0"/>
    <w:rsid w:val="00EE4932"/>
    <w:rsid w:val="00EE4A7D"/>
    <w:rsid w:val="00EE4CE5"/>
    <w:rsid w:val="00EE4D46"/>
    <w:rsid w:val="00EE5203"/>
    <w:rsid w:val="00EE53F5"/>
    <w:rsid w:val="00EE559E"/>
    <w:rsid w:val="00EE5679"/>
    <w:rsid w:val="00EE56AC"/>
    <w:rsid w:val="00EE56F3"/>
    <w:rsid w:val="00EE576E"/>
    <w:rsid w:val="00EE5883"/>
    <w:rsid w:val="00EE5888"/>
    <w:rsid w:val="00EE5932"/>
    <w:rsid w:val="00EE59C5"/>
    <w:rsid w:val="00EE5A8A"/>
    <w:rsid w:val="00EE5ADE"/>
    <w:rsid w:val="00EE5B3A"/>
    <w:rsid w:val="00EE5B47"/>
    <w:rsid w:val="00EE5B9B"/>
    <w:rsid w:val="00EE5D1E"/>
    <w:rsid w:val="00EE5FE1"/>
    <w:rsid w:val="00EE607B"/>
    <w:rsid w:val="00EE6266"/>
    <w:rsid w:val="00EE6287"/>
    <w:rsid w:val="00EE632B"/>
    <w:rsid w:val="00EE64C3"/>
    <w:rsid w:val="00EE66FD"/>
    <w:rsid w:val="00EE6721"/>
    <w:rsid w:val="00EE672C"/>
    <w:rsid w:val="00EE6792"/>
    <w:rsid w:val="00EE69E7"/>
    <w:rsid w:val="00EE6B21"/>
    <w:rsid w:val="00EE6B23"/>
    <w:rsid w:val="00EE6D27"/>
    <w:rsid w:val="00EE6D68"/>
    <w:rsid w:val="00EE6E66"/>
    <w:rsid w:val="00EE6E71"/>
    <w:rsid w:val="00EE6EA2"/>
    <w:rsid w:val="00EE7056"/>
    <w:rsid w:val="00EE712C"/>
    <w:rsid w:val="00EE71F5"/>
    <w:rsid w:val="00EE74BF"/>
    <w:rsid w:val="00EE773E"/>
    <w:rsid w:val="00EE77B2"/>
    <w:rsid w:val="00EE78F1"/>
    <w:rsid w:val="00EE790A"/>
    <w:rsid w:val="00EE794A"/>
    <w:rsid w:val="00EE7AA7"/>
    <w:rsid w:val="00EE7DA3"/>
    <w:rsid w:val="00EE7DA5"/>
    <w:rsid w:val="00EE7DB6"/>
    <w:rsid w:val="00EE7ECF"/>
    <w:rsid w:val="00EF0134"/>
    <w:rsid w:val="00EF0400"/>
    <w:rsid w:val="00EF041A"/>
    <w:rsid w:val="00EF0614"/>
    <w:rsid w:val="00EF0685"/>
    <w:rsid w:val="00EF08CF"/>
    <w:rsid w:val="00EF09D5"/>
    <w:rsid w:val="00EF09FB"/>
    <w:rsid w:val="00EF0A4C"/>
    <w:rsid w:val="00EF0B05"/>
    <w:rsid w:val="00EF0B49"/>
    <w:rsid w:val="00EF0BFC"/>
    <w:rsid w:val="00EF0D23"/>
    <w:rsid w:val="00EF0DBE"/>
    <w:rsid w:val="00EF0F18"/>
    <w:rsid w:val="00EF0FA0"/>
    <w:rsid w:val="00EF1127"/>
    <w:rsid w:val="00EF1222"/>
    <w:rsid w:val="00EF1316"/>
    <w:rsid w:val="00EF1403"/>
    <w:rsid w:val="00EF1480"/>
    <w:rsid w:val="00EF1A0A"/>
    <w:rsid w:val="00EF1B76"/>
    <w:rsid w:val="00EF1BB6"/>
    <w:rsid w:val="00EF1C31"/>
    <w:rsid w:val="00EF1C51"/>
    <w:rsid w:val="00EF1F32"/>
    <w:rsid w:val="00EF21E5"/>
    <w:rsid w:val="00EF2348"/>
    <w:rsid w:val="00EF24B2"/>
    <w:rsid w:val="00EF24E2"/>
    <w:rsid w:val="00EF24F3"/>
    <w:rsid w:val="00EF2562"/>
    <w:rsid w:val="00EF25F9"/>
    <w:rsid w:val="00EF2740"/>
    <w:rsid w:val="00EF27B4"/>
    <w:rsid w:val="00EF28B3"/>
    <w:rsid w:val="00EF2A70"/>
    <w:rsid w:val="00EF2AD9"/>
    <w:rsid w:val="00EF2B93"/>
    <w:rsid w:val="00EF2C61"/>
    <w:rsid w:val="00EF2C78"/>
    <w:rsid w:val="00EF2DF6"/>
    <w:rsid w:val="00EF2E8A"/>
    <w:rsid w:val="00EF2FED"/>
    <w:rsid w:val="00EF2FF5"/>
    <w:rsid w:val="00EF312C"/>
    <w:rsid w:val="00EF31A5"/>
    <w:rsid w:val="00EF321B"/>
    <w:rsid w:val="00EF3270"/>
    <w:rsid w:val="00EF34D6"/>
    <w:rsid w:val="00EF3521"/>
    <w:rsid w:val="00EF3542"/>
    <w:rsid w:val="00EF3610"/>
    <w:rsid w:val="00EF3688"/>
    <w:rsid w:val="00EF3720"/>
    <w:rsid w:val="00EF379B"/>
    <w:rsid w:val="00EF39E9"/>
    <w:rsid w:val="00EF3AC4"/>
    <w:rsid w:val="00EF3CF3"/>
    <w:rsid w:val="00EF3E1E"/>
    <w:rsid w:val="00EF3ECB"/>
    <w:rsid w:val="00EF3EDE"/>
    <w:rsid w:val="00EF3FDA"/>
    <w:rsid w:val="00EF4000"/>
    <w:rsid w:val="00EF4055"/>
    <w:rsid w:val="00EF4096"/>
    <w:rsid w:val="00EF4099"/>
    <w:rsid w:val="00EF4130"/>
    <w:rsid w:val="00EF4148"/>
    <w:rsid w:val="00EF4186"/>
    <w:rsid w:val="00EF43FB"/>
    <w:rsid w:val="00EF4482"/>
    <w:rsid w:val="00EF45C0"/>
    <w:rsid w:val="00EF476A"/>
    <w:rsid w:val="00EF47B9"/>
    <w:rsid w:val="00EF4835"/>
    <w:rsid w:val="00EF4952"/>
    <w:rsid w:val="00EF4988"/>
    <w:rsid w:val="00EF4A61"/>
    <w:rsid w:val="00EF4AEF"/>
    <w:rsid w:val="00EF4C99"/>
    <w:rsid w:val="00EF4CE8"/>
    <w:rsid w:val="00EF4DE6"/>
    <w:rsid w:val="00EF4E56"/>
    <w:rsid w:val="00EF4ECE"/>
    <w:rsid w:val="00EF51BF"/>
    <w:rsid w:val="00EF5250"/>
    <w:rsid w:val="00EF52D4"/>
    <w:rsid w:val="00EF534A"/>
    <w:rsid w:val="00EF5367"/>
    <w:rsid w:val="00EF53A8"/>
    <w:rsid w:val="00EF5498"/>
    <w:rsid w:val="00EF54DF"/>
    <w:rsid w:val="00EF55C0"/>
    <w:rsid w:val="00EF55ED"/>
    <w:rsid w:val="00EF56C3"/>
    <w:rsid w:val="00EF596C"/>
    <w:rsid w:val="00EF5972"/>
    <w:rsid w:val="00EF59A1"/>
    <w:rsid w:val="00EF59FE"/>
    <w:rsid w:val="00EF5AA9"/>
    <w:rsid w:val="00EF5EA8"/>
    <w:rsid w:val="00EF5EB8"/>
    <w:rsid w:val="00EF5EC4"/>
    <w:rsid w:val="00EF5F7F"/>
    <w:rsid w:val="00EF603B"/>
    <w:rsid w:val="00EF61CC"/>
    <w:rsid w:val="00EF62A0"/>
    <w:rsid w:val="00EF62B4"/>
    <w:rsid w:val="00EF62C4"/>
    <w:rsid w:val="00EF6310"/>
    <w:rsid w:val="00EF6539"/>
    <w:rsid w:val="00EF657A"/>
    <w:rsid w:val="00EF65F7"/>
    <w:rsid w:val="00EF6607"/>
    <w:rsid w:val="00EF6790"/>
    <w:rsid w:val="00EF68D7"/>
    <w:rsid w:val="00EF6B7E"/>
    <w:rsid w:val="00EF6BA0"/>
    <w:rsid w:val="00EF6BCF"/>
    <w:rsid w:val="00EF6F2F"/>
    <w:rsid w:val="00EF7048"/>
    <w:rsid w:val="00EF71D9"/>
    <w:rsid w:val="00EF7388"/>
    <w:rsid w:val="00EF73DB"/>
    <w:rsid w:val="00EF73F5"/>
    <w:rsid w:val="00EF7555"/>
    <w:rsid w:val="00EF7890"/>
    <w:rsid w:val="00EF78E8"/>
    <w:rsid w:val="00EF793B"/>
    <w:rsid w:val="00EF7D85"/>
    <w:rsid w:val="00EF7E13"/>
    <w:rsid w:val="00EF7E2D"/>
    <w:rsid w:val="00EF7E41"/>
    <w:rsid w:val="00EF7F3C"/>
    <w:rsid w:val="00EF7FAF"/>
    <w:rsid w:val="00EF7FDA"/>
    <w:rsid w:val="00F00070"/>
    <w:rsid w:val="00F001B9"/>
    <w:rsid w:val="00F0022C"/>
    <w:rsid w:val="00F00359"/>
    <w:rsid w:val="00F0035A"/>
    <w:rsid w:val="00F00362"/>
    <w:rsid w:val="00F003BF"/>
    <w:rsid w:val="00F003E8"/>
    <w:rsid w:val="00F00484"/>
    <w:rsid w:val="00F00598"/>
    <w:rsid w:val="00F00625"/>
    <w:rsid w:val="00F006E0"/>
    <w:rsid w:val="00F0087A"/>
    <w:rsid w:val="00F00A1F"/>
    <w:rsid w:val="00F00ACC"/>
    <w:rsid w:val="00F00B77"/>
    <w:rsid w:val="00F00D2B"/>
    <w:rsid w:val="00F00DD5"/>
    <w:rsid w:val="00F01327"/>
    <w:rsid w:val="00F01371"/>
    <w:rsid w:val="00F013D1"/>
    <w:rsid w:val="00F01443"/>
    <w:rsid w:val="00F01473"/>
    <w:rsid w:val="00F0154B"/>
    <w:rsid w:val="00F016EA"/>
    <w:rsid w:val="00F016F2"/>
    <w:rsid w:val="00F0184C"/>
    <w:rsid w:val="00F018B7"/>
    <w:rsid w:val="00F01A17"/>
    <w:rsid w:val="00F01B64"/>
    <w:rsid w:val="00F01BAF"/>
    <w:rsid w:val="00F01BF9"/>
    <w:rsid w:val="00F01CCC"/>
    <w:rsid w:val="00F01DC1"/>
    <w:rsid w:val="00F01E16"/>
    <w:rsid w:val="00F01F1F"/>
    <w:rsid w:val="00F01F8D"/>
    <w:rsid w:val="00F0203F"/>
    <w:rsid w:val="00F020ED"/>
    <w:rsid w:val="00F0229B"/>
    <w:rsid w:val="00F02456"/>
    <w:rsid w:val="00F02498"/>
    <w:rsid w:val="00F02737"/>
    <w:rsid w:val="00F0276E"/>
    <w:rsid w:val="00F027E0"/>
    <w:rsid w:val="00F0283C"/>
    <w:rsid w:val="00F02F5F"/>
    <w:rsid w:val="00F0333E"/>
    <w:rsid w:val="00F03350"/>
    <w:rsid w:val="00F034A8"/>
    <w:rsid w:val="00F0365E"/>
    <w:rsid w:val="00F037D2"/>
    <w:rsid w:val="00F03817"/>
    <w:rsid w:val="00F0387D"/>
    <w:rsid w:val="00F03947"/>
    <w:rsid w:val="00F03CBF"/>
    <w:rsid w:val="00F03D02"/>
    <w:rsid w:val="00F03F0C"/>
    <w:rsid w:val="00F04064"/>
    <w:rsid w:val="00F04107"/>
    <w:rsid w:val="00F041D2"/>
    <w:rsid w:val="00F04224"/>
    <w:rsid w:val="00F04300"/>
    <w:rsid w:val="00F043C3"/>
    <w:rsid w:val="00F043E8"/>
    <w:rsid w:val="00F04422"/>
    <w:rsid w:val="00F04429"/>
    <w:rsid w:val="00F04481"/>
    <w:rsid w:val="00F04531"/>
    <w:rsid w:val="00F0457E"/>
    <w:rsid w:val="00F0468F"/>
    <w:rsid w:val="00F046EF"/>
    <w:rsid w:val="00F0473A"/>
    <w:rsid w:val="00F049FC"/>
    <w:rsid w:val="00F04A55"/>
    <w:rsid w:val="00F04A58"/>
    <w:rsid w:val="00F04BD2"/>
    <w:rsid w:val="00F05092"/>
    <w:rsid w:val="00F0509A"/>
    <w:rsid w:val="00F050FA"/>
    <w:rsid w:val="00F051E2"/>
    <w:rsid w:val="00F052C0"/>
    <w:rsid w:val="00F05550"/>
    <w:rsid w:val="00F05650"/>
    <w:rsid w:val="00F0593E"/>
    <w:rsid w:val="00F0598D"/>
    <w:rsid w:val="00F059A9"/>
    <w:rsid w:val="00F05A87"/>
    <w:rsid w:val="00F05AD9"/>
    <w:rsid w:val="00F05BCF"/>
    <w:rsid w:val="00F05E7B"/>
    <w:rsid w:val="00F06138"/>
    <w:rsid w:val="00F0647D"/>
    <w:rsid w:val="00F064A3"/>
    <w:rsid w:val="00F064B3"/>
    <w:rsid w:val="00F064D9"/>
    <w:rsid w:val="00F06515"/>
    <w:rsid w:val="00F0651B"/>
    <w:rsid w:val="00F06623"/>
    <w:rsid w:val="00F06910"/>
    <w:rsid w:val="00F06927"/>
    <w:rsid w:val="00F0692C"/>
    <w:rsid w:val="00F0697D"/>
    <w:rsid w:val="00F069D5"/>
    <w:rsid w:val="00F06A11"/>
    <w:rsid w:val="00F06A2D"/>
    <w:rsid w:val="00F06A49"/>
    <w:rsid w:val="00F06AD4"/>
    <w:rsid w:val="00F06D10"/>
    <w:rsid w:val="00F06DD0"/>
    <w:rsid w:val="00F07058"/>
    <w:rsid w:val="00F0709D"/>
    <w:rsid w:val="00F070D2"/>
    <w:rsid w:val="00F071D4"/>
    <w:rsid w:val="00F0743C"/>
    <w:rsid w:val="00F074F6"/>
    <w:rsid w:val="00F07592"/>
    <w:rsid w:val="00F075BD"/>
    <w:rsid w:val="00F077B8"/>
    <w:rsid w:val="00F07805"/>
    <w:rsid w:val="00F07892"/>
    <w:rsid w:val="00F07995"/>
    <w:rsid w:val="00F07A1B"/>
    <w:rsid w:val="00F07A73"/>
    <w:rsid w:val="00F07C65"/>
    <w:rsid w:val="00F07D61"/>
    <w:rsid w:val="00F07D90"/>
    <w:rsid w:val="00F07DA4"/>
    <w:rsid w:val="00F07EC4"/>
    <w:rsid w:val="00F102A0"/>
    <w:rsid w:val="00F102C3"/>
    <w:rsid w:val="00F104C8"/>
    <w:rsid w:val="00F104EB"/>
    <w:rsid w:val="00F105A7"/>
    <w:rsid w:val="00F105EB"/>
    <w:rsid w:val="00F10616"/>
    <w:rsid w:val="00F10873"/>
    <w:rsid w:val="00F10941"/>
    <w:rsid w:val="00F10984"/>
    <w:rsid w:val="00F10A4A"/>
    <w:rsid w:val="00F10A57"/>
    <w:rsid w:val="00F10B30"/>
    <w:rsid w:val="00F10C19"/>
    <w:rsid w:val="00F10C1B"/>
    <w:rsid w:val="00F10CB8"/>
    <w:rsid w:val="00F10D16"/>
    <w:rsid w:val="00F10E40"/>
    <w:rsid w:val="00F10E5C"/>
    <w:rsid w:val="00F10E72"/>
    <w:rsid w:val="00F10E80"/>
    <w:rsid w:val="00F10FDD"/>
    <w:rsid w:val="00F11025"/>
    <w:rsid w:val="00F11096"/>
    <w:rsid w:val="00F11124"/>
    <w:rsid w:val="00F113BA"/>
    <w:rsid w:val="00F114A8"/>
    <w:rsid w:val="00F114F8"/>
    <w:rsid w:val="00F1158D"/>
    <w:rsid w:val="00F115BB"/>
    <w:rsid w:val="00F11674"/>
    <w:rsid w:val="00F117AF"/>
    <w:rsid w:val="00F117E1"/>
    <w:rsid w:val="00F11A76"/>
    <w:rsid w:val="00F11B49"/>
    <w:rsid w:val="00F11C5A"/>
    <w:rsid w:val="00F11D6B"/>
    <w:rsid w:val="00F11E85"/>
    <w:rsid w:val="00F11FA7"/>
    <w:rsid w:val="00F120B8"/>
    <w:rsid w:val="00F124C7"/>
    <w:rsid w:val="00F1250E"/>
    <w:rsid w:val="00F1251A"/>
    <w:rsid w:val="00F1253D"/>
    <w:rsid w:val="00F125A8"/>
    <w:rsid w:val="00F125A9"/>
    <w:rsid w:val="00F12696"/>
    <w:rsid w:val="00F12702"/>
    <w:rsid w:val="00F12A50"/>
    <w:rsid w:val="00F12B79"/>
    <w:rsid w:val="00F12BAA"/>
    <w:rsid w:val="00F12BAB"/>
    <w:rsid w:val="00F12C2C"/>
    <w:rsid w:val="00F12E01"/>
    <w:rsid w:val="00F12E61"/>
    <w:rsid w:val="00F12E93"/>
    <w:rsid w:val="00F12EF1"/>
    <w:rsid w:val="00F12F3C"/>
    <w:rsid w:val="00F12FD7"/>
    <w:rsid w:val="00F1302D"/>
    <w:rsid w:val="00F1303B"/>
    <w:rsid w:val="00F1320C"/>
    <w:rsid w:val="00F1329A"/>
    <w:rsid w:val="00F132EC"/>
    <w:rsid w:val="00F13320"/>
    <w:rsid w:val="00F13426"/>
    <w:rsid w:val="00F13448"/>
    <w:rsid w:val="00F134A9"/>
    <w:rsid w:val="00F1363D"/>
    <w:rsid w:val="00F136A9"/>
    <w:rsid w:val="00F13781"/>
    <w:rsid w:val="00F1378A"/>
    <w:rsid w:val="00F137DB"/>
    <w:rsid w:val="00F1396D"/>
    <w:rsid w:val="00F139F4"/>
    <w:rsid w:val="00F13A9B"/>
    <w:rsid w:val="00F13CB6"/>
    <w:rsid w:val="00F13F4D"/>
    <w:rsid w:val="00F13FE1"/>
    <w:rsid w:val="00F1409B"/>
    <w:rsid w:val="00F1409E"/>
    <w:rsid w:val="00F140BF"/>
    <w:rsid w:val="00F1411A"/>
    <w:rsid w:val="00F141EC"/>
    <w:rsid w:val="00F142F6"/>
    <w:rsid w:val="00F1442A"/>
    <w:rsid w:val="00F1460C"/>
    <w:rsid w:val="00F1477A"/>
    <w:rsid w:val="00F14896"/>
    <w:rsid w:val="00F148B8"/>
    <w:rsid w:val="00F14996"/>
    <w:rsid w:val="00F14AFE"/>
    <w:rsid w:val="00F14B0B"/>
    <w:rsid w:val="00F14B1C"/>
    <w:rsid w:val="00F14ED1"/>
    <w:rsid w:val="00F14F19"/>
    <w:rsid w:val="00F14FB3"/>
    <w:rsid w:val="00F1500E"/>
    <w:rsid w:val="00F1505D"/>
    <w:rsid w:val="00F15078"/>
    <w:rsid w:val="00F15122"/>
    <w:rsid w:val="00F1515D"/>
    <w:rsid w:val="00F1517C"/>
    <w:rsid w:val="00F15230"/>
    <w:rsid w:val="00F153A5"/>
    <w:rsid w:val="00F154C0"/>
    <w:rsid w:val="00F15622"/>
    <w:rsid w:val="00F159F9"/>
    <w:rsid w:val="00F15A60"/>
    <w:rsid w:val="00F15A66"/>
    <w:rsid w:val="00F15D5C"/>
    <w:rsid w:val="00F15D7F"/>
    <w:rsid w:val="00F15DC4"/>
    <w:rsid w:val="00F15EEA"/>
    <w:rsid w:val="00F1605F"/>
    <w:rsid w:val="00F16322"/>
    <w:rsid w:val="00F1642C"/>
    <w:rsid w:val="00F164CA"/>
    <w:rsid w:val="00F16508"/>
    <w:rsid w:val="00F165D0"/>
    <w:rsid w:val="00F165D9"/>
    <w:rsid w:val="00F16635"/>
    <w:rsid w:val="00F168B7"/>
    <w:rsid w:val="00F16961"/>
    <w:rsid w:val="00F16A48"/>
    <w:rsid w:val="00F16A89"/>
    <w:rsid w:val="00F16C5C"/>
    <w:rsid w:val="00F16C6A"/>
    <w:rsid w:val="00F16CAA"/>
    <w:rsid w:val="00F16E47"/>
    <w:rsid w:val="00F16F58"/>
    <w:rsid w:val="00F16FEF"/>
    <w:rsid w:val="00F1726B"/>
    <w:rsid w:val="00F173C5"/>
    <w:rsid w:val="00F17831"/>
    <w:rsid w:val="00F1783E"/>
    <w:rsid w:val="00F17850"/>
    <w:rsid w:val="00F17881"/>
    <w:rsid w:val="00F178B0"/>
    <w:rsid w:val="00F178D6"/>
    <w:rsid w:val="00F178D7"/>
    <w:rsid w:val="00F178E4"/>
    <w:rsid w:val="00F179C5"/>
    <w:rsid w:val="00F17AC1"/>
    <w:rsid w:val="00F17BDA"/>
    <w:rsid w:val="00F17BDC"/>
    <w:rsid w:val="00F17C3D"/>
    <w:rsid w:val="00F17D71"/>
    <w:rsid w:val="00F17F42"/>
    <w:rsid w:val="00F17F46"/>
    <w:rsid w:val="00F17FC2"/>
    <w:rsid w:val="00F17FD1"/>
    <w:rsid w:val="00F17FDB"/>
    <w:rsid w:val="00F20049"/>
    <w:rsid w:val="00F20090"/>
    <w:rsid w:val="00F200A4"/>
    <w:rsid w:val="00F200B9"/>
    <w:rsid w:val="00F2019C"/>
    <w:rsid w:val="00F202E0"/>
    <w:rsid w:val="00F20583"/>
    <w:rsid w:val="00F2059A"/>
    <w:rsid w:val="00F206AB"/>
    <w:rsid w:val="00F206D1"/>
    <w:rsid w:val="00F207DE"/>
    <w:rsid w:val="00F20810"/>
    <w:rsid w:val="00F2090E"/>
    <w:rsid w:val="00F2094D"/>
    <w:rsid w:val="00F20B77"/>
    <w:rsid w:val="00F20BFC"/>
    <w:rsid w:val="00F20C6B"/>
    <w:rsid w:val="00F20CF4"/>
    <w:rsid w:val="00F20F02"/>
    <w:rsid w:val="00F2103D"/>
    <w:rsid w:val="00F21053"/>
    <w:rsid w:val="00F2112B"/>
    <w:rsid w:val="00F211AD"/>
    <w:rsid w:val="00F211B2"/>
    <w:rsid w:val="00F21202"/>
    <w:rsid w:val="00F2126F"/>
    <w:rsid w:val="00F21522"/>
    <w:rsid w:val="00F2158E"/>
    <w:rsid w:val="00F21724"/>
    <w:rsid w:val="00F21AD0"/>
    <w:rsid w:val="00F21B94"/>
    <w:rsid w:val="00F21C97"/>
    <w:rsid w:val="00F21F58"/>
    <w:rsid w:val="00F220A4"/>
    <w:rsid w:val="00F2216A"/>
    <w:rsid w:val="00F221B2"/>
    <w:rsid w:val="00F22233"/>
    <w:rsid w:val="00F22564"/>
    <w:rsid w:val="00F225E3"/>
    <w:rsid w:val="00F227D7"/>
    <w:rsid w:val="00F22917"/>
    <w:rsid w:val="00F229B5"/>
    <w:rsid w:val="00F229C3"/>
    <w:rsid w:val="00F22ACA"/>
    <w:rsid w:val="00F22BF2"/>
    <w:rsid w:val="00F22C21"/>
    <w:rsid w:val="00F22C25"/>
    <w:rsid w:val="00F22C40"/>
    <w:rsid w:val="00F22CFD"/>
    <w:rsid w:val="00F22E93"/>
    <w:rsid w:val="00F22FF8"/>
    <w:rsid w:val="00F2323E"/>
    <w:rsid w:val="00F2324D"/>
    <w:rsid w:val="00F2327E"/>
    <w:rsid w:val="00F23312"/>
    <w:rsid w:val="00F234BA"/>
    <w:rsid w:val="00F23630"/>
    <w:rsid w:val="00F23783"/>
    <w:rsid w:val="00F23814"/>
    <w:rsid w:val="00F23886"/>
    <w:rsid w:val="00F2395E"/>
    <w:rsid w:val="00F2397E"/>
    <w:rsid w:val="00F239C1"/>
    <w:rsid w:val="00F23ADE"/>
    <w:rsid w:val="00F23AF6"/>
    <w:rsid w:val="00F23C1D"/>
    <w:rsid w:val="00F23C8F"/>
    <w:rsid w:val="00F23D5C"/>
    <w:rsid w:val="00F23E2D"/>
    <w:rsid w:val="00F23ED3"/>
    <w:rsid w:val="00F23F20"/>
    <w:rsid w:val="00F240B7"/>
    <w:rsid w:val="00F241D2"/>
    <w:rsid w:val="00F24221"/>
    <w:rsid w:val="00F2428B"/>
    <w:rsid w:val="00F2435C"/>
    <w:rsid w:val="00F24577"/>
    <w:rsid w:val="00F24649"/>
    <w:rsid w:val="00F247E7"/>
    <w:rsid w:val="00F24A03"/>
    <w:rsid w:val="00F24A2E"/>
    <w:rsid w:val="00F24B82"/>
    <w:rsid w:val="00F24C00"/>
    <w:rsid w:val="00F24C21"/>
    <w:rsid w:val="00F24C94"/>
    <w:rsid w:val="00F24DAA"/>
    <w:rsid w:val="00F24DB9"/>
    <w:rsid w:val="00F24E1C"/>
    <w:rsid w:val="00F2504B"/>
    <w:rsid w:val="00F25086"/>
    <w:rsid w:val="00F25205"/>
    <w:rsid w:val="00F25272"/>
    <w:rsid w:val="00F2535A"/>
    <w:rsid w:val="00F253A2"/>
    <w:rsid w:val="00F25763"/>
    <w:rsid w:val="00F25863"/>
    <w:rsid w:val="00F2586C"/>
    <w:rsid w:val="00F259B9"/>
    <w:rsid w:val="00F25A8C"/>
    <w:rsid w:val="00F25ABF"/>
    <w:rsid w:val="00F25BB2"/>
    <w:rsid w:val="00F25C74"/>
    <w:rsid w:val="00F25CF3"/>
    <w:rsid w:val="00F25D15"/>
    <w:rsid w:val="00F25DE7"/>
    <w:rsid w:val="00F25DF0"/>
    <w:rsid w:val="00F25EB7"/>
    <w:rsid w:val="00F25F42"/>
    <w:rsid w:val="00F25FC9"/>
    <w:rsid w:val="00F25FF9"/>
    <w:rsid w:val="00F26008"/>
    <w:rsid w:val="00F2603B"/>
    <w:rsid w:val="00F260F1"/>
    <w:rsid w:val="00F26173"/>
    <w:rsid w:val="00F26213"/>
    <w:rsid w:val="00F2629E"/>
    <w:rsid w:val="00F26369"/>
    <w:rsid w:val="00F2642C"/>
    <w:rsid w:val="00F2644E"/>
    <w:rsid w:val="00F26600"/>
    <w:rsid w:val="00F26764"/>
    <w:rsid w:val="00F26790"/>
    <w:rsid w:val="00F267F8"/>
    <w:rsid w:val="00F26847"/>
    <w:rsid w:val="00F2697C"/>
    <w:rsid w:val="00F26A16"/>
    <w:rsid w:val="00F26A69"/>
    <w:rsid w:val="00F26AC9"/>
    <w:rsid w:val="00F26AE1"/>
    <w:rsid w:val="00F26C47"/>
    <w:rsid w:val="00F26D47"/>
    <w:rsid w:val="00F26D64"/>
    <w:rsid w:val="00F26EC7"/>
    <w:rsid w:val="00F27035"/>
    <w:rsid w:val="00F27138"/>
    <w:rsid w:val="00F272AE"/>
    <w:rsid w:val="00F27346"/>
    <w:rsid w:val="00F2734D"/>
    <w:rsid w:val="00F27449"/>
    <w:rsid w:val="00F2759B"/>
    <w:rsid w:val="00F27665"/>
    <w:rsid w:val="00F276C1"/>
    <w:rsid w:val="00F276F8"/>
    <w:rsid w:val="00F2770E"/>
    <w:rsid w:val="00F27746"/>
    <w:rsid w:val="00F2798E"/>
    <w:rsid w:val="00F279D5"/>
    <w:rsid w:val="00F27ACF"/>
    <w:rsid w:val="00F27AD6"/>
    <w:rsid w:val="00F27BA8"/>
    <w:rsid w:val="00F27C45"/>
    <w:rsid w:val="00F27DAD"/>
    <w:rsid w:val="00F27E36"/>
    <w:rsid w:val="00F27FEC"/>
    <w:rsid w:val="00F300C2"/>
    <w:rsid w:val="00F300D2"/>
    <w:rsid w:val="00F3039C"/>
    <w:rsid w:val="00F3045B"/>
    <w:rsid w:val="00F30499"/>
    <w:rsid w:val="00F304F1"/>
    <w:rsid w:val="00F305E4"/>
    <w:rsid w:val="00F30618"/>
    <w:rsid w:val="00F30759"/>
    <w:rsid w:val="00F308EB"/>
    <w:rsid w:val="00F30A69"/>
    <w:rsid w:val="00F30ADE"/>
    <w:rsid w:val="00F30B8C"/>
    <w:rsid w:val="00F30C6B"/>
    <w:rsid w:val="00F30CAF"/>
    <w:rsid w:val="00F30CDE"/>
    <w:rsid w:val="00F30F0B"/>
    <w:rsid w:val="00F31164"/>
    <w:rsid w:val="00F31200"/>
    <w:rsid w:val="00F31205"/>
    <w:rsid w:val="00F3122E"/>
    <w:rsid w:val="00F31259"/>
    <w:rsid w:val="00F312F2"/>
    <w:rsid w:val="00F313F0"/>
    <w:rsid w:val="00F31404"/>
    <w:rsid w:val="00F314C9"/>
    <w:rsid w:val="00F3157C"/>
    <w:rsid w:val="00F31789"/>
    <w:rsid w:val="00F318D7"/>
    <w:rsid w:val="00F319C5"/>
    <w:rsid w:val="00F31C4C"/>
    <w:rsid w:val="00F31C6F"/>
    <w:rsid w:val="00F31C77"/>
    <w:rsid w:val="00F31CA5"/>
    <w:rsid w:val="00F31D35"/>
    <w:rsid w:val="00F31DEA"/>
    <w:rsid w:val="00F31EAC"/>
    <w:rsid w:val="00F31F2F"/>
    <w:rsid w:val="00F3205B"/>
    <w:rsid w:val="00F32169"/>
    <w:rsid w:val="00F32290"/>
    <w:rsid w:val="00F322C4"/>
    <w:rsid w:val="00F322CB"/>
    <w:rsid w:val="00F3233D"/>
    <w:rsid w:val="00F3234A"/>
    <w:rsid w:val="00F32601"/>
    <w:rsid w:val="00F328FA"/>
    <w:rsid w:val="00F3292E"/>
    <w:rsid w:val="00F32B59"/>
    <w:rsid w:val="00F32C2F"/>
    <w:rsid w:val="00F32D2A"/>
    <w:rsid w:val="00F32D3A"/>
    <w:rsid w:val="00F32E1B"/>
    <w:rsid w:val="00F32FB3"/>
    <w:rsid w:val="00F3314D"/>
    <w:rsid w:val="00F332AE"/>
    <w:rsid w:val="00F3334A"/>
    <w:rsid w:val="00F333F8"/>
    <w:rsid w:val="00F334B2"/>
    <w:rsid w:val="00F33508"/>
    <w:rsid w:val="00F3364C"/>
    <w:rsid w:val="00F336BE"/>
    <w:rsid w:val="00F33742"/>
    <w:rsid w:val="00F339BD"/>
    <w:rsid w:val="00F339F5"/>
    <w:rsid w:val="00F33B1F"/>
    <w:rsid w:val="00F33B4B"/>
    <w:rsid w:val="00F33BE5"/>
    <w:rsid w:val="00F33CD7"/>
    <w:rsid w:val="00F33DF9"/>
    <w:rsid w:val="00F33E7A"/>
    <w:rsid w:val="00F341E5"/>
    <w:rsid w:val="00F34482"/>
    <w:rsid w:val="00F344EB"/>
    <w:rsid w:val="00F3465C"/>
    <w:rsid w:val="00F34A2B"/>
    <w:rsid w:val="00F34A9D"/>
    <w:rsid w:val="00F34AB5"/>
    <w:rsid w:val="00F34B57"/>
    <w:rsid w:val="00F34B62"/>
    <w:rsid w:val="00F34BFB"/>
    <w:rsid w:val="00F34CBE"/>
    <w:rsid w:val="00F34E91"/>
    <w:rsid w:val="00F34EA3"/>
    <w:rsid w:val="00F34ECF"/>
    <w:rsid w:val="00F34F6A"/>
    <w:rsid w:val="00F3546B"/>
    <w:rsid w:val="00F35489"/>
    <w:rsid w:val="00F3550F"/>
    <w:rsid w:val="00F3564B"/>
    <w:rsid w:val="00F3573A"/>
    <w:rsid w:val="00F35841"/>
    <w:rsid w:val="00F35A35"/>
    <w:rsid w:val="00F35CAA"/>
    <w:rsid w:val="00F35D38"/>
    <w:rsid w:val="00F35DDB"/>
    <w:rsid w:val="00F35EE8"/>
    <w:rsid w:val="00F35F39"/>
    <w:rsid w:val="00F3603C"/>
    <w:rsid w:val="00F361BE"/>
    <w:rsid w:val="00F362C5"/>
    <w:rsid w:val="00F362DC"/>
    <w:rsid w:val="00F3645E"/>
    <w:rsid w:val="00F3651A"/>
    <w:rsid w:val="00F365D9"/>
    <w:rsid w:val="00F36791"/>
    <w:rsid w:val="00F3683B"/>
    <w:rsid w:val="00F3687F"/>
    <w:rsid w:val="00F3691E"/>
    <w:rsid w:val="00F369D8"/>
    <w:rsid w:val="00F36B10"/>
    <w:rsid w:val="00F36BAD"/>
    <w:rsid w:val="00F36D94"/>
    <w:rsid w:val="00F36E36"/>
    <w:rsid w:val="00F36F49"/>
    <w:rsid w:val="00F36F92"/>
    <w:rsid w:val="00F370AE"/>
    <w:rsid w:val="00F3710C"/>
    <w:rsid w:val="00F372D4"/>
    <w:rsid w:val="00F372E8"/>
    <w:rsid w:val="00F37524"/>
    <w:rsid w:val="00F37577"/>
    <w:rsid w:val="00F375CA"/>
    <w:rsid w:val="00F376CB"/>
    <w:rsid w:val="00F376E9"/>
    <w:rsid w:val="00F3780B"/>
    <w:rsid w:val="00F37957"/>
    <w:rsid w:val="00F37B45"/>
    <w:rsid w:val="00F37C28"/>
    <w:rsid w:val="00F37D69"/>
    <w:rsid w:val="00F37DC9"/>
    <w:rsid w:val="00F37DD7"/>
    <w:rsid w:val="00F37E59"/>
    <w:rsid w:val="00F37EF3"/>
    <w:rsid w:val="00F37F01"/>
    <w:rsid w:val="00F400E0"/>
    <w:rsid w:val="00F40144"/>
    <w:rsid w:val="00F401A7"/>
    <w:rsid w:val="00F40242"/>
    <w:rsid w:val="00F4029A"/>
    <w:rsid w:val="00F402EC"/>
    <w:rsid w:val="00F402F7"/>
    <w:rsid w:val="00F4037D"/>
    <w:rsid w:val="00F403E7"/>
    <w:rsid w:val="00F404E9"/>
    <w:rsid w:val="00F40658"/>
    <w:rsid w:val="00F4065F"/>
    <w:rsid w:val="00F40676"/>
    <w:rsid w:val="00F406E8"/>
    <w:rsid w:val="00F4074C"/>
    <w:rsid w:val="00F407CD"/>
    <w:rsid w:val="00F40964"/>
    <w:rsid w:val="00F40A35"/>
    <w:rsid w:val="00F40AC5"/>
    <w:rsid w:val="00F40ACA"/>
    <w:rsid w:val="00F40B2D"/>
    <w:rsid w:val="00F40B58"/>
    <w:rsid w:val="00F40B80"/>
    <w:rsid w:val="00F411AE"/>
    <w:rsid w:val="00F41286"/>
    <w:rsid w:val="00F412E7"/>
    <w:rsid w:val="00F41345"/>
    <w:rsid w:val="00F417C2"/>
    <w:rsid w:val="00F41817"/>
    <w:rsid w:val="00F4187E"/>
    <w:rsid w:val="00F41963"/>
    <w:rsid w:val="00F4199B"/>
    <w:rsid w:val="00F41C84"/>
    <w:rsid w:val="00F41DB1"/>
    <w:rsid w:val="00F41DE1"/>
    <w:rsid w:val="00F42057"/>
    <w:rsid w:val="00F4228B"/>
    <w:rsid w:val="00F422E3"/>
    <w:rsid w:val="00F42420"/>
    <w:rsid w:val="00F42427"/>
    <w:rsid w:val="00F4288B"/>
    <w:rsid w:val="00F428C4"/>
    <w:rsid w:val="00F428D8"/>
    <w:rsid w:val="00F428DE"/>
    <w:rsid w:val="00F429C8"/>
    <w:rsid w:val="00F42A3F"/>
    <w:rsid w:val="00F42A4A"/>
    <w:rsid w:val="00F42A70"/>
    <w:rsid w:val="00F42B09"/>
    <w:rsid w:val="00F42C4B"/>
    <w:rsid w:val="00F42E4B"/>
    <w:rsid w:val="00F4316B"/>
    <w:rsid w:val="00F4329A"/>
    <w:rsid w:val="00F43318"/>
    <w:rsid w:val="00F433C4"/>
    <w:rsid w:val="00F43632"/>
    <w:rsid w:val="00F4366B"/>
    <w:rsid w:val="00F4370E"/>
    <w:rsid w:val="00F437CE"/>
    <w:rsid w:val="00F43C9A"/>
    <w:rsid w:val="00F43C9F"/>
    <w:rsid w:val="00F43CB3"/>
    <w:rsid w:val="00F43CE6"/>
    <w:rsid w:val="00F43E1C"/>
    <w:rsid w:val="00F43E27"/>
    <w:rsid w:val="00F43E51"/>
    <w:rsid w:val="00F43ECF"/>
    <w:rsid w:val="00F43EEE"/>
    <w:rsid w:val="00F43FF2"/>
    <w:rsid w:val="00F44025"/>
    <w:rsid w:val="00F440E8"/>
    <w:rsid w:val="00F4413D"/>
    <w:rsid w:val="00F4423A"/>
    <w:rsid w:val="00F4433C"/>
    <w:rsid w:val="00F44461"/>
    <w:rsid w:val="00F4448D"/>
    <w:rsid w:val="00F444D8"/>
    <w:rsid w:val="00F445C2"/>
    <w:rsid w:val="00F445FF"/>
    <w:rsid w:val="00F4460A"/>
    <w:rsid w:val="00F44640"/>
    <w:rsid w:val="00F44794"/>
    <w:rsid w:val="00F4482D"/>
    <w:rsid w:val="00F448D5"/>
    <w:rsid w:val="00F448DD"/>
    <w:rsid w:val="00F44977"/>
    <w:rsid w:val="00F44AF1"/>
    <w:rsid w:val="00F44B99"/>
    <w:rsid w:val="00F44CD3"/>
    <w:rsid w:val="00F44F3B"/>
    <w:rsid w:val="00F44FAD"/>
    <w:rsid w:val="00F4504E"/>
    <w:rsid w:val="00F45230"/>
    <w:rsid w:val="00F45298"/>
    <w:rsid w:val="00F45554"/>
    <w:rsid w:val="00F45621"/>
    <w:rsid w:val="00F45695"/>
    <w:rsid w:val="00F456C7"/>
    <w:rsid w:val="00F45902"/>
    <w:rsid w:val="00F45926"/>
    <w:rsid w:val="00F45ABC"/>
    <w:rsid w:val="00F45AD4"/>
    <w:rsid w:val="00F45ADD"/>
    <w:rsid w:val="00F45B1D"/>
    <w:rsid w:val="00F45C4E"/>
    <w:rsid w:val="00F45D57"/>
    <w:rsid w:val="00F45DC3"/>
    <w:rsid w:val="00F45F31"/>
    <w:rsid w:val="00F46247"/>
    <w:rsid w:val="00F462C8"/>
    <w:rsid w:val="00F462F0"/>
    <w:rsid w:val="00F462F7"/>
    <w:rsid w:val="00F46418"/>
    <w:rsid w:val="00F46548"/>
    <w:rsid w:val="00F466B5"/>
    <w:rsid w:val="00F467E0"/>
    <w:rsid w:val="00F4681D"/>
    <w:rsid w:val="00F46848"/>
    <w:rsid w:val="00F46876"/>
    <w:rsid w:val="00F46932"/>
    <w:rsid w:val="00F469BC"/>
    <w:rsid w:val="00F46B0F"/>
    <w:rsid w:val="00F46B8F"/>
    <w:rsid w:val="00F46E22"/>
    <w:rsid w:val="00F46F9C"/>
    <w:rsid w:val="00F46FB5"/>
    <w:rsid w:val="00F4705D"/>
    <w:rsid w:val="00F47206"/>
    <w:rsid w:val="00F472B2"/>
    <w:rsid w:val="00F47667"/>
    <w:rsid w:val="00F477BD"/>
    <w:rsid w:val="00F478F0"/>
    <w:rsid w:val="00F4790D"/>
    <w:rsid w:val="00F47929"/>
    <w:rsid w:val="00F479FE"/>
    <w:rsid w:val="00F47B41"/>
    <w:rsid w:val="00F47B51"/>
    <w:rsid w:val="00F47D50"/>
    <w:rsid w:val="00F47D67"/>
    <w:rsid w:val="00F47F1A"/>
    <w:rsid w:val="00F47F71"/>
    <w:rsid w:val="00F47FBC"/>
    <w:rsid w:val="00F50043"/>
    <w:rsid w:val="00F50063"/>
    <w:rsid w:val="00F501CB"/>
    <w:rsid w:val="00F50391"/>
    <w:rsid w:val="00F503E3"/>
    <w:rsid w:val="00F503EF"/>
    <w:rsid w:val="00F5065A"/>
    <w:rsid w:val="00F507B0"/>
    <w:rsid w:val="00F50839"/>
    <w:rsid w:val="00F508B0"/>
    <w:rsid w:val="00F50ACC"/>
    <w:rsid w:val="00F50B82"/>
    <w:rsid w:val="00F50C40"/>
    <w:rsid w:val="00F50C73"/>
    <w:rsid w:val="00F50CE9"/>
    <w:rsid w:val="00F50DFA"/>
    <w:rsid w:val="00F50E03"/>
    <w:rsid w:val="00F50ECB"/>
    <w:rsid w:val="00F50F23"/>
    <w:rsid w:val="00F51480"/>
    <w:rsid w:val="00F514AE"/>
    <w:rsid w:val="00F51507"/>
    <w:rsid w:val="00F5159D"/>
    <w:rsid w:val="00F5167F"/>
    <w:rsid w:val="00F5173D"/>
    <w:rsid w:val="00F51853"/>
    <w:rsid w:val="00F518F0"/>
    <w:rsid w:val="00F51A45"/>
    <w:rsid w:val="00F51D31"/>
    <w:rsid w:val="00F51E4A"/>
    <w:rsid w:val="00F51E8E"/>
    <w:rsid w:val="00F51E8F"/>
    <w:rsid w:val="00F51E9F"/>
    <w:rsid w:val="00F51F19"/>
    <w:rsid w:val="00F51F3D"/>
    <w:rsid w:val="00F51F52"/>
    <w:rsid w:val="00F51F86"/>
    <w:rsid w:val="00F5205E"/>
    <w:rsid w:val="00F52173"/>
    <w:rsid w:val="00F521AD"/>
    <w:rsid w:val="00F52244"/>
    <w:rsid w:val="00F52282"/>
    <w:rsid w:val="00F5230A"/>
    <w:rsid w:val="00F523A3"/>
    <w:rsid w:val="00F5249D"/>
    <w:rsid w:val="00F5252A"/>
    <w:rsid w:val="00F5253C"/>
    <w:rsid w:val="00F52563"/>
    <w:rsid w:val="00F52567"/>
    <w:rsid w:val="00F52613"/>
    <w:rsid w:val="00F52619"/>
    <w:rsid w:val="00F52655"/>
    <w:rsid w:val="00F52721"/>
    <w:rsid w:val="00F52763"/>
    <w:rsid w:val="00F529C7"/>
    <w:rsid w:val="00F529E4"/>
    <w:rsid w:val="00F52A89"/>
    <w:rsid w:val="00F52AC7"/>
    <w:rsid w:val="00F52C60"/>
    <w:rsid w:val="00F52CFD"/>
    <w:rsid w:val="00F52D27"/>
    <w:rsid w:val="00F52E19"/>
    <w:rsid w:val="00F52FA7"/>
    <w:rsid w:val="00F530F6"/>
    <w:rsid w:val="00F53227"/>
    <w:rsid w:val="00F5324D"/>
    <w:rsid w:val="00F53354"/>
    <w:rsid w:val="00F536C7"/>
    <w:rsid w:val="00F5378D"/>
    <w:rsid w:val="00F538C1"/>
    <w:rsid w:val="00F53971"/>
    <w:rsid w:val="00F53985"/>
    <w:rsid w:val="00F539E5"/>
    <w:rsid w:val="00F53A01"/>
    <w:rsid w:val="00F53B68"/>
    <w:rsid w:val="00F53D57"/>
    <w:rsid w:val="00F53F37"/>
    <w:rsid w:val="00F53F4B"/>
    <w:rsid w:val="00F53F5A"/>
    <w:rsid w:val="00F53FDC"/>
    <w:rsid w:val="00F54014"/>
    <w:rsid w:val="00F54060"/>
    <w:rsid w:val="00F54203"/>
    <w:rsid w:val="00F54237"/>
    <w:rsid w:val="00F543EE"/>
    <w:rsid w:val="00F54400"/>
    <w:rsid w:val="00F5441B"/>
    <w:rsid w:val="00F54463"/>
    <w:rsid w:val="00F54759"/>
    <w:rsid w:val="00F547C0"/>
    <w:rsid w:val="00F54839"/>
    <w:rsid w:val="00F5498C"/>
    <w:rsid w:val="00F54ADD"/>
    <w:rsid w:val="00F54B72"/>
    <w:rsid w:val="00F54D5D"/>
    <w:rsid w:val="00F55158"/>
    <w:rsid w:val="00F5531B"/>
    <w:rsid w:val="00F55325"/>
    <w:rsid w:val="00F55363"/>
    <w:rsid w:val="00F553F6"/>
    <w:rsid w:val="00F555CC"/>
    <w:rsid w:val="00F557FB"/>
    <w:rsid w:val="00F55A78"/>
    <w:rsid w:val="00F55B58"/>
    <w:rsid w:val="00F55B91"/>
    <w:rsid w:val="00F55D7A"/>
    <w:rsid w:val="00F55DB6"/>
    <w:rsid w:val="00F55E07"/>
    <w:rsid w:val="00F55E9E"/>
    <w:rsid w:val="00F55EB9"/>
    <w:rsid w:val="00F55EBB"/>
    <w:rsid w:val="00F562B0"/>
    <w:rsid w:val="00F562B9"/>
    <w:rsid w:val="00F56362"/>
    <w:rsid w:val="00F56381"/>
    <w:rsid w:val="00F5639D"/>
    <w:rsid w:val="00F564B1"/>
    <w:rsid w:val="00F564F3"/>
    <w:rsid w:val="00F56562"/>
    <w:rsid w:val="00F5658D"/>
    <w:rsid w:val="00F56646"/>
    <w:rsid w:val="00F5664E"/>
    <w:rsid w:val="00F56677"/>
    <w:rsid w:val="00F56689"/>
    <w:rsid w:val="00F566B0"/>
    <w:rsid w:val="00F5682F"/>
    <w:rsid w:val="00F56842"/>
    <w:rsid w:val="00F56918"/>
    <w:rsid w:val="00F56A19"/>
    <w:rsid w:val="00F56A6D"/>
    <w:rsid w:val="00F56B55"/>
    <w:rsid w:val="00F56BFA"/>
    <w:rsid w:val="00F56C0A"/>
    <w:rsid w:val="00F56CAB"/>
    <w:rsid w:val="00F56E81"/>
    <w:rsid w:val="00F56F93"/>
    <w:rsid w:val="00F5701E"/>
    <w:rsid w:val="00F57021"/>
    <w:rsid w:val="00F57112"/>
    <w:rsid w:val="00F57191"/>
    <w:rsid w:val="00F571CA"/>
    <w:rsid w:val="00F57272"/>
    <w:rsid w:val="00F57396"/>
    <w:rsid w:val="00F573AF"/>
    <w:rsid w:val="00F57426"/>
    <w:rsid w:val="00F57429"/>
    <w:rsid w:val="00F5744D"/>
    <w:rsid w:val="00F575D8"/>
    <w:rsid w:val="00F576D1"/>
    <w:rsid w:val="00F57770"/>
    <w:rsid w:val="00F57776"/>
    <w:rsid w:val="00F57788"/>
    <w:rsid w:val="00F57827"/>
    <w:rsid w:val="00F57A06"/>
    <w:rsid w:val="00F57AC5"/>
    <w:rsid w:val="00F57D8F"/>
    <w:rsid w:val="00F57DBC"/>
    <w:rsid w:val="00F57EA3"/>
    <w:rsid w:val="00F57EDC"/>
    <w:rsid w:val="00F6002F"/>
    <w:rsid w:val="00F600C0"/>
    <w:rsid w:val="00F600CB"/>
    <w:rsid w:val="00F601B2"/>
    <w:rsid w:val="00F601B3"/>
    <w:rsid w:val="00F60246"/>
    <w:rsid w:val="00F60268"/>
    <w:rsid w:val="00F602F1"/>
    <w:rsid w:val="00F6030F"/>
    <w:rsid w:val="00F60384"/>
    <w:rsid w:val="00F603C9"/>
    <w:rsid w:val="00F604C8"/>
    <w:rsid w:val="00F6054E"/>
    <w:rsid w:val="00F606BF"/>
    <w:rsid w:val="00F606C9"/>
    <w:rsid w:val="00F60736"/>
    <w:rsid w:val="00F6086B"/>
    <w:rsid w:val="00F608E2"/>
    <w:rsid w:val="00F6094E"/>
    <w:rsid w:val="00F60977"/>
    <w:rsid w:val="00F60A85"/>
    <w:rsid w:val="00F60AED"/>
    <w:rsid w:val="00F60C28"/>
    <w:rsid w:val="00F60C70"/>
    <w:rsid w:val="00F60CA3"/>
    <w:rsid w:val="00F60DE2"/>
    <w:rsid w:val="00F61040"/>
    <w:rsid w:val="00F61089"/>
    <w:rsid w:val="00F610CA"/>
    <w:rsid w:val="00F611E3"/>
    <w:rsid w:val="00F61279"/>
    <w:rsid w:val="00F61339"/>
    <w:rsid w:val="00F61562"/>
    <w:rsid w:val="00F6185D"/>
    <w:rsid w:val="00F61B7D"/>
    <w:rsid w:val="00F61B87"/>
    <w:rsid w:val="00F61BA2"/>
    <w:rsid w:val="00F61D0F"/>
    <w:rsid w:val="00F61D4D"/>
    <w:rsid w:val="00F61ECE"/>
    <w:rsid w:val="00F61EE6"/>
    <w:rsid w:val="00F6219F"/>
    <w:rsid w:val="00F621FD"/>
    <w:rsid w:val="00F6249B"/>
    <w:rsid w:val="00F625A4"/>
    <w:rsid w:val="00F6269A"/>
    <w:rsid w:val="00F62A16"/>
    <w:rsid w:val="00F62B4B"/>
    <w:rsid w:val="00F62CE8"/>
    <w:rsid w:val="00F62E46"/>
    <w:rsid w:val="00F62EA9"/>
    <w:rsid w:val="00F62EEF"/>
    <w:rsid w:val="00F63000"/>
    <w:rsid w:val="00F631A4"/>
    <w:rsid w:val="00F63288"/>
    <w:rsid w:val="00F632FA"/>
    <w:rsid w:val="00F634E7"/>
    <w:rsid w:val="00F63505"/>
    <w:rsid w:val="00F63558"/>
    <w:rsid w:val="00F6363B"/>
    <w:rsid w:val="00F63673"/>
    <w:rsid w:val="00F6377F"/>
    <w:rsid w:val="00F6379D"/>
    <w:rsid w:val="00F63816"/>
    <w:rsid w:val="00F638EE"/>
    <w:rsid w:val="00F639D8"/>
    <w:rsid w:val="00F63B3F"/>
    <w:rsid w:val="00F63B47"/>
    <w:rsid w:val="00F63B8A"/>
    <w:rsid w:val="00F63C02"/>
    <w:rsid w:val="00F63C6F"/>
    <w:rsid w:val="00F63CDB"/>
    <w:rsid w:val="00F63D27"/>
    <w:rsid w:val="00F63D7D"/>
    <w:rsid w:val="00F63EF7"/>
    <w:rsid w:val="00F63F41"/>
    <w:rsid w:val="00F64072"/>
    <w:rsid w:val="00F640AB"/>
    <w:rsid w:val="00F64252"/>
    <w:rsid w:val="00F642D7"/>
    <w:rsid w:val="00F643EE"/>
    <w:rsid w:val="00F6448D"/>
    <w:rsid w:val="00F644CF"/>
    <w:rsid w:val="00F64725"/>
    <w:rsid w:val="00F647C6"/>
    <w:rsid w:val="00F6489A"/>
    <w:rsid w:val="00F64A2A"/>
    <w:rsid w:val="00F64A35"/>
    <w:rsid w:val="00F64A71"/>
    <w:rsid w:val="00F64A7C"/>
    <w:rsid w:val="00F64B6C"/>
    <w:rsid w:val="00F64BCF"/>
    <w:rsid w:val="00F6506C"/>
    <w:rsid w:val="00F652C8"/>
    <w:rsid w:val="00F653DE"/>
    <w:rsid w:val="00F655A4"/>
    <w:rsid w:val="00F655C4"/>
    <w:rsid w:val="00F656AE"/>
    <w:rsid w:val="00F65843"/>
    <w:rsid w:val="00F6587D"/>
    <w:rsid w:val="00F65939"/>
    <w:rsid w:val="00F6598E"/>
    <w:rsid w:val="00F65A8D"/>
    <w:rsid w:val="00F65B14"/>
    <w:rsid w:val="00F65E35"/>
    <w:rsid w:val="00F65FCF"/>
    <w:rsid w:val="00F66038"/>
    <w:rsid w:val="00F66161"/>
    <w:rsid w:val="00F661F8"/>
    <w:rsid w:val="00F6625D"/>
    <w:rsid w:val="00F66266"/>
    <w:rsid w:val="00F6626E"/>
    <w:rsid w:val="00F662A3"/>
    <w:rsid w:val="00F663B0"/>
    <w:rsid w:val="00F66482"/>
    <w:rsid w:val="00F664A6"/>
    <w:rsid w:val="00F666D8"/>
    <w:rsid w:val="00F666E9"/>
    <w:rsid w:val="00F667D2"/>
    <w:rsid w:val="00F6682C"/>
    <w:rsid w:val="00F668D1"/>
    <w:rsid w:val="00F66A4A"/>
    <w:rsid w:val="00F66D14"/>
    <w:rsid w:val="00F66D9E"/>
    <w:rsid w:val="00F66E18"/>
    <w:rsid w:val="00F66ED0"/>
    <w:rsid w:val="00F66F48"/>
    <w:rsid w:val="00F66F64"/>
    <w:rsid w:val="00F66F73"/>
    <w:rsid w:val="00F670A3"/>
    <w:rsid w:val="00F670E9"/>
    <w:rsid w:val="00F672B8"/>
    <w:rsid w:val="00F672E5"/>
    <w:rsid w:val="00F67322"/>
    <w:rsid w:val="00F673AE"/>
    <w:rsid w:val="00F67468"/>
    <w:rsid w:val="00F674A2"/>
    <w:rsid w:val="00F67703"/>
    <w:rsid w:val="00F67737"/>
    <w:rsid w:val="00F67770"/>
    <w:rsid w:val="00F67852"/>
    <w:rsid w:val="00F678E0"/>
    <w:rsid w:val="00F67A69"/>
    <w:rsid w:val="00F67A8D"/>
    <w:rsid w:val="00F67B0B"/>
    <w:rsid w:val="00F67BA0"/>
    <w:rsid w:val="00F67C2D"/>
    <w:rsid w:val="00F67C8E"/>
    <w:rsid w:val="00F67E61"/>
    <w:rsid w:val="00F67E6C"/>
    <w:rsid w:val="00F67F73"/>
    <w:rsid w:val="00F67FDC"/>
    <w:rsid w:val="00F70023"/>
    <w:rsid w:val="00F70033"/>
    <w:rsid w:val="00F701B1"/>
    <w:rsid w:val="00F701EE"/>
    <w:rsid w:val="00F702D8"/>
    <w:rsid w:val="00F704F0"/>
    <w:rsid w:val="00F705A4"/>
    <w:rsid w:val="00F705C6"/>
    <w:rsid w:val="00F706D9"/>
    <w:rsid w:val="00F7071C"/>
    <w:rsid w:val="00F70728"/>
    <w:rsid w:val="00F70890"/>
    <w:rsid w:val="00F708BE"/>
    <w:rsid w:val="00F708D4"/>
    <w:rsid w:val="00F70C06"/>
    <w:rsid w:val="00F70CF2"/>
    <w:rsid w:val="00F70D4A"/>
    <w:rsid w:val="00F70D72"/>
    <w:rsid w:val="00F70D96"/>
    <w:rsid w:val="00F70EDD"/>
    <w:rsid w:val="00F70F36"/>
    <w:rsid w:val="00F70F49"/>
    <w:rsid w:val="00F70F6A"/>
    <w:rsid w:val="00F70FA0"/>
    <w:rsid w:val="00F71157"/>
    <w:rsid w:val="00F7117E"/>
    <w:rsid w:val="00F711DC"/>
    <w:rsid w:val="00F713A5"/>
    <w:rsid w:val="00F714DD"/>
    <w:rsid w:val="00F71672"/>
    <w:rsid w:val="00F7167A"/>
    <w:rsid w:val="00F71775"/>
    <w:rsid w:val="00F71843"/>
    <w:rsid w:val="00F718E9"/>
    <w:rsid w:val="00F719B5"/>
    <w:rsid w:val="00F71A5F"/>
    <w:rsid w:val="00F71B40"/>
    <w:rsid w:val="00F71B88"/>
    <w:rsid w:val="00F71C59"/>
    <w:rsid w:val="00F71F2F"/>
    <w:rsid w:val="00F71FDC"/>
    <w:rsid w:val="00F7202C"/>
    <w:rsid w:val="00F72160"/>
    <w:rsid w:val="00F7216B"/>
    <w:rsid w:val="00F72216"/>
    <w:rsid w:val="00F723E6"/>
    <w:rsid w:val="00F725F7"/>
    <w:rsid w:val="00F7279A"/>
    <w:rsid w:val="00F727F5"/>
    <w:rsid w:val="00F728E1"/>
    <w:rsid w:val="00F729A1"/>
    <w:rsid w:val="00F72B9E"/>
    <w:rsid w:val="00F72BE6"/>
    <w:rsid w:val="00F72BF3"/>
    <w:rsid w:val="00F72E10"/>
    <w:rsid w:val="00F73045"/>
    <w:rsid w:val="00F7305F"/>
    <w:rsid w:val="00F730EC"/>
    <w:rsid w:val="00F73139"/>
    <w:rsid w:val="00F7318F"/>
    <w:rsid w:val="00F73354"/>
    <w:rsid w:val="00F73569"/>
    <w:rsid w:val="00F735BD"/>
    <w:rsid w:val="00F7361E"/>
    <w:rsid w:val="00F736E0"/>
    <w:rsid w:val="00F73B5B"/>
    <w:rsid w:val="00F73C09"/>
    <w:rsid w:val="00F73CC2"/>
    <w:rsid w:val="00F73CCB"/>
    <w:rsid w:val="00F74013"/>
    <w:rsid w:val="00F7426A"/>
    <w:rsid w:val="00F742D3"/>
    <w:rsid w:val="00F742F7"/>
    <w:rsid w:val="00F74446"/>
    <w:rsid w:val="00F745D3"/>
    <w:rsid w:val="00F74673"/>
    <w:rsid w:val="00F74743"/>
    <w:rsid w:val="00F74B24"/>
    <w:rsid w:val="00F74D5F"/>
    <w:rsid w:val="00F74E16"/>
    <w:rsid w:val="00F751BC"/>
    <w:rsid w:val="00F75290"/>
    <w:rsid w:val="00F752E4"/>
    <w:rsid w:val="00F75418"/>
    <w:rsid w:val="00F7546C"/>
    <w:rsid w:val="00F754C6"/>
    <w:rsid w:val="00F75702"/>
    <w:rsid w:val="00F757F8"/>
    <w:rsid w:val="00F75864"/>
    <w:rsid w:val="00F75A03"/>
    <w:rsid w:val="00F75AEF"/>
    <w:rsid w:val="00F75C2E"/>
    <w:rsid w:val="00F75E22"/>
    <w:rsid w:val="00F75F21"/>
    <w:rsid w:val="00F7622E"/>
    <w:rsid w:val="00F762EE"/>
    <w:rsid w:val="00F762F2"/>
    <w:rsid w:val="00F76347"/>
    <w:rsid w:val="00F76450"/>
    <w:rsid w:val="00F764D4"/>
    <w:rsid w:val="00F76800"/>
    <w:rsid w:val="00F76866"/>
    <w:rsid w:val="00F76878"/>
    <w:rsid w:val="00F7690F"/>
    <w:rsid w:val="00F76918"/>
    <w:rsid w:val="00F76965"/>
    <w:rsid w:val="00F76980"/>
    <w:rsid w:val="00F76B74"/>
    <w:rsid w:val="00F76B75"/>
    <w:rsid w:val="00F76B89"/>
    <w:rsid w:val="00F77284"/>
    <w:rsid w:val="00F7734C"/>
    <w:rsid w:val="00F773DC"/>
    <w:rsid w:val="00F773F9"/>
    <w:rsid w:val="00F77456"/>
    <w:rsid w:val="00F77501"/>
    <w:rsid w:val="00F7751D"/>
    <w:rsid w:val="00F77521"/>
    <w:rsid w:val="00F77541"/>
    <w:rsid w:val="00F77584"/>
    <w:rsid w:val="00F775EA"/>
    <w:rsid w:val="00F77601"/>
    <w:rsid w:val="00F77643"/>
    <w:rsid w:val="00F776BA"/>
    <w:rsid w:val="00F77837"/>
    <w:rsid w:val="00F77984"/>
    <w:rsid w:val="00F77997"/>
    <w:rsid w:val="00F779EA"/>
    <w:rsid w:val="00F77A26"/>
    <w:rsid w:val="00F77A46"/>
    <w:rsid w:val="00F77B14"/>
    <w:rsid w:val="00F77B48"/>
    <w:rsid w:val="00F77B7F"/>
    <w:rsid w:val="00F77CF8"/>
    <w:rsid w:val="00F77DB8"/>
    <w:rsid w:val="00F77EA7"/>
    <w:rsid w:val="00F77FEB"/>
    <w:rsid w:val="00F8028E"/>
    <w:rsid w:val="00F804AF"/>
    <w:rsid w:val="00F805C7"/>
    <w:rsid w:val="00F80613"/>
    <w:rsid w:val="00F8073B"/>
    <w:rsid w:val="00F807A0"/>
    <w:rsid w:val="00F807B1"/>
    <w:rsid w:val="00F8087A"/>
    <w:rsid w:val="00F80D92"/>
    <w:rsid w:val="00F80F34"/>
    <w:rsid w:val="00F8114B"/>
    <w:rsid w:val="00F8129E"/>
    <w:rsid w:val="00F81361"/>
    <w:rsid w:val="00F81450"/>
    <w:rsid w:val="00F814DE"/>
    <w:rsid w:val="00F81525"/>
    <w:rsid w:val="00F8167C"/>
    <w:rsid w:val="00F81830"/>
    <w:rsid w:val="00F818F8"/>
    <w:rsid w:val="00F81903"/>
    <w:rsid w:val="00F81923"/>
    <w:rsid w:val="00F81984"/>
    <w:rsid w:val="00F819B0"/>
    <w:rsid w:val="00F81ACB"/>
    <w:rsid w:val="00F81B98"/>
    <w:rsid w:val="00F81BCB"/>
    <w:rsid w:val="00F81CF3"/>
    <w:rsid w:val="00F81D5D"/>
    <w:rsid w:val="00F81FB6"/>
    <w:rsid w:val="00F82178"/>
    <w:rsid w:val="00F821AA"/>
    <w:rsid w:val="00F82238"/>
    <w:rsid w:val="00F82332"/>
    <w:rsid w:val="00F8237F"/>
    <w:rsid w:val="00F82401"/>
    <w:rsid w:val="00F82420"/>
    <w:rsid w:val="00F82505"/>
    <w:rsid w:val="00F82530"/>
    <w:rsid w:val="00F825C5"/>
    <w:rsid w:val="00F82767"/>
    <w:rsid w:val="00F82864"/>
    <w:rsid w:val="00F829A0"/>
    <w:rsid w:val="00F829EA"/>
    <w:rsid w:val="00F82B66"/>
    <w:rsid w:val="00F82B9B"/>
    <w:rsid w:val="00F82CD1"/>
    <w:rsid w:val="00F82D93"/>
    <w:rsid w:val="00F82E95"/>
    <w:rsid w:val="00F82EE7"/>
    <w:rsid w:val="00F82EFE"/>
    <w:rsid w:val="00F82FEA"/>
    <w:rsid w:val="00F83030"/>
    <w:rsid w:val="00F83053"/>
    <w:rsid w:val="00F830F5"/>
    <w:rsid w:val="00F83270"/>
    <w:rsid w:val="00F832C3"/>
    <w:rsid w:val="00F833B9"/>
    <w:rsid w:val="00F833C8"/>
    <w:rsid w:val="00F833F9"/>
    <w:rsid w:val="00F837BC"/>
    <w:rsid w:val="00F83A1E"/>
    <w:rsid w:val="00F83A89"/>
    <w:rsid w:val="00F83B8C"/>
    <w:rsid w:val="00F83D62"/>
    <w:rsid w:val="00F83E39"/>
    <w:rsid w:val="00F83F74"/>
    <w:rsid w:val="00F83FB6"/>
    <w:rsid w:val="00F84063"/>
    <w:rsid w:val="00F8413C"/>
    <w:rsid w:val="00F842A0"/>
    <w:rsid w:val="00F8437D"/>
    <w:rsid w:val="00F843C3"/>
    <w:rsid w:val="00F844E2"/>
    <w:rsid w:val="00F84801"/>
    <w:rsid w:val="00F84815"/>
    <w:rsid w:val="00F848AF"/>
    <w:rsid w:val="00F84922"/>
    <w:rsid w:val="00F8492A"/>
    <w:rsid w:val="00F84C49"/>
    <w:rsid w:val="00F84C50"/>
    <w:rsid w:val="00F84C52"/>
    <w:rsid w:val="00F84CA8"/>
    <w:rsid w:val="00F8505D"/>
    <w:rsid w:val="00F85060"/>
    <w:rsid w:val="00F85310"/>
    <w:rsid w:val="00F85373"/>
    <w:rsid w:val="00F85440"/>
    <w:rsid w:val="00F8557D"/>
    <w:rsid w:val="00F8562E"/>
    <w:rsid w:val="00F85679"/>
    <w:rsid w:val="00F8569D"/>
    <w:rsid w:val="00F856E7"/>
    <w:rsid w:val="00F85897"/>
    <w:rsid w:val="00F8592B"/>
    <w:rsid w:val="00F8592C"/>
    <w:rsid w:val="00F85AD1"/>
    <w:rsid w:val="00F85AFB"/>
    <w:rsid w:val="00F85B3E"/>
    <w:rsid w:val="00F85B82"/>
    <w:rsid w:val="00F85C7A"/>
    <w:rsid w:val="00F85D05"/>
    <w:rsid w:val="00F85D66"/>
    <w:rsid w:val="00F85E05"/>
    <w:rsid w:val="00F85E4F"/>
    <w:rsid w:val="00F85FA3"/>
    <w:rsid w:val="00F86253"/>
    <w:rsid w:val="00F86291"/>
    <w:rsid w:val="00F86577"/>
    <w:rsid w:val="00F86589"/>
    <w:rsid w:val="00F86714"/>
    <w:rsid w:val="00F867FB"/>
    <w:rsid w:val="00F86872"/>
    <w:rsid w:val="00F86986"/>
    <w:rsid w:val="00F869F4"/>
    <w:rsid w:val="00F86AA3"/>
    <w:rsid w:val="00F86B38"/>
    <w:rsid w:val="00F86B57"/>
    <w:rsid w:val="00F87006"/>
    <w:rsid w:val="00F87080"/>
    <w:rsid w:val="00F871B0"/>
    <w:rsid w:val="00F871D2"/>
    <w:rsid w:val="00F87228"/>
    <w:rsid w:val="00F87229"/>
    <w:rsid w:val="00F874B5"/>
    <w:rsid w:val="00F875FF"/>
    <w:rsid w:val="00F876AA"/>
    <w:rsid w:val="00F8779B"/>
    <w:rsid w:val="00F87825"/>
    <w:rsid w:val="00F87895"/>
    <w:rsid w:val="00F87B01"/>
    <w:rsid w:val="00F87B37"/>
    <w:rsid w:val="00F87BA8"/>
    <w:rsid w:val="00F87C02"/>
    <w:rsid w:val="00F87C15"/>
    <w:rsid w:val="00F87C7D"/>
    <w:rsid w:val="00F87D56"/>
    <w:rsid w:val="00F87E0C"/>
    <w:rsid w:val="00F87F76"/>
    <w:rsid w:val="00F901F6"/>
    <w:rsid w:val="00F90218"/>
    <w:rsid w:val="00F90296"/>
    <w:rsid w:val="00F903A7"/>
    <w:rsid w:val="00F906B8"/>
    <w:rsid w:val="00F90824"/>
    <w:rsid w:val="00F90859"/>
    <w:rsid w:val="00F9085F"/>
    <w:rsid w:val="00F908B4"/>
    <w:rsid w:val="00F908DC"/>
    <w:rsid w:val="00F9094F"/>
    <w:rsid w:val="00F909F4"/>
    <w:rsid w:val="00F90A26"/>
    <w:rsid w:val="00F90D0F"/>
    <w:rsid w:val="00F90F52"/>
    <w:rsid w:val="00F90F9E"/>
    <w:rsid w:val="00F90FD8"/>
    <w:rsid w:val="00F91129"/>
    <w:rsid w:val="00F9114A"/>
    <w:rsid w:val="00F911FF"/>
    <w:rsid w:val="00F9125D"/>
    <w:rsid w:val="00F91291"/>
    <w:rsid w:val="00F9133B"/>
    <w:rsid w:val="00F91395"/>
    <w:rsid w:val="00F913EE"/>
    <w:rsid w:val="00F91492"/>
    <w:rsid w:val="00F91579"/>
    <w:rsid w:val="00F91692"/>
    <w:rsid w:val="00F917F8"/>
    <w:rsid w:val="00F91970"/>
    <w:rsid w:val="00F91CA1"/>
    <w:rsid w:val="00F91F85"/>
    <w:rsid w:val="00F92061"/>
    <w:rsid w:val="00F920A0"/>
    <w:rsid w:val="00F92116"/>
    <w:rsid w:val="00F9214C"/>
    <w:rsid w:val="00F9227D"/>
    <w:rsid w:val="00F92343"/>
    <w:rsid w:val="00F9247A"/>
    <w:rsid w:val="00F924D9"/>
    <w:rsid w:val="00F9250C"/>
    <w:rsid w:val="00F926C4"/>
    <w:rsid w:val="00F92704"/>
    <w:rsid w:val="00F927DD"/>
    <w:rsid w:val="00F928D3"/>
    <w:rsid w:val="00F92986"/>
    <w:rsid w:val="00F92A6B"/>
    <w:rsid w:val="00F92AA7"/>
    <w:rsid w:val="00F92AF4"/>
    <w:rsid w:val="00F92F6B"/>
    <w:rsid w:val="00F93168"/>
    <w:rsid w:val="00F9348D"/>
    <w:rsid w:val="00F93556"/>
    <w:rsid w:val="00F93561"/>
    <w:rsid w:val="00F935EC"/>
    <w:rsid w:val="00F93785"/>
    <w:rsid w:val="00F937FB"/>
    <w:rsid w:val="00F93801"/>
    <w:rsid w:val="00F93BB4"/>
    <w:rsid w:val="00F93C69"/>
    <w:rsid w:val="00F93CF7"/>
    <w:rsid w:val="00F93D2B"/>
    <w:rsid w:val="00F93D4E"/>
    <w:rsid w:val="00F93E84"/>
    <w:rsid w:val="00F93EFC"/>
    <w:rsid w:val="00F93F10"/>
    <w:rsid w:val="00F93F6D"/>
    <w:rsid w:val="00F94067"/>
    <w:rsid w:val="00F940E3"/>
    <w:rsid w:val="00F94191"/>
    <w:rsid w:val="00F941E9"/>
    <w:rsid w:val="00F94281"/>
    <w:rsid w:val="00F94357"/>
    <w:rsid w:val="00F9445D"/>
    <w:rsid w:val="00F945B7"/>
    <w:rsid w:val="00F947C4"/>
    <w:rsid w:val="00F9489E"/>
    <w:rsid w:val="00F9496A"/>
    <w:rsid w:val="00F94B2B"/>
    <w:rsid w:val="00F94B52"/>
    <w:rsid w:val="00F94B6A"/>
    <w:rsid w:val="00F94C55"/>
    <w:rsid w:val="00F94DFD"/>
    <w:rsid w:val="00F94E85"/>
    <w:rsid w:val="00F94E9A"/>
    <w:rsid w:val="00F94EFB"/>
    <w:rsid w:val="00F94F49"/>
    <w:rsid w:val="00F95043"/>
    <w:rsid w:val="00F95116"/>
    <w:rsid w:val="00F951DA"/>
    <w:rsid w:val="00F95237"/>
    <w:rsid w:val="00F9531D"/>
    <w:rsid w:val="00F958CE"/>
    <w:rsid w:val="00F958D8"/>
    <w:rsid w:val="00F95912"/>
    <w:rsid w:val="00F95933"/>
    <w:rsid w:val="00F959A6"/>
    <w:rsid w:val="00F95A37"/>
    <w:rsid w:val="00F95AC2"/>
    <w:rsid w:val="00F95BA3"/>
    <w:rsid w:val="00F95C1F"/>
    <w:rsid w:val="00F95D57"/>
    <w:rsid w:val="00F95E91"/>
    <w:rsid w:val="00F95F44"/>
    <w:rsid w:val="00F95F92"/>
    <w:rsid w:val="00F95FBA"/>
    <w:rsid w:val="00F95FE5"/>
    <w:rsid w:val="00F96157"/>
    <w:rsid w:val="00F96261"/>
    <w:rsid w:val="00F9631C"/>
    <w:rsid w:val="00F963B7"/>
    <w:rsid w:val="00F963D9"/>
    <w:rsid w:val="00F963E6"/>
    <w:rsid w:val="00F963E8"/>
    <w:rsid w:val="00F965D9"/>
    <w:rsid w:val="00F96677"/>
    <w:rsid w:val="00F9670E"/>
    <w:rsid w:val="00F967A5"/>
    <w:rsid w:val="00F96872"/>
    <w:rsid w:val="00F969BF"/>
    <w:rsid w:val="00F96A19"/>
    <w:rsid w:val="00F96A76"/>
    <w:rsid w:val="00F96B1A"/>
    <w:rsid w:val="00F96C0D"/>
    <w:rsid w:val="00F96C42"/>
    <w:rsid w:val="00F96C9D"/>
    <w:rsid w:val="00F96D92"/>
    <w:rsid w:val="00F96E9D"/>
    <w:rsid w:val="00F96FF5"/>
    <w:rsid w:val="00F97178"/>
    <w:rsid w:val="00F971BC"/>
    <w:rsid w:val="00F9727A"/>
    <w:rsid w:val="00F972EA"/>
    <w:rsid w:val="00F972F7"/>
    <w:rsid w:val="00F9731E"/>
    <w:rsid w:val="00F9741F"/>
    <w:rsid w:val="00F974B7"/>
    <w:rsid w:val="00F97514"/>
    <w:rsid w:val="00F9754B"/>
    <w:rsid w:val="00F975C8"/>
    <w:rsid w:val="00F97616"/>
    <w:rsid w:val="00F976E0"/>
    <w:rsid w:val="00F97764"/>
    <w:rsid w:val="00F978F3"/>
    <w:rsid w:val="00F97969"/>
    <w:rsid w:val="00F979AA"/>
    <w:rsid w:val="00F97B5D"/>
    <w:rsid w:val="00F97DE1"/>
    <w:rsid w:val="00F97E4C"/>
    <w:rsid w:val="00F97F94"/>
    <w:rsid w:val="00FA00C0"/>
    <w:rsid w:val="00FA013D"/>
    <w:rsid w:val="00FA023E"/>
    <w:rsid w:val="00FA0267"/>
    <w:rsid w:val="00FA032E"/>
    <w:rsid w:val="00FA03B5"/>
    <w:rsid w:val="00FA03E3"/>
    <w:rsid w:val="00FA03F4"/>
    <w:rsid w:val="00FA0400"/>
    <w:rsid w:val="00FA0505"/>
    <w:rsid w:val="00FA0A30"/>
    <w:rsid w:val="00FA0AAE"/>
    <w:rsid w:val="00FA0B42"/>
    <w:rsid w:val="00FA0CB1"/>
    <w:rsid w:val="00FA0DAD"/>
    <w:rsid w:val="00FA0ED8"/>
    <w:rsid w:val="00FA0F25"/>
    <w:rsid w:val="00FA0FAD"/>
    <w:rsid w:val="00FA0FFA"/>
    <w:rsid w:val="00FA1081"/>
    <w:rsid w:val="00FA114A"/>
    <w:rsid w:val="00FA11EB"/>
    <w:rsid w:val="00FA12B7"/>
    <w:rsid w:val="00FA140A"/>
    <w:rsid w:val="00FA1504"/>
    <w:rsid w:val="00FA150C"/>
    <w:rsid w:val="00FA15CD"/>
    <w:rsid w:val="00FA15EF"/>
    <w:rsid w:val="00FA1639"/>
    <w:rsid w:val="00FA1743"/>
    <w:rsid w:val="00FA17C7"/>
    <w:rsid w:val="00FA18DD"/>
    <w:rsid w:val="00FA199C"/>
    <w:rsid w:val="00FA1CB7"/>
    <w:rsid w:val="00FA1ED9"/>
    <w:rsid w:val="00FA1F3F"/>
    <w:rsid w:val="00FA249B"/>
    <w:rsid w:val="00FA272F"/>
    <w:rsid w:val="00FA2779"/>
    <w:rsid w:val="00FA28D4"/>
    <w:rsid w:val="00FA2A87"/>
    <w:rsid w:val="00FA2B2F"/>
    <w:rsid w:val="00FA2B9D"/>
    <w:rsid w:val="00FA2BC3"/>
    <w:rsid w:val="00FA2C8F"/>
    <w:rsid w:val="00FA2D0C"/>
    <w:rsid w:val="00FA2DEB"/>
    <w:rsid w:val="00FA2DF7"/>
    <w:rsid w:val="00FA3083"/>
    <w:rsid w:val="00FA3097"/>
    <w:rsid w:val="00FA30FF"/>
    <w:rsid w:val="00FA3156"/>
    <w:rsid w:val="00FA335B"/>
    <w:rsid w:val="00FA3360"/>
    <w:rsid w:val="00FA3382"/>
    <w:rsid w:val="00FA354B"/>
    <w:rsid w:val="00FA37E7"/>
    <w:rsid w:val="00FA392D"/>
    <w:rsid w:val="00FA39C0"/>
    <w:rsid w:val="00FA39F6"/>
    <w:rsid w:val="00FA3A3C"/>
    <w:rsid w:val="00FA3AD5"/>
    <w:rsid w:val="00FA3B99"/>
    <w:rsid w:val="00FA3C5D"/>
    <w:rsid w:val="00FA3C6B"/>
    <w:rsid w:val="00FA3CA8"/>
    <w:rsid w:val="00FA3D0C"/>
    <w:rsid w:val="00FA3D21"/>
    <w:rsid w:val="00FA3DD9"/>
    <w:rsid w:val="00FA3DFC"/>
    <w:rsid w:val="00FA40CA"/>
    <w:rsid w:val="00FA42AF"/>
    <w:rsid w:val="00FA44B3"/>
    <w:rsid w:val="00FA4526"/>
    <w:rsid w:val="00FA45C8"/>
    <w:rsid w:val="00FA46BC"/>
    <w:rsid w:val="00FA4842"/>
    <w:rsid w:val="00FA4855"/>
    <w:rsid w:val="00FA4916"/>
    <w:rsid w:val="00FA4A87"/>
    <w:rsid w:val="00FA4B01"/>
    <w:rsid w:val="00FA4B03"/>
    <w:rsid w:val="00FA4B31"/>
    <w:rsid w:val="00FA4BD7"/>
    <w:rsid w:val="00FA4CD7"/>
    <w:rsid w:val="00FA4F5B"/>
    <w:rsid w:val="00FA509B"/>
    <w:rsid w:val="00FA519A"/>
    <w:rsid w:val="00FA5200"/>
    <w:rsid w:val="00FA52B3"/>
    <w:rsid w:val="00FA52D8"/>
    <w:rsid w:val="00FA537B"/>
    <w:rsid w:val="00FA546F"/>
    <w:rsid w:val="00FA557F"/>
    <w:rsid w:val="00FA55CC"/>
    <w:rsid w:val="00FA561E"/>
    <w:rsid w:val="00FA563B"/>
    <w:rsid w:val="00FA566E"/>
    <w:rsid w:val="00FA56BB"/>
    <w:rsid w:val="00FA5753"/>
    <w:rsid w:val="00FA5888"/>
    <w:rsid w:val="00FA5918"/>
    <w:rsid w:val="00FA5967"/>
    <w:rsid w:val="00FA596E"/>
    <w:rsid w:val="00FA599F"/>
    <w:rsid w:val="00FA5A6A"/>
    <w:rsid w:val="00FA5BD8"/>
    <w:rsid w:val="00FA5CAD"/>
    <w:rsid w:val="00FA5D48"/>
    <w:rsid w:val="00FA5F4D"/>
    <w:rsid w:val="00FA61C4"/>
    <w:rsid w:val="00FA622D"/>
    <w:rsid w:val="00FA632D"/>
    <w:rsid w:val="00FA633E"/>
    <w:rsid w:val="00FA6385"/>
    <w:rsid w:val="00FA671E"/>
    <w:rsid w:val="00FA67D6"/>
    <w:rsid w:val="00FA67F1"/>
    <w:rsid w:val="00FA681B"/>
    <w:rsid w:val="00FA6881"/>
    <w:rsid w:val="00FA689F"/>
    <w:rsid w:val="00FA68C4"/>
    <w:rsid w:val="00FA69D5"/>
    <w:rsid w:val="00FA6A21"/>
    <w:rsid w:val="00FA6B78"/>
    <w:rsid w:val="00FA6CED"/>
    <w:rsid w:val="00FA6D19"/>
    <w:rsid w:val="00FA6DCD"/>
    <w:rsid w:val="00FA6DD4"/>
    <w:rsid w:val="00FA6EFF"/>
    <w:rsid w:val="00FA6F25"/>
    <w:rsid w:val="00FA6F40"/>
    <w:rsid w:val="00FA6FD0"/>
    <w:rsid w:val="00FA6FF2"/>
    <w:rsid w:val="00FA7093"/>
    <w:rsid w:val="00FA7207"/>
    <w:rsid w:val="00FA7448"/>
    <w:rsid w:val="00FA7451"/>
    <w:rsid w:val="00FA7A22"/>
    <w:rsid w:val="00FA7BAE"/>
    <w:rsid w:val="00FA7D70"/>
    <w:rsid w:val="00FA7DCD"/>
    <w:rsid w:val="00FA7F1D"/>
    <w:rsid w:val="00FB0011"/>
    <w:rsid w:val="00FB00C3"/>
    <w:rsid w:val="00FB014D"/>
    <w:rsid w:val="00FB033A"/>
    <w:rsid w:val="00FB03FA"/>
    <w:rsid w:val="00FB0443"/>
    <w:rsid w:val="00FB044D"/>
    <w:rsid w:val="00FB04DC"/>
    <w:rsid w:val="00FB05C9"/>
    <w:rsid w:val="00FB0619"/>
    <w:rsid w:val="00FB0795"/>
    <w:rsid w:val="00FB0802"/>
    <w:rsid w:val="00FB09B3"/>
    <w:rsid w:val="00FB0A45"/>
    <w:rsid w:val="00FB0AD7"/>
    <w:rsid w:val="00FB0B28"/>
    <w:rsid w:val="00FB0B53"/>
    <w:rsid w:val="00FB0C28"/>
    <w:rsid w:val="00FB0CAF"/>
    <w:rsid w:val="00FB0DB4"/>
    <w:rsid w:val="00FB0DE2"/>
    <w:rsid w:val="00FB0FDA"/>
    <w:rsid w:val="00FB10E6"/>
    <w:rsid w:val="00FB1104"/>
    <w:rsid w:val="00FB12C0"/>
    <w:rsid w:val="00FB1315"/>
    <w:rsid w:val="00FB1363"/>
    <w:rsid w:val="00FB136A"/>
    <w:rsid w:val="00FB14AC"/>
    <w:rsid w:val="00FB1797"/>
    <w:rsid w:val="00FB1903"/>
    <w:rsid w:val="00FB1A73"/>
    <w:rsid w:val="00FB1AA3"/>
    <w:rsid w:val="00FB1AEE"/>
    <w:rsid w:val="00FB1BF3"/>
    <w:rsid w:val="00FB1CFA"/>
    <w:rsid w:val="00FB1CFF"/>
    <w:rsid w:val="00FB1DCF"/>
    <w:rsid w:val="00FB1E02"/>
    <w:rsid w:val="00FB2052"/>
    <w:rsid w:val="00FB20B2"/>
    <w:rsid w:val="00FB20D0"/>
    <w:rsid w:val="00FB20FA"/>
    <w:rsid w:val="00FB2130"/>
    <w:rsid w:val="00FB21AD"/>
    <w:rsid w:val="00FB21F7"/>
    <w:rsid w:val="00FB235C"/>
    <w:rsid w:val="00FB23A0"/>
    <w:rsid w:val="00FB2538"/>
    <w:rsid w:val="00FB253A"/>
    <w:rsid w:val="00FB27AF"/>
    <w:rsid w:val="00FB284C"/>
    <w:rsid w:val="00FB2898"/>
    <w:rsid w:val="00FB2F7C"/>
    <w:rsid w:val="00FB3039"/>
    <w:rsid w:val="00FB30DB"/>
    <w:rsid w:val="00FB3284"/>
    <w:rsid w:val="00FB3285"/>
    <w:rsid w:val="00FB328E"/>
    <w:rsid w:val="00FB345C"/>
    <w:rsid w:val="00FB3554"/>
    <w:rsid w:val="00FB362D"/>
    <w:rsid w:val="00FB367A"/>
    <w:rsid w:val="00FB37CA"/>
    <w:rsid w:val="00FB37EA"/>
    <w:rsid w:val="00FB38C5"/>
    <w:rsid w:val="00FB3912"/>
    <w:rsid w:val="00FB3981"/>
    <w:rsid w:val="00FB3AAE"/>
    <w:rsid w:val="00FB3AE9"/>
    <w:rsid w:val="00FB3BA7"/>
    <w:rsid w:val="00FB3C2B"/>
    <w:rsid w:val="00FB3D06"/>
    <w:rsid w:val="00FB3F59"/>
    <w:rsid w:val="00FB3FAA"/>
    <w:rsid w:val="00FB4139"/>
    <w:rsid w:val="00FB42E7"/>
    <w:rsid w:val="00FB4420"/>
    <w:rsid w:val="00FB45A0"/>
    <w:rsid w:val="00FB45B6"/>
    <w:rsid w:val="00FB4628"/>
    <w:rsid w:val="00FB468F"/>
    <w:rsid w:val="00FB4725"/>
    <w:rsid w:val="00FB476B"/>
    <w:rsid w:val="00FB47AC"/>
    <w:rsid w:val="00FB493B"/>
    <w:rsid w:val="00FB4CAF"/>
    <w:rsid w:val="00FB4CB9"/>
    <w:rsid w:val="00FB4D03"/>
    <w:rsid w:val="00FB4DB3"/>
    <w:rsid w:val="00FB4DE9"/>
    <w:rsid w:val="00FB4E87"/>
    <w:rsid w:val="00FB4F5F"/>
    <w:rsid w:val="00FB4F96"/>
    <w:rsid w:val="00FB4FD2"/>
    <w:rsid w:val="00FB4FE9"/>
    <w:rsid w:val="00FB503C"/>
    <w:rsid w:val="00FB50B4"/>
    <w:rsid w:val="00FB512A"/>
    <w:rsid w:val="00FB518C"/>
    <w:rsid w:val="00FB51F8"/>
    <w:rsid w:val="00FB527F"/>
    <w:rsid w:val="00FB53CD"/>
    <w:rsid w:val="00FB54EC"/>
    <w:rsid w:val="00FB555E"/>
    <w:rsid w:val="00FB56AE"/>
    <w:rsid w:val="00FB5AEE"/>
    <w:rsid w:val="00FB5AF6"/>
    <w:rsid w:val="00FB5AF8"/>
    <w:rsid w:val="00FB5B76"/>
    <w:rsid w:val="00FB5C3D"/>
    <w:rsid w:val="00FB5CC4"/>
    <w:rsid w:val="00FB5E12"/>
    <w:rsid w:val="00FB5E44"/>
    <w:rsid w:val="00FB5EBC"/>
    <w:rsid w:val="00FB5F43"/>
    <w:rsid w:val="00FB5F65"/>
    <w:rsid w:val="00FB606E"/>
    <w:rsid w:val="00FB6103"/>
    <w:rsid w:val="00FB64A3"/>
    <w:rsid w:val="00FB650A"/>
    <w:rsid w:val="00FB6620"/>
    <w:rsid w:val="00FB666C"/>
    <w:rsid w:val="00FB6786"/>
    <w:rsid w:val="00FB68B3"/>
    <w:rsid w:val="00FB68C4"/>
    <w:rsid w:val="00FB6A98"/>
    <w:rsid w:val="00FB6ACE"/>
    <w:rsid w:val="00FB6AD9"/>
    <w:rsid w:val="00FB6CAC"/>
    <w:rsid w:val="00FB6E9E"/>
    <w:rsid w:val="00FB6F91"/>
    <w:rsid w:val="00FB6FB6"/>
    <w:rsid w:val="00FB7010"/>
    <w:rsid w:val="00FB7099"/>
    <w:rsid w:val="00FB7278"/>
    <w:rsid w:val="00FB72B9"/>
    <w:rsid w:val="00FB73C6"/>
    <w:rsid w:val="00FB740D"/>
    <w:rsid w:val="00FB74F1"/>
    <w:rsid w:val="00FB752B"/>
    <w:rsid w:val="00FB7601"/>
    <w:rsid w:val="00FB7614"/>
    <w:rsid w:val="00FB7719"/>
    <w:rsid w:val="00FB78E5"/>
    <w:rsid w:val="00FB79E4"/>
    <w:rsid w:val="00FB7A05"/>
    <w:rsid w:val="00FB7A2D"/>
    <w:rsid w:val="00FB7CAC"/>
    <w:rsid w:val="00FB7CB6"/>
    <w:rsid w:val="00FB7CFD"/>
    <w:rsid w:val="00FB7E65"/>
    <w:rsid w:val="00FB7EA2"/>
    <w:rsid w:val="00FB7F38"/>
    <w:rsid w:val="00FC0073"/>
    <w:rsid w:val="00FC0082"/>
    <w:rsid w:val="00FC009C"/>
    <w:rsid w:val="00FC0200"/>
    <w:rsid w:val="00FC0226"/>
    <w:rsid w:val="00FC022B"/>
    <w:rsid w:val="00FC029D"/>
    <w:rsid w:val="00FC0363"/>
    <w:rsid w:val="00FC03AA"/>
    <w:rsid w:val="00FC03AF"/>
    <w:rsid w:val="00FC05FD"/>
    <w:rsid w:val="00FC062F"/>
    <w:rsid w:val="00FC0749"/>
    <w:rsid w:val="00FC07B8"/>
    <w:rsid w:val="00FC0809"/>
    <w:rsid w:val="00FC087C"/>
    <w:rsid w:val="00FC08A7"/>
    <w:rsid w:val="00FC08D2"/>
    <w:rsid w:val="00FC0949"/>
    <w:rsid w:val="00FC0A3D"/>
    <w:rsid w:val="00FC0A8D"/>
    <w:rsid w:val="00FC0CDA"/>
    <w:rsid w:val="00FC0D7B"/>
    <w:rsid w:val="00FC0DC0"/>
    <w:rsid w:val="00FC0F5A"/>
    <w:rsid w:val="00FC1218"/>
    <w:rsid w:val="00FC1309"/>
    <w:rsid w:val="00FC158B"/>
    <w:rsid w:val="00FC1609"/>
    <w:rsid w:val="00FC1996"/>
    <w:rsid w:val="00FC1A2C"/>
    <w:rsid w:val="00FC1A6D"/>
    <w:rsid w:val="00FC1C26"/>
    <w:rsid w:val="00FC1D56"/>
    <w:rsid w:val="00FC1E0F"/>
    <w:rsid w:val="00FC1E8A"/>
    <w:rsid w:val="00FC1EA1"/>
    <w:rsid w:val="00FC1EA8"/>
    <w:rsid w:val="00FC1EB2"/>
    <w:rsid w:val="00FC1EE2"/>
    <w:rsid w:val="00FC201E"/>
    <w:rsid w:val="00FC2209"/>
    <w:rsid w:val="00FC2237"/>
    <w:rsid w:val="00FC22E5"/>
    <w:rsid w:val="00FC2713"/>
    <w:rsid w:val="00FC2772"/>
    <w:rsid w:val="00FC2875"/>
    <w:rsid w:val="00FC28F4"/>
    <w:rsid w:val="00FC2982"/>
    <w:rsid w:val="00FC2E3C"/>
    <w:rsid w:val="00FC2E84"/>
    <w:rsid w:val="00FC2F5C"/>
    <w:rsid w:val="00FC30F5"/>
    <w:rsid w:val="00FC314D"/>
    <w:rsid w:val="00FC3168"/>
    <w:rsid w:val="00FC3202"/>
    <w:rsid w:val="00FC3256"/>
    <w:rsid w:val="00FC327F"/>
    <w:rsid w:val="00FC3282"/>
    <w:rsid w:val="00FC3295"/>
    <w:rsid w:val="00FC3385"/>
    <w:rsid w:val="00FC3415"/>
    <w:rsid w:val="00FC3419"/>
    <w:rsid w:val="00FC34AB"/>
    <w:rsid w:val="00FC3645"/>
    <w:rsid w:val="00FC3695"/>
    <w:rsid w:val="00FC37AB"/>
    <w:rsid w:val="00FC3BAF"/>
    <w:rsid w:val="00FC3D28"/>
    <w:rsid w:val="00FC3D47"/>
    <w:rsid w:val="00FC3D58"/>
    <w:rsid w:val="00FC3D85"/>
    <w:rsid w:val="00FC3EAA"/>
    <w:rsid w:val="00FC3ED3"/>
    <w:rsid w:val="00FC400D"/>
    <w:rsid w:val="00FC4261"/>
    <w:rsid w:val="00FC43B7"/>
    <w:rsid w:val="00FC43D0"/>
    <w:rsid w:val="00FC452E"/>
    <w:rsid w:val="00FC4538"/>
    <w:rsid w:val="00FC457C"/>
    <w:rsid w:val="00FC4592"/>
    <w:rsid w:val="00FC45F6"/>
    <w:rsid w:val="00FC471D"/>
    <w:rsid w:val="00FC4736"/>
    <w:rsid w:val="00FC47AB"/>
    <w:rsid w:val="00FC47E4"/>
    <w:rsid w:val="00FC4A06"/>
    <w:rsid w:val="00FC4C5F"/>
    <w:rsid w:val="00FC4C65"/>
    <w:rsid w:val="00FC4D1B"/>
    <w:rsid w:val="00FC4D80"/>
    <w:rsid w:val="00FC4E26"/>
    <w:rsid w:val="00FC4ECB"/>
    <w:rsid w:val="00FC4F50"/>
    <w:rsid w:val="00FC5077"/>
    <w:rsid w:val="00FC515D"/>
    <w:rsid w:val="00FC53AA"/>
    <w:rsid w:val="00FC5475"/>
    <w:rsid w:val="00FC54E1"/>
    <w:rsid w:val="00FC5545"/>
    <w:rsid w:val="00FC5568"/>
    <w:rsid w:val="00FC5666"/>
    <w:rsid w:val="00FC5676"/>
    <w:rsid w:val="00FC571E"/>
    <w:rsid w:val="00FC57AC"/>
    <w:rsid w:val="00FC5AC0"/>
    <w:rsid w:val="00FC5AC6"/>
    <w:rsid w:val="00FC5D29"/>
    <w:rsid w:val="00FC5DBF"/>
    <w:rsid w:val="00FC5FD2"/>
    <w:rsid w:val="00FC603F"/>
    <w:rsid w:val="00FC617E"/>
    <w:rsid w:val="00FC61FE"/>
    <w:rsid w:val="00FC627C"/>
    <w:rsid w:val="00FC638C"/>
    <w:rsid w:val="00FC63CE"/>
    <w:rsid w:val="00FC6423"/>
    <w:rsid w:val="00FC64A6"/>
    <w:rsid w:val="00FC651C"/>
    <w:rsid w:val="00FC654C"/>
    <w:rsid w:val="00FC6644"/>
    <w:rsid w:val="00FC66F5"/>
    <w:rsid w:val="00FC6720"/>
    <w:rsid w:val="00FC6820"/>
    <w:rsid w:val="00FC68C2"/>
    <w:rsid w:val="00FC692C"/>
    <w:rsid w:val="00FC6949"/>
    <w:rsid w:val="00FC6965"/>
    <w:rsid w:val="00FC6B3E"/>
    <w:rsid w:val="00FC6B46"/>
    <w:rsid w:val="00FC6C0D"/>
    <w:rsid w:val="00FC7073"/>
    <w:rsid w:val="00FC70E8"/>
    <w:rsid w:val="00FC72D3"/>
    <w:rsid w:val="00FC73B3"/>
    <w:rsid w:val="00FC757C"/>
    <w:rsid w:val="00FC7602"/>
    <w:rsid w:val="00FC7662"/>
    <w:rsid w:val="00FC7984"/>
    <w:rsid w:val="00FC7CC8"/>
    <w:rsid w:val="00FC7CD6"/>
    <w:rsid w:val="00FC7CDF"/>
    <w:rsid w:val="00FC7CF2"/>
    <w:rsid w:val="00FC7EF2"/>
    <w:rsid w:val="00FD05A9"/>
    <w:rsid w:val="00FD05AE"/>
    <w:rsid w:val="00FD0635"/>
    <w:rsid w:val="00FD0645"/>
    <w:rsid w:val="00FD06C8"/>
    <w:rsid w:val="00FD06D5"/>
    <w:rsid w:val="00FD0734"/>
    <w:rsid w:val="00FD0747"/>
    <w:rsid w:val="00FD0799"/>
    <w:rsid w:val="00FD07D4"/>
    <w:rsid w:val="00FD0B76"/>
    <w:rsid w:val="00FD0BC3"/>
    <w:rsid w:val="00FD0E18"/>
    <w:rsid w:val="00FD0E1B"/>
    <w:rsid w:val="00FD0EC6"/>
    <w:rsid w:val="00FD0F2D"/>
    <w:rsid w:val="00FD0F99"/>
    <w:rsid w:val="00FD10D0"/>
    <w:rsid w:val="00FD112E"/>
    <w:rsid w:val="00FD1239"/>
    <w:rsid w:val="00FD129C"/>
    <w:rsid w:val="00FD13CF"/>
    <w:rsid w:val="00FD14F6"/>
    <w:rsid w:val="00FD164D"/>
    <w:rsid w:val="00FD1681"/>
    <w:rsid w:val="00FD16AC"/>
    <w:rsid w:val="00FD170F"/>
    <w:rsid w:val="00FD1760"/>
    <w:rsid w:val="00FD1975"/>
    <w:rsid w:val="00FD1B38"/>
    <w:rsid w:val="00FD1B7B"/>
    <w:rsid w:val="00FD1C75"/>
    <w:rsid w:val="00FD1EE2"/>
    <w:rsid w:val="00FD1FC6"/>
    <w:rsid w:val="00FD2026"/>
    <w:rsid w:val="00FD217B"/>
    <w:rsid w:val="00FD2231"/>
    <w:rsid w:val="00FD22E8"/>
    <w:rsid w:val="00FD22F5"/>
    <w:rsid w:val="00FD22FA"/>
    <w:rsid w:val="00FD23CC"/>
    <w:rsid w:val="00FD23E5"/>
    <w:rsid w:val="00FD2452"/>
    <w:rsid w:val="00FD2562"/>
    <w:rsid w:val="00FD2737"/>
    <w:rsid w:val="00FD2771"/>
    <w:rsid w:val="00FD2809"/>
    <w:rsid w:val="00FD2B5D"/>
    <w:rsid w:val="00FD2B92"/>
    <w:rsid w:val="00FD2C5A"/>
    <w:rsid w:val="00FD2C9D"/>
    <w:rsid w:val="00FD2D11"/>
    <w:rsid w:val="00FD2E53"/>
    <w:rsid w:val="00FD2E79"/>
    <w:rsid w:val="00FD2EBB"/>
    <w:rsid w:val="00FD31FC"/>
    <w:rsid w:val="00FD348D"/>
    <w:rsid w:val="00FD3590"/>
    <w:rsid w:val="00FD35B6"/>
    <w:rsid w:val="00FD35D0"/>
    <w:rsid w:val="00FD366D"/>
    <w:rsid w:val="00FD3720"/>
    <w:rsid w:val="00FD373A"/>
    <w:rsid w:val="00FD37C9"/>
    <w:rsid w:val="00FD38C8"/>
    <w:rsid w:val="00FD398F"/>
    <w:rsid w:val="00FD3AED"/>
    <w:rsid w:val="00FD3BCE"/>
    <w:rsid w:val="00FD3D1B"/>
    <w:rsid w:val="00FD4085"/>
    <w:rsid w:val="00FD43E6"/>
    <w:rsid w:val="00FD4415"/>
    <w:rsid w:val="00FD4453"/>
    <w:rsid w:val="00FD4581"/>
    <w:rsid w:val="00FD4597"/>
    <w:rsid w:val="00FD471B"/>
    <w:rsid w:val="00FD477B"/>
    <w:rsid w:val="00FD47E2"/>
    <w:rsid w:val="00FD47E4"/>
    <w:rsid w:val="00FD49A1"/>
    <w:rsid w:val="00FD49FD"/>
    <w:rsid w:val="00FD4A0B"/>
    <w:rsid w:val="00FD4AAA"/>
    <w:rsid w:val="00FD4B66"/>
    <w:rsid w:val="00FD4B94"/>
    <w:rsid w:val="00FD4C5F"/>
    <w:rsid w:val="00FD4CCE"/>
    <w:rsid w:val="00FD4DA7"/>
    <w:rsid w:val="00FD4DB1"/>
    <w:rsid w:val="00FD4DEB"/>
    <w:rsid w:val="00FD4E54"/>
    <w:rsid w:val="00FD4F4A"/>
    <w:rsid w:val="00FD5076"/>
    <w:rsid w:val="00FD50FD"/>
    <w:rsid w:val="00FD52CB"/>
    <w:rsid w:val="00FD5338"/>
    <w:rsid w:val="00FD549C"/>
    <w:rsid w:val="00FD565F"/>
    <w:rsid w:val="00FD57B7"/>
    <w:rsid w:val="00FD59EB"/>
    <w:rsid w:val="00FD5A35"/>
    <w:rsid w:val="00FD5BAE"/>
    <w:rsid w:val="00FD5E87"/>
    <w:rsid w:val="00FD5EA9"/>
    <w:rsid w:val="00FD5EAC"/>
    <w:rsid w:val="00FD5ED3"/>
    <w:rsid w:val="00FD608A"/>
    <w:rsid w:val="00FD60B4"/>
    <w:rsid w:val="00FD6195"/>
    <w:rsid w:val="00FD64AB"/>
    <w:rsid w:val="00FD652A"/>
    <w:rsid w:val="00FD65CE"/>
    <w:rsid w:val="00FD6613"/>
    <w:rsid w:val="00FD671A"/>
    <w:rsid w:val="00FD6727"/>
    <w:rsid w:val="00FD6A04"/>
    <w:rsid w:val="00FD6CC0"/>
    <w:rsid w:val="00FD6CD7"/>
    <w:rsid w:val="00FD6DC5"/>
    <w:rsid w:val="00FD6E4A"/>
    <w:rsid w:val="00FD6ED9"/>
    <w:rsid w:val="00FD6F0C"/>
    <w:rsid w:val="00FD6FA3"/>
    <w:rsid w:val="00FD6FD1"/>
    <w:rsid w:val="00FD6FE0"/>
    <w:rsid w:val="00FD71CA"/>
    <w:rsid w:val="00FD7301"/>
    <w:rsid w:val="00FD7335"/>
    <w:rsid w:val="00FD7444"/>
    <w:rsid w:val="00FD75D4"/>
    <w:rsid w:val="00FD75DB"/>
    <w:rsid w:val="00FD76B3"/>
    <w:rsid w:val="00FD771F"/>
    <w:rsid w:val="00FD78D0"/>
    <w:rsid w:val="00FD7973"/>
    <w:rsid w:val="00FD7A94"/>
    <w:rsid w:val="00FD7AAD"/>
    <w:rsid w:val="00FD7C36"/>
    <w:rsid w:val="00FD7C5C"/>
    <w:rsid w:val="00FD7CAF"/>
    <w:rsid w:val="00FD7E28"/>
    <w:rsid w:val="00FD7E3E"/>
    <w:rsid w:val="00FD7F51"/>
    <w:rsid w:val="00FE01B8"/>
    <w:rsid w:val="00FE01E1"/>
    <w:rsid w:val="00FE032A"/>
    <w:rsid w:val="00FE0422"/>
    <w:rsid w:val="00FE04F3"/>
    <w:rsid w:val="00FE0508"/>
    <w:rsid w:val="00FE0557"/>
    <w:rsid w:val="00FE0588"/>
    <w:rsid w:val="00FE0686"/>
    <w:rsid w:val="00FE0775"/>
    <w:rsid w:val="00FE0852"/>
    <w:rsid w:val="00FE0924"/>
    <w:rsid w:val="00FE0927"/>
    <w:rsid w:val="00FE0989"/>
    <w:rsid w:val="00FE098D"/>
    <w:rsid w:val="00FE09DB"/>
    <w:rsid w:val="00FE0B45"/>
    <w:rsid w:val="00FE0BCF"/>
    <w:rsid w:val="00FE0BED"/>
    <w:rsid w:val="00FE0C29"/>
    <w:rsid w:val="00FE0C35"/>
    <w:rsid w:val="00FE0C6F"/>
    <w:rsid w:val="00FE0D85"/>
    <w:rsid w:val="00FE0D8A"/>
    <w:rsid w:val="00FE0DF2"/>
    <w:rsid w:val="00FE0E2B"/>
    <w:rsid w:val="00FE0ED4"/>
    <w:rsid w:val="00FE1040"/>
    <w:rsid w:val="00FE1076"/>
    <w:rsid w:val="00FE11BD"/>
    <w:rsid w:val="00FE1BCA"/>
    <w:rsid w:val="00FE1D00"/>
    <w:rsid w:val="00FE1EAC"/>
    <w:rsid w:val="00FE202D"/>
    <w:rsid w:val="00FE206C"/>
    <w:rsid w:val="00FE20DB"/>
    <w:rsid w:val="00FE20E7"/>
    <w:rsid w:val="00FE229B"/>
    <w:rsid w:val="00FE2386"/>
    <w:rsid w:val="00FE238B"/>
    <w:rsid w:val="00FE248C"/>
    <w:rsid w:val="00FE2583"/>
    <w:rsid w:val="00FE2652"/>
    <w:rsid w:val="00FE297B"/>
    <w:rsid w:val="00FE2A18"/>
    <w:rsid w:val="00FE2A6B"/>
    <w:rsid w:val="00FE2AAF"/>
    <w:rsid w:val="00FE2B21"/>
    <w:rsid w:val="00FE2D96"/>
    <w:rsid w:val="00FE2DC0"/>
    <w:rsid w:val="00FE2F6C"/>
    <w:rsid w:val="00FE2F91"/>
    <w:rsid w:val="00FE31C4"/>
    <w:rsid w:val="00FE3271"/>
    <w:rsid w:val="00FE32DA"/>
    <w:rsid w:val="00FE32E6"/>
    <w:rsid w:val="00FE353E"/>
    <w:rsid w:val="00FE3707"/>
    <w:rsid w:val="00FE37D1"/>
    <w:rsid w:val="00FE37D6"/>
    <w:rsid w:val="00FE3975"/>
    <w:rsid w:val="00FE39AD"/>
    <w:rsid w:val="00FE3A57"/>
    <w:rsid w:val="00FE3D16"/>
    <w:rsid w:val="00FE3D26"/>
    <w:rsid w:val="00FE3DD9"/>
    <w:rsid w:val="00FE3F14"/>
    <w:rsid w:val="00FE3F5E"/>
    <w:rsid w:val="00FE401F"/>
    <w:rsid w:val="00FE40DD"/>
    <w:rsid w:val="00FE412C"/>
    <w:rsid w:val="00FE41C1"/>
    <w:rsid w:val="00FE41DF"/>
    <w:rsid w:val="00FE420E"/>
    <w:rsid w:val="00FE4220"/>
    <w:rsid w:val="00FE4253"/>
    <w:rsid w:val="00FE431C"/>
    <w:rsid w:val="00FE43A5"/>
    <w:rsid w:val="00FE43C0"/>
    <w:rsid w:val="00FE4684"/>
    <w:rsid w:val="00FE4857"/>
    <w:rsid w:val="00FE4AA4"/>
    <w:rsid w:val="00FE4AA6"/>
    <w:rsid w:val="00FE4C0B"/>
    <w:rsid w:val="00FE4D36"/>
    <w:rsid w:val="00FE4E0B"/>
    <w:rsid w:val="00FE4F44"/>
    <w:rsid w:val="00FE4F5D"/>
    <w:rsid w:val="00FE4FB9"/>
    <w:rsid w:val="00FE4FE2"/>
    <w:rsid w:val="00FE50D1"/>
    <w:rsid w:val="00FE5269"/>
    <w:rsid w:val="00FE5300"/>
    <w:rsid w:val="00FE5457"/>
    <w:rsid w:val="00FE54F7"/>
    <w:rsid w:val="00FE5627"/>
    <w:rsid w:val="00FE5719"/>
    <w:rsid w:val="00FE578A"/>
    <w:rsid w:val="00FE58C9"/>
    <w:rsid w:val="00FE5925"/>
    <w:rsid w:val="00FE5B36"/>
    <w:rsid w:val="00FE5C0B"/>
    <w:rsid w:val="00FE5DB2"/>
    <w:rsid w:val="00FE5E12"/>
    <w:rsid w:val="00FE5ECD"/>
    <w:rsid w:val="00FE5ED2"/>
    <w:rsid w:val="00FE5ED5"/>
    <w:rsid w:val="00FE5FA6"/>
    <w:rsid w:val="00FE6035"/>
    <w:rsid w:val="00FE62BF"/>
    <w:rsid w:val="00FE65D0"/>
    <w:rsid w:val="00FE6673"/>
    <w:rsid w:val="00FE66C1"/>
    <w:rsid w:val="00FE6704"/>
    <w:rsid w:val="00FE6955"/>
    <w:rsid w:val="00FE6A18"/>
    <w:rsid w:val="00FE6A33"/>
    <w:rsid w:val="00FE6A37"/>
    <w:rsid w:val="00FE6BC8"/>
    <w:rsid w:val="00FE6BDF"/>
    <w:rsid w:val="00FE6C75"/>
    <w:rsid w:val="00FE6C7D"/>
    <w:rsid w:val="00FE6D4E"/>
    <w:rsid w:val="00FE6E36"/>
    <w:rsid w:val="00FE6E90"/>
    <w:rsid w:val="00FE718D"/>
    <w:rsid w:val="00FE7244"/>
    <w:rsid w:val="00FE7274"/>
    <w:rsid w:val="00FE7381"/>
    <w:rsid w:val="00FE74A4"/>
    <w:rsid w:val="00FE783D"/>
    <w:rsid w:val="00FE784B"/>
    <w:rsid w:val="00FE7951"/>
    <w:rsid w:val="00FE7969"/>
    <w:rsid w:val="00FE799C"/>
    <w:rsid w:val="00FE79C0"/>
    <w:rsid w:val="00FE7B7E"/>
    <w:rsid w:val="00FE7BAA"/>
    <w:rsid w:val="00FE7C36"/>
    <w:rsid w:val="00FE7CD9"/>
    <w:rsid w:val="00FE7E58"/>
    <w:rsid w:val="00FE7F84"/>
    <w:rsid w:val="00FE7F89"/>
    <w:rsid w:val="00FF01C0"/>
    <w:rsid w:val="00FF0262"/>
    <w:rsid w:val="00FF0290"/>
    <w:rsid w:val="00FF0413"/>
    <w:rsid w:val="00FF04F5"/>
    <w:rsid w:val="00FF0547"/>
    <w:rsid w:val="00FF06B4"/>
    <w:rsid w:val="00FF0773"/>
    <w:rsid w:val="00FF08F1"/>
    <w:rsid w:val="00FF09CF"/>
    <w:rsid w:val="00FF0A0F"/>
    <w:rsid w:val="00FF0A8C"/>
    <w:rsid w:val="00FF0A9B"/>
    <w:rsid w:val="00FF0B2B"/>
    <w:rsid w:val="00FF0B42"/>
    <w:rsid w:val="00FF0B66"/>
    <w:rsid w:val="00FF0D63"/>
    <w:rsid w:val="00FF0E8F"/>
    <w:rsid w:val="00FF0FAE"/>
    <w:rsid w:val="00FF0FCA"/>
    <w:rsid w:val="00FF1120"/>
    <w:rsid w:val="00FF11A6"/>
    <w:rsid w:val="00FF1336"/>
    <w:rsid w:val="00FF1387"/>
    <w:rsid w:val="00FF13FF"/>
    <w:rsid w:val="00FF142A"/>
    <w:rsid w:val="00FF1568"/>
    <w:rsid w:val="00FF164A"/>
    <w:rsid w:val="00FF16AB"/>
    <w:rsid w:val="00FF17ED"/>
    <w:rsid w:val="00FF1809"/>
    <w:rsid w:val="00FF1982"/>
    <w:rsid w:val="00FF1A66"/>
    <w:rsid w:val="00FF1A8F"/>
    <w:rsid w:val="00FF1B02"/>
    <w:rsid w:val="00FF1B10"/>
    <w:rsid w:val="00FF1B18"/>
    <w:rsid w:val="00FF1B6D"/>
    <w:rsid w:val="00FF1FFD"/>
    <w:rsid w:val="00FF2011"/>
    <w:rsid w:val="00FF2031"/>
    <w:rsid w:val="00FF2047"/>
    <w:rsid w:val="00FF20A9"/>
    <w:rsid w:val="00FF2159"/>
    <w:rsid w:val="00FF23F5"/>
    <w:rsid w:val="00FF23F6"/>
    <w:rsid w:val="00FF248F"/>
    <w:rsid w:val="00FF24A4"/>
    <w:rsid w:val="00FF24E2"/>
    <w:rsid w:val="00FF2711"/>
    <w:rsid w:val="00FF27E7"/>
    <w:rsid w:val="00FF2879"/>
    <w:rsid w:val="00FF29B4"/>
    <w:rsid w:val="00FF2A14"/>
    <w:rsid w:val="00FF2C75"/>
    <w:rsid w:val="00FF2D29"/>
    <w:rsid w:val="00FF2EB1"/>
    <w:rsid w:val="00FF2EB7"/>
    <w:rsid w:val="00FF318A"/>
    <w:rsid w:val="00FF31BD"/>
    <w:rsid w:val="00FF31D5"/>
    <w:rsid w:val="00FF332D"/>
    <w:rsid w:val="00FF346F"/>
    <w:rsid w:val="00FF34A7"/>
    <w:rsid w:val="00FF34D6"/>
    <w:rsid w:val="00FF3652"/>
    <w:rsid w:val="00FF36E5"/>
    <w:rsid w:val="00FF3713"/>
    <w:rsid w:val="00FF3808"/>
    <w:rsid w:val="00FF380A"/>
    <w:rsid w:val="00FF393E"/>
    <w:rsid w:val="00FF39E6"/>
    <w:rsid w:val="00FF39FC"/>
    <w:rsid w:val="00FF3A9D"/>
    <w:rsid w:val="00FF3B26"/>
    <w:rsid w:val="00FF3CA1"/>
    <w:rsid w:val="00FF3CFE"/>
    <w:rsid w:val="00FF3D16"/>
    <w:rsid w:val="00FF3D49"/>
    <w:rsid w:val="00FF3DC4"/>
    <w:rsid w:val="00FF41C1"/>
    <w:rsid w:val="00FF41E0"/>
    <w:rsid w:val="00FF4223"/>
    <w:rsid w:val="00FF4253"/>
    <w:rsid w:val="00FF43CB"/>
    <w:rsid w:val="00FF4417"/>
    <w:rsid w:val="00FF442A"/>
    <w:rsid w:val="00FF468C"/>
    <w:rsid w:val="00FF482D"/>
    <w:rsid w:val="00FF485F"/>
    <w:rsid w:val="00FF4902"/>
    <w:rsid w:val="00FF4944"/>
    <w:rsid w:val="00FF4982"/>
    <w:rsid w:val="00FF4A09"/>
    <w:rsid w:val="00FF4CB3"/>
    <w:rsid w:val="00FF4CFB"/>
    <w:rsid w:val="00FF4D34"/>
    <w:rsid w:val="00FF4D88"/>
    <w:rsid w:val="00FF4EF4"/>
    <w:rsid w:val="00FF504A"/>
    <w:rsid w:val="00FF50B4"/>
    <w:rsid w:val="00FF5102"/>
    <w:rsid w:val="00FF511E"/>
    <w:rsid w:val="00FF5393"/>
    <w:rsid w:val="00FF53AB"/>
    <w:rsid w:val="00FF543D"/>
    <w:rsid w:val="00FF5458"/>
    <w:rsid w:val="00FF5622"/>
    <w:rsid w:val="00FF56C4"/>
    <w:rsid w:val="00FF577C"/>
    <w:rsid w:val="00FF57FC"/>
    <w:rsid w:val="00FF5830"/>
    <w:rsid w:val="00FF5863"/>
    <w:rsid w:val="00FF5D3C"/>
    <w:rsid w:val="00FF5D7D"/>
    <w:rsid w:val="00FF5D8B"/>
    <w:rsid w:val="00FF5FB8"/>
    <w:rsid w:val="00FF6187"/>
    <w:rsid w:val="00FF6360"/>
    <w:rsid w:val="00FF640C"/>
    <w:rsid w:val="00FF6575"/>
    <w:rsid w:val="00FF682A"/>
    <w:rsid w:val="00FF6922"/>
    <w:rsid w:val="00FF6994"/>
    <w:rsid w:val="00FF6B28"/>
    <w:rsid w:val="00FF6B9A"/>
    <w:rsid w:val="00FF6BB6"/>
    <w:rsid w:val="00FF6D76"/>
    <w:rsid w:val="00FF6E54"/>
    <w:rsid w:val="00FF6ED1"/>
    <w:rsid w:val="00FF6F03"/>
    <w:rsid w:val="00FF6F83"/>
    <w:rsid w:val="00FF6F88"/>
    <w:rsid w:val="00FF6FD2"/>
    <w:rsid w:val="00FF7057"/>
    <w:rsid w:val="00FF706C"/>
    <w:rsid w:val="00FF70A7"/>
    <w:rsid w:val="00FF7250"/>
    <w:rsid w:val="00FF732C"/>
    <w:rsid w:val="00FF739A"/>
    <w:rsid w:val="00FF74BC"/>
    <w:rsid w:val="00FF7522"/>
    <w:rsid w:val="00FF75E4"/>
    <w:rsid w:val="00FF75EC"/>
    <w:rsid w:val="00FF766B"/>
    <w:rsid w:val="00FF7773"/>
    <w:rsid w:val="00FF7780"/>
    <w:rsid w:val="00FF7786"/>
    <w:rsid w:val="00FF77E7"/>
    <w:rsid w:val="00FF7932"/>
    <w:rsid w:val="00FF79A2"/>
    <w:rsid w:val="00FF7A76"/>
    <w:rsid w:val="00FF7B2D"/>
    <w:rsid w:val="00FF7B44"/>
    <w:rsid w:val="00FF7CC3"/>
    <w:rsid w:val="00FF7CF8"/>
    <w:rsid w:val="00FF7DE4"/>
    <w:rsid w:val="00FF7E35"/>
    <w:rsid w:val="00FF7F95"/>
    <w:rsid w:val="00FF7FD8"/>
    <w:rsid w:val="0113F5B3"/>
    <w:rsid w:val="012610A1"/>
    <w:rsid w:val="0147E0D8"/>
    <w:rsid w:val="014CDBE5"/>
    <w:rsid w:val="015B8A63"/>
    <w:rsid w:val="016FBC05"/>
    <w:rsid w:val="01C6F827"/>
    <w:rsid w:val="01D6A00D"/>
    <w:rsid w:val="01E4C312"/>
    <w:rsid w:val="0227D6B5"/>
    <w:rsid w:val="024220DD"/>
    <w:rsid w:val="0266C764"/>
    <w:rsid w:val="02A26E04"/>
    <w:rsid w:val="02EFC1E1"/>
    <w:rsid w:val="02F48E9C"/>
    <w:rsid w:val="03128330"/>
    <w:rsid w:val="033035E5"/>
    <w:rsid w:val="03697D37"/>
    <w:rsid w:val="038DCC41"/>
    <w:rsid w:val="038E1B3E"/>
    <w:rsid w:val="039A46B8"/>
    <w:rsid w:val="03BBDB67"/>
    <w:rsid w:val="03BCB12E"/>
    <w:rsid w:val="03F6D31E"/>
    <w:rsid w:val="041DE02E"/>
    <w:rsid w:val="043A8D22"/>
    <w:rsid w:val="043BF634"/>
    <w:rsid w:val="04672CFB"/>
    <w:rsid w:val="046C3F3D"/>
    <w:rsid w:val="0475B07F"/>
    <w:rsid w:val="04A467EE"/>
    <w:rsid w:val="04C5F94E"/>
    <w:rsid w:val="04CCFD2C"/>
    <w:rsid w:val="04DA8C39"/>
    <w:rsid w:val="04DC0385"/>
    <w:rsid w:val="04F88477"/>
    <w:rsid w:val="05857B04"/>
    <w:rsid w:val="05931580"/>
    <w:rsid w:val="05A03D2D"/>
    <w:rsid w:val="05A1D8EB"/>
    <w:rsid w:val="05A7592E"/>
    <w:rsid w:val="05BE8757"/>
    <w:rsid w:val="05C4AD47"/>
    <w:rsid w:val="05CE90FC"/>
    <w:rsid w:val="05D1283E"/>
    <w:rsid w:val="05D37EA2"/>
    <w:rsid w:val="0604A688"/>
    <w:rsid w:val="0622A4AE"/>
    <w:rsid w:val="063CF821"/>
    <w:rsid w:val="0644F1F0"/>
    <w:rsid w:val="064753A7"/>
    <w:rsid w:val="066389A6"/>
    <w:rsid w:val="0685FFF3"/>
    <w:rsid w:val="069613DA"/>
    <w:rsid w:val="06B21B21"/>
    <w:rsid w:val="06C2456E"/>
    <w:rsid w:val="06D5D19E"/>
    <w:rsid w:val="07034EE0"/>
    <w:rsid w:val="070DB559"/>
    <w:rsid w:val="071D697D"/>
    <w:rsid w:val="072925D0"/>
    <w:rsid w:val="0740EEF3"/>
    <w:rsid w:val="07788A3B"/>
    <w:rsid w:val="0784EAE4"/>
    <w:rsid w:val="0793FB07"/>
    <w:rsid w:val="07E5B79F"/>
    <w:rsid w:val="07F2F056"/>
    <w:rsid w:val="07F96300"/>
    <w:rsid w:val="084570FB"/>
    <w:rsid w:val="0845C50C"/>
    <w:rsid w:val="0859CAE1"/>
    <w:rsid w:val="086D5AB5"/>
    <w:rsid w:val="08801F53"/>
    <w:rsid w:val="089AF546"/>
    <w:rsid w:val="08B10F34"/>
    <w:rsid w:val="08DD9F00"/>
    <w:rsid w:val="08EEC1EE"/>
    <w:rsid w:val="0909CDF1"/>
    <w:rsid w:val="091D40C8"/>
    <w:rsid w:val="09272315"/>
    <w:rsid w:val="096D8F7B"/>
    <w:rsid w:val="096E0018"/>
    <w:rsid w:val="09863103"/>
    <w:rsid w:val="09A5529D"/>
    <w:rsid w:val="09B9BB09"/>
    <w:rsid w:val="09CF231F"/>
    <w:rsid w:val="0A70AB3A"/>
    <w:rsid w:val="0A747DFA"/>
    <w:rsid w:val="0AA46EF4"/>
    <w:rsid w:val="0AAD5CC2"/>
    <w:rsid w:val="0AB46269"/>
    <w:rsid w:val="0AB77C07"/>
    <w:rsid w:val="0ACA9C96"/>
    <w:rsid w:val="0AF8F153"/>
    <w:rsid w:val="0B25F6B7"/>
    <w:rsid w:val="0B64D8DB"/>
    <w:rsid w:val="0B666A98"/>
    <w:rsid w:val="0BA49CFB"/>
    <w:rsid w:val="0BB28C53"/>
    <w:rsid w:val="0C03B297"/>
    <w:rsid w:val="0C1E7C38"/>
    <w:rsid w:val="0C25B7E1"/>
    <w:rsid w:val="0C373747"/>
    <w:rsid w:val="0C5171D2"/>
    <w:rsid w:val="0C846475"/>
    <w:rsid w:val="0CA4FF2D"/>
    <w:rsid w:val="0CED542C"/>
    <w:rsid w:val="0CF055D5"/>
    <w:rsid w:val="0D17A5C5"/>
    <w:rsid w:val="0D1D2B95"/>
    <w:rsid w:val="0D294D24"/>
    <w:rsid w:val="0D69871C"/>
    <w:rsid w:val="0D74BF5D"/>
    <w:rsid w:val="0D752737"/>
    <w:rsid w:val="0DA9A001"/>
    <w:rsid w:val="0DEB018E"/>
    <w:rsid w:val="0DF0EC0E"/>
    <w:rsid w:val="0E034C9E"/>
    <w:rsid w:val="0E349B21"/>
    <w:rsid w:val="0E378737"/>
    <w:rsid w:val="0E61BD1A"/>
    <w:rsid w:val="0E953980"/>
    <w:rsid w:val="0EA03555"/>
    <w:rsid w:val="0ED1F7C6"/>
    <w:rsid w:val="0F05B251"/>
    <w:rsid w:val="0F0B7A3C"/>
    <w:rsid w:val="0FB1D38B"/>
    <w:rsid w:val="0FBD1BAA"/>
    <w:rsid w:val="0FBFF95A"/>
    <w:rsid w:val="0FC743B9"/>
    <w:rsid w:val="0FC96238"/>
    <w:rsid w:val="0FDC913F"/>
    <w:rsid w:val="0FF60BA0"/>
    <w:rsid w:val="100C518E"/>
    <w:rsid w:val="1013A3ED"/>
    <w:rsid w:val="1056750B"/>
    <w:rsid w:val="1065DFC2"/>
    <w:rsid w:val="108CEE3B"/>
    <w:rsid w:val="109AEBBE"/>
    <w:rsid w:val="10B15F1B"/>
    <w:rsid w:val="115D1675"/>
    <w:rsid w:val="115E2254"/>
    <w:rsid w:val="117CD2BA"/>
    <w:rsid w:val="11849F31"/>
    <w:rsid w:val="1199BB41"/>
    <w:rsid w:val="11AB0C2C"/>
    <w:rsid w:val="11C36EBB"/>
    <w:rsid w:val="11D4042F"/>
    <w:rsid w:val="11EEEAE7"/>
    <w:rsid w:val="11F86EBA"/>
    <w:rsid w:val="11FDD4DE"/>
    <w:rsid w:val="1201124E"/>
    <w:rsid w:val="1209308F"/>
    <w:rsid w:val="1256748F"/>
    <w:rsid w:val="12639EAE"/>
    <w:rsid w:val="12659601"/>
    <w:rsid w:val="126D5B43"/>
    <w:rsid w:val="129AE69F"/>
    <w:rsid w:val="1307F672"/>
    <w:rsid w:val="13835671"/>
    <w:rsid w:val="138C2DF1"/>
    <w:rsid w:val="1391D49C"/>
    <w:rsid w:val="13C0A9BC"/>
    <w:rsid w:val="13E00610"/>
    <w:rsid w:val="140811EC"/>
    <w:rsid w:val="14A42AFF"/>
    <w:rsid w:val="14C3F568"/>
    <w:rsid w:val="14D46D16"/>
    <w:rsid w:val="152F2E61"/>
    <w:rsid w:val="153A1446"/>
    <w:rsid w:val="155EFE25"/>
    <w:rsid w:val="15A0724A"/>
    <w:rsid w:val="15B29E46"/>
    <w:rsid w:val="15E1C98A"/>
    <w:rsid w:val="160581C8"/>
    <w:rsid w:val="1620843F"/>
    <w:rsid w:val="1640CB9A"/>
    <w:rsid w:val="1650B865"/>
    <w:rsid w:val="1667531A"/>
    <w:rsid w:val="1679A001"/>
    <w:rsid w:val="168BAC29"/>
    <w:rsid w:val="16BA221C"/>
    <w:rsid w:val="16BE24DE"/>
    <w:rsid w:val="16E94509"/>
    <w:rsid w:val="16EEB86F"/>
    <w:rsid w:val="170A65B6"/>
    <w:rsid w:val="17188A01"/>
    <w:rsid w:val="17232FED"/>
    <w:rsid w:val="175254F7"/>
    <w:rsid w:val="1752B68F"/>
    <w:rsid w:val="1753F026"/>
    <w:rsid w:val="17743074"/>
    <w:rsid w:val="178965C2"/>
    <w:rsid w:val="17AFC1F6"/>
    <w:rsid w:val="17CA57F8"/>
    <w:rsid w:val="17D42614"/>
    <w:rsid w:val="182AA005"/>
    <w:rsid w:val="184F4A16"/>
    <w:rsid w:val="18526D49"/>
    <w:rsid w:val="186F5132"/>
    <w:rsid w:val="18877835"/>
    <w:rsid w:val="18A7EB88"/>
    <w:rsid w:val="18B0E722"/>
    <w:rsid w:val="18B70CB9"/>
    <w:rsid w:val="18B98A6A"/>
    <w:rsid w:val="18C15CCA"/>
    <w:rsid w:val="18C5C65A"/>
    <w:rsid w:val="18DFB751"/>
    <w:rsid w:val="18E6803F"/>
    <w:rsid w:val="18FBBCC4"/>
    <w:rsid w:val="190909FB"/>
    <w:rsid w:val="190BEBF3"/>
    <w:rsid w:val="19265A8D"/>
    <w:rsid w:val="194D85F9"/>
    <w:rsid w:val="195A9AF0"/>
    <w:rsid w:val="195B0145"/>
    <w:rsid w:val="19669E9B"/>
    <w:rsid w:val="197CF1F0"/>
    <w:rsid w:val="19A19BEC"/>
    <w:rsid w:val="19D28EC7"/>
    <w:rsid w:val="19DEB6B2"/>
    <w:rsid w:val="19E53E40"/>
    <w:rsid w:val="19FAF5AD"/>
    <w:rsid w:val="1A14A186"/>
    <w:rsid w:val="1A204527"/>
    <w:rsid w:val="1A2CDCB1"/>
    <w:rsid w:val="1A406E3B"/>
    <w:rsid w:val="1A4892D5"/>
    <w:rsid w:val="1A4C077F"/>
    <w:rsid w:val="1A66B399"/>
    <w:rsid w:val="1A6E311D"/>
    <w:rsid w:val="1AC11447"/>
    <w:rsid w:val="1AC9821A"/>
    <w:rsid w:val="1ADC4727"/>
    <w:rsid w:val="1ADF4872"/>
    <w:rsid w:val="1AF6457E"/>
    <w:rsid w:val="1AFF9AC7"/>
    <w:rsid w:val="1B033DBE"/>
    <w:rsid w:val="1B04C4B3"/>
    <w:rsid w:val="1B0D7645"/>
    <w:rsid w:val="1B0FDC8D"/>
    <w:rsid w:val="1B262477"/>
    <w:rsid w:val="1B36E477"/>
    <w:rsid w:val="1BB88652"/>
    <w:rsid w:val="1BD8521D"/>
    <w:rsid w:val="1BD8744F"/>
    <w:rsid w:val="1BDD4670"/>
    <w:rsid w:val="1BEA46C5"/>
    <w:rsid w:val="1BFB7E29"/>
    <w:rsid w:val="1C1086AA"/>
    <w:rsid w:val="1C160803"/>
    <w:rsid w:val="1C626545"/>
    <w:rsid w:val="1C67B3DF"/>
    <w:rsid w:val="1CAFE2FC"/>
    <w:rsid w:val="1D11582C"/>
    <w:rsid w:val="1D1E0029"/>
    <w:rsid w:val="1D23294B"/>
    <w:rsid w:val="1D263548"/>
    <w:rsid w:val="1D49E84C"/>
    <w:rsid w:val="1D4A688C"/>
    <w:rsid w:val="1D5D91B2"/>
    <w:rsid w:val="1D66AEBB"/>
    <w:rsid w:val="1D6AC1ED"/>
    <w:rsid w:val="1D855440"/>
    <w:rsid w:val="1D8DECFC"/>
    <w:rsid w:val="1DAE4564"/>
    <w:rsid w:val="1DAF5F3D"/>
    <w:rsid w:val="1DC858D0"/>
    <w:rsid w:val="1DD0303A"/>
    <w:rsid w:val="1DF11FC4"/>
    <w:rsid w:val="1E0B4F44"/>
    <w:rsid w:val="1E0BDA48"/>
    <w:rsid w:val="1E2E4DB5"/>
    <w:rsid w:val="1E4FEDB9"/>
    <w:rsid w:val="1E7AEE13"/>
    <w:rsid w:val="1E7B401C"/>
    <w:rsid w:val="1E83CF24"/>
    <w:rsid w:val="1E8B0121"/>
    <w:rsid w:val="1EBCE3BD"/>
    <w:rsid w:val="1EC5CBCB"/>
    <w:rsid w:val="1EC89530"/>
    <w:rsid w:val="1EFE3ED3"/>
    <w:rsid w:val="1EFFA4C1"/>
    <w:rsid w:val="1F119B81"/>
    <w:rsid w:val="1F18B900"/>
    <w:rsid w:val="1F190F86"/>
    <w:rsid w:val="1F26D21D"/>
    <w:rsid w:val="1F4E542A"/>
    <w:rsid w:val="1F51701E"/>
    <w:rsid w:val="1F6E4D89"/>
    <w:rsid w:val="1F7F9D02"/>
    <w:rsid w:val="1F7FDA92"/>
    <w:rsid w:val="1F9473F1"/>
    <w:rsid w:val="1FB72CEF"/>
    <w:rsid w:val="1FC5E705"/>
    <w:rsid w:val="1FF049D0"/>
    <w:rsid w:val="1FF55A16"/>
    <w:rsid w:val="1FFBC319"/>
    <w:rsid w:val="2004238C"/>
    <w:rsid w:val="2005CB4F"/>
    <w:rsid w:val="2038E91F"/>
    <w:rsid w:val="204767EB"/>
    <w:rsid w:val="2052FBF0"/>
    <w:rsid w:val="206FCC3E"/>
    <w:rsid w:val="20835F23"/>
    <w:rsid w:val="20BEA412"/>
    <w:rsid w:val="2109F565"/>
    <w:rsid w:val="211A1720"/>
    <w:rsid w:val="211B0285"/>
    <w:rsid w:val="212FEED9"/>
    <w:rsid w:val="21377D01"/>
    <w:rsid w:val="213BF3BD"/>
    <w:rsid w:val="2144C948"/>
    <w:rsid w:val="21750363"/>
    <w:rsid w:val="2176BECA"/>
    <w:rsid w:val="2198E8BD"/>
    <w:rsid w:val="21B402E3"/>
    <w:rsid w:val="21B8BFC9"/>
    <w:rsid w:val="21BE573C"/>
    <w:rsid w:val="222865CE"/>
    <w:rsid w:val="2233D4D5"/>
    <w:rsid w:val="2264F851"/>
    <w:rsid w:val="2277A5E5"/>
    <w:rsid w:val="229224EA"/>
    <w:rsid w:val="22A4A8A4"/>
    <w:rsid w:val="22B6E184"/>
    <w:rsid w:val="22BA23B6"/>
    <w:rsid w:val="22D1B2C9"/>
    <w:rsid w:val="22F41E8C"/>
    <w:rsid w:val="23014E83"/>
    <w:rsid w:val="23234A58"/>
    <w:rsid w:val="235D54A5"/>
    <w:rsid w:val="23B5FC75"/>
    <w:rsid w:val="23C37106"/>
    <w:rsid w:val="23E3E252"/>
    <w:rsid w:val="2410145A"/>
    <w:rsid w:val="24109B2E"/>
    <w:rsid w:val="247B32F6"/>
    <w:rsid w:val="2489FCDB"/>
    <w:rsid w:val="24B160C9"/>
    <w:rsid w:val="2508E097"/>
    <w:rsid w:val="251C662C"/>
    <w:rsid w:val="25E43E13"/>
    <w:rsid w:val="2612B5F6"/>
    <w:rsid w:val="26176CE7"/>
    <w:rsid w:val="26236A6A"/>
    <w:rsid w:val="26312AEF"/>
    <w:rsid w:val="2633D3FA"/>
    <w:rsid w:val="2685F536"/>
    <w:rsid w:val="268C2EA2"/>
    <w:rsid w:val="2697035B"/>
    <w:rsid w:val="26A450F5"/>
    <w:rsid w:val="26C6F377"/>
    <w:rsid w:val="26CFA29F"/>
    <w:rsid w:val="271FB3BF"/>
    <w:rsid w:val="2741F548"/>
    <w:rsid w:val="277EA497"/>
    <w:rsid w:val="2783E55F"/>
    <w:rsid w:val="27879283"/>
    <w:rsid w:val="279D3947"/>
    <w:rsid w:val="27AFFADB"/>
    <w:rsid w:val="27B605A5"/>
    <w:rsid w:val="27FF0352"/>
    <w:rsid w:val="2813BFDC"/>
    <w:rsid w:val="283E039C"/>
    <w:rsid w:val="284F5A30"/>
    <w:rsid w:val="2858AEED"/>
    <w:rsid w:val="286C1BB3"/>
    <w:rsid w:val="28771EA5"/>
    <w:rsid w:val="287D6C0F"/>
    <w:rsid w:val="28A1E064"/>
    <w:rsid w:val="28E1168A"/>
    <w:rsid w:val="28F6BF56"/>
    <w:rsid w:val="290B08C3"/>
    <w:rsid w:val="292E62E2"/>
    <w:rsid w:val="2930A606"/>
    <w:rsid w:val="29453E85"/>
    <w:rsid w:val="2984B228"/>
    <w:rsid w:val="29A9053A"/>
    <w:rsid w:val="29DC7689"/>
    <w:rsid w:val="29DCB3D2"/>
    <w:rsid w:val="29DE2665"/>
    <w:rsid w:val="29E26C76"/>
    <w:rsid w:val="2A20BC98"/>
    <w:rsid w:val="2A2DBBAB"/>
    <w:rsid w:val="2A7A6C0D"/>
    <w:rsid w:val="2A808793"/>
    <w:rsid w:val="2A9BA246"/>
    <w:rsid w:val="2AC6E7DC"/>
    <w:rsid w:val="2AD997C5"/>
    <w:rsid w:val="2B02336F"/>
    <w:rsid w:val="2B0DD1B1"/>
    <w:rsid w:val="2B0F76A6"/>
    <w:rsid w:val="2B27911D"/>
    <w:rsid w:val="2B2B5E66"/>
    <w:rsid w:val="2B413B06"/>
    <w:rsid w:val="2B7C5482"/>
    <w:rsid w:val="2B7FB05A"/>
    <w:rsid w:val="2C0B8121"/>
    <w:rsid w:val="2C18D6A4"/>
    <w:rsid w:val="2C1F613C"/>
    <w:rsid w:val="2C77B113"/>
    <w:rsid w:val="2CACD897"/>
    <w:rsid w:val="2CAF9B18"/>
    <w:rsid w:val="2CE0DE64"/>
    <w:rsid w:val="2CFE28D8"/>
    <w:rsid w:val="2D0643EC"/>
    <w:rsid w:val="2D302F04"/>
    <w:rsid w:val="2D37DC75"/>
    <w:rsid w:val="2D5BCC8E"/>
    <w:rsid w:val="2D5C3FB5"/>
    <w:rsid w:val="2D91C777"/>
    <w:rsid w:val="2DD5F07B"/>
    <w:rsid w:val="2DF63939"/>
    <w:rsid w:val="2E09C216"/>
    <w:rsid w:val="2E19163D"/>
    <w:rsid w:val="2E3FB3D3"/>
    <w:rsid w:val="2E4BF352"/>
    <w:rsid w:val="2E55AA68"/>
    <w:rsid w:val="2E566E36"/>
    <w:rsid w:val="2E6976D4"/>
    <w:rsid w:val="2E834D42"/>
    <w:rsid w:val="2E9956EE"/>
    <w:rsid w:val="2ECE3719"/>
    <w:rsid w:val="2EE30365"/>
    <w:rsid w:val="2EEDCB45"/>
    <w:rsid w:val="2F3F13C9"/>
    <w:rsid w:val="2F749F62"/>
    <w:rsid w:val="2FC75AC6"/>
    <w:rsid w:val="2FCD6F13"/>
    <w:rsid w:val="2FD14936"/>
    <w:rsid w:val="2FEAC90C"/>
    <w:rsid w:val="3000C1F5"/>
    <w:rsid w:val="30279C72"/>
    <w:rsid w:val="303A80CA"/>
    <w:rsid w:val="3099BE9D"/>
    <w:rsid w:val="309F9134"/>
    <w:rsid w:val="30EC9FBF"/>
    <w:rsid w:val="3147CBF3"/>
    <w:rsid w:val="31509B1D"/>
    <w:rsid w:val="319D443F"/>
    <w:rsid w:val="31C87592"/>
    <w:rsid w:val="31E64F23"/>
    <w:rsid w:val="31F20C33"/>
    <w:rsid w:val="321269DB"/>
    <w:rsid w:val="32265C2A"/>
    <w:rsid w:val="322941D5"/>
    <w:rsid w:val="322DC13A"/>
    <w:rsid w:val="323A35D5"/>
    <w:rsid w:val="325ED57C"/>
    <w:rsid w:val="32D8F2F0"/>
    <w:rsid w:val="33072555"/>
    <w:rsid w:val="330B63D5"/>
    <w:rsid w:val="331981B7"/>
    <w:rsid w:val="331B3A2C"/>
    <w:rsid w:val="33226385"/>
    <w:rsid w:val="3332D816"/>
    <w:rsid w:val="334F0EBE"/>
    <w:rsid w:val="3356184E"/>
    <w:rsid w:val="337BA438"/>
    <w:rsid w:val="33897709"/>
    <w:rsid w:val="340AF2FB"/>
    <w:rsid w:val="34476BCB"/>
    <w:rsid w:val="344C2FAA"/>
    <w:rsid w:val="345FD6DB"/>
    <w:rsid w:val="346C1100"/>
    <w:rsid w:val="346F63CC"/>
    <w:rsid w:val="347004DF"/>
    <w:rsid w:val="34794D05"/>
    <w:rsid w:val="34973BAC"/>
    <w:rsid w:val="3508762D"/>
    <w:rsid w:val="350DC6AF"/>
    <w:rsid w:val="351D1D7F"/>
    <w:rsid w:val="3531832C"/>
    <w:rsid w:val="354387B0"/>
    <w:rsid w:val="35585654"/>
    <w:rsid w:val="356CC30C"/>
    <w:rsid w:val="357BD987"/>
    <w:rsid w:val="35959949"/>
    <w:rsid w:val="35B78156"/>
    <w:rsid w:val="35BBC814"/>
    <w:rsid w:val="35CD577D"/>
    <w:rsid w:val="35E8722E"/>
    <w:rsid w:val="35FC5406"/>
    <w:rsid w:val="36538A2C"/>
    <w:rsid w:val="367C71F3"/>
    <w:rsid w:val="3692DE4C"/>
    <w:rsid w:val="3698A062"/>
    <w:rsid w:val="36A012F6"/>
    <w:rsid w:val="36A3AA69"/>
    <w:rsid w:val="36A748F0"/>
    <w:rsid w:val="36D7BCEE"/>
    <w:rsid w:val="36DAF631"/>
    <w:rsid w:val="36E966A4"/>
    <w:rsid w:val="37011A54"/>
    <w:rsid w:val="37199FE1"/>
    <w:rsid w:val="37297FFF"/>
    <w:rsid w:val="3737279C"/>
    <w:rsid w:val="37394F3A"/>
    <w:rsid w:val="3746B09C"/>
    <w:rsid w:val="377CD234"/>
    <w:rsid w:val="378FB08C"/>
    <w:rsid w:val="37969CA7"/>
    <w:rsid w:val="37A769D6"/>
    <w:rsid w:val="37B04E99"/>
    <w:rsid w:val="37C7C4C1"/>
    <w:rsid w:val="37D9F6DC"/>
    <w:rsid w:val="380DD1F7"/>
    <w:rsid w:val="381796C9"/>
    <w:rsid w:val="3851171B"/>
    <w:rsid w:val="388B25B7"/>
    <w:rsid w:val="388E99A6"/>
    <w:rsid w:val="3893770D"/>
    <w:rsid w:val="38A684EA"/>
    <w:rsid w:val="38E0A5C8"/>
    <w:rsid w:val="38E96B44"/>
    <w:rsid w:val="38FEBC9F"/>
    <w:rsid w:val="390091E7"/>
    <w:rsid w:val="39153E4E"/>
    <w:rsid w:val="392E1747"/>
    <w:rsid w:val="3987587D"/>
    <w:rsid w:val="39999C71"/>
    <w:rsid w:val="3A39BDBA"/>
    <w:rsid w:val="3A515582"/>
    <w:rsid w:val="3A83721F"/>
    <w:rsid w:val="3A848F91"/>
    <w:rsid w:val="3AAC8D9F"/>
    <w:rsid w:val="3AB6548F"/>
    <w:rsid w:val="3ABEC7D9"/>
    <w:rsid w:val="3AD063FD"/>
    <w:rsid w:val="3AE2B7C7"/>
    <w:rsid w:val="3AF6BEAF"/>
    <w:rsid w:val="3B085C34"/>
    <w:rsid w:val="3B3D070F"/>
    <w:rsid w:val="3B7E90E6"/>
    <w:rsid w:val="3B919F94"/>
    <w:rsid w:val="3B9C6B8E"/>
    <w:rsid w:val="3BA79282"/>
    <w:rsid w:val="3BB2CB0B"/>
    <w:rsid w:val="3BB9FE86"/>
    <w:rsid w:val="3BCEA9FF"/>
    <w:rsid w:val="3C01B686"/>
    <w:rsid w:val="3C0C26FD"/>
    <w:rsid w:val="3C175DEA"/>
    <w:rsid w:val="3C5D5E61"/>
    <w:rsid w:val="3C679615"/>
    <w:rsid w:val="3C98846C"/>
    <w:rsid w:val="3CA53358"/>
    <w:rsid w:val="3CB18BF8"/>
    <w:rsid w:val="3CB9736E"/>
    <w:rsid w:val="3CF3DC5D"/>
    <w:rsid w:val="3D12ADE1"/>
    <w:rsid w:val="3D206B13"/>
    <w:rsid w:val="3D20DCF9"/>
    <w:rsid w:val="3D22A187"/>
    <w:rsid w:val="3D27B6EC"/>
    <w:rsid w:val="3D3AD891"/>
    <w:rsid w:val="3D8DCE04"/>
    <w:rsid w:val="3DCC8DA3"/>
    <w:rsid w:val="3DF0E876"/>
    <w:rsid w:val="3E01652F"/>
    <w:rsid w:val="3E920F99"/>
    <w:rsid w:val="3EA22C54"/>
    <w:rsid w:val="3EB886C1"/>
    <w:rsid w:val="3EC9C2DB"/>
    <w:rsid w:val="3EE72AF9"/>
    <w:rsid w:val="3EF3DB6B"/>
    <w:rsid w:val="3F0B20E2"/>
    <w:rsid w:val="3F20C742"/>
    <w:rsid w:val="3F302EC5"/>
    <w:rsid w:val="3F34A3B7"/>
    <w:rsid w:val="3F509BDE"/>
    <w:rsid w:val="3F7D303F"/>
    <w:rsid w:val="3F829DE8"/>
    <w:rsid w:val="3F8C0C4D"/>
    <w:rsid w:val="3FB58D45"/>
    <w:rsid w:val="3FBCB258"/>
    <w:rsid w:val="3FD41820"/>
    <w:rsid w:val="3FE63795"/>
    <w:rsid w:val="400F6637"/>
    <w:rsid w:val="401FCCA6"/>
    <w:rsid w:val="40285580"/>
    <w:rsid w:val="402F99D6"/>
    <w:rsid w:val="40328C90"/>
    <w:rsid w:val="40499C72"/>
    <w:rsid w:val="40532A65"/>
    <w:rsid w:val="405507AA"/>
    <w:rsid w:val="405799D4"/>
    <w:rsid w:val="405B59EC"/>
    <w:rsid w:val="407DB9A9"/>
    <w:rsid w:val="408D5F74"/>
    <w:rsid w:val="40CBCC5D"/>
    <w:rsid w:val="40F41AED"/>
    <w:rsid w:val="415DABDC"/>
    <w:rsid w:val="4171BA6F"/>
    <w:rsid w:val="41AC12B6"/>
    <w:rsid w:val="41BB8B63"/>
    <w:rsid w:val="41C20CD4"/>
    <w:rsid w:val="41E062C0"/>
    <w:rsid w:val="41E18C06"/>
    <w:rsid w:val="41EEEB9A"/>
    <w:rsid w:val="423EB22A"/>
    <w:rsid w:val="42523DB8"/>
    <w:rsid w:val="426D184C"/>
    <w:rsid w:val="42ABBA89"/>
    <w:rsid w:val="42B0251D"/>
    <w:rsid w:val="42D959E3"/>
    <w:rsid w:val="42EE6685"/>
    <w:rsid w:val="430F72D3"/>
    <w:rsid w:val="43271FF6"/>
    <w:rsid w:val="432839C4"/>
    <w:rsid w:val="434B80A0"/>
    <w:rsid w:val="439F8CAC"/>
    <w:rsid w:val="43A1F1F0"/>
    <w:rsid w:val="44173EFA"/>
    <w:rsid w:val="44223B5A"/>
    <w:rsid w:val="442663BE"/>
    <w:rsid w:val="44907398"/>
    <w:rsid w:val="44BBE738"/>
    <w:rsid w:val="44BF7431"/>
    <w:rsid w:val="44C70E08"/>
    <w:rsid w:val="44C9171E"/>
    <w:rsid w:val="44F103EE"/>
    <w:rsid w:val="4503B11A"/>
    <w:rsid w:val="450583D6"/>
    <w:rsid w:val="45135449"/>
    <w:rsid w:val="4520F20B"/>
    <w:rsid w:val="45401618"/>
    <w:rsid w:val="45BED748"/>
    <w:rsid w:val="45C79CCE"/>
    <w:rsid w:val="45F20957"/>
    <w:rsid w:val="4639CEA3"/>
    <w:rsid w:val="4657D871"/>
    <w:rsid w:val="4683DF42"/>
    <w:rsid w:val="4689265F"/>
    <w:rsid w:val="468CFCCA"/>
    <w:rsid w:val="46C094FD"/>
    <w:rsid w:val="46FCFB7A"/>
    <w:rsid w:val="47185E52"/>
    <w:rsid w:val="472ABCD2"/>
    <w:rsid w:val="475B0D00"/>
    <w:rsid w:val="47671F67"/>
    <w:rsid w:val="476EBD31"/>
    <w:rsid w:val="47951A37"/>
    <w:rsid w:val="47B6B60B"/>
    <w:rsid w:val="481052F6"/>
    <w:rsid w:val="48131078"/>
    <w:rsid w:val="48404BFA"/>
    <w:rsid w:val="4851DA25"/>
    <w:rsid w:val="48770FB2"/>
    <w:rsid w:val="488349C7"/>
    <w:rsid w:val="48D3EB0D"/>
    <w:rsid w:val="48D5F6B7"/>
    <w:rsid w:val="48DA44EE"/>
    <w:rsid w:val="48EA324F"/>
    <w:rsid w:val="4950A47B"/>
    <w:rsid w:val="4965334A"/>
    <w:rsid w:val="496C5E99"/>
    <w:rsid w:val="496D6EEE"/>
    <w:rsid w:val="496FEF49"/>
    <w:rsid w:val="49747F05"/>
    <w:rsid w:val="4983572C"/>
    <w:rsid w:val="49ACF23C"/>
    <w:rsid w:val="49B30650"/>
    <w:rsid w:val="49C365DD"/>
    <w:rsid w:val="49D18BAB"/>
    <w:rsid w:val="49D1FD54"/>
    <w:rsid w:val="49E92655"/>
    <w:rsid w:val="4A0164E3"/>
    <w:rsid w:val="4A80B5E6"/>
    <w:rsid w:val="4A8D9838"/>
    <w:rsid w:val="4A983360"/>
    <w:rsid w:val="4AC00C6F"/>
    <w:rsid w:val="4AC9965B"/>
    <w:rsid w:val="4B03D952"/>
    <w:rsid w:val="4B2C979E"/>
    <w:rsid w:val="4B6786DF"/>
    <w:rsid w:val="4B7D7EE2"/>
    <w:rsid w:val="4B868748"/>
    <w:rsid w:val="4B9BDE06"/>
    <w:rsid w:val="4BA6331B"/>
    <w:rsid w:val="4C00F306"/>
    <w:rsid w:val="4C20DEE2"/>
    <w:rsid w:val="4C3C6F0F"/>
    <w:rsid w:val="4C5255C8"/>
    <w:rsid w:val="4C643E28"/>
    <w:rsid w:val="4C7607C7"/>
    <w:rsid w:val="4C942E15"/>
    <w:rsid w:val="4C9A0D3F"/>
    <w:rsid w:val="4C9E8AAF"/>
    <w:rsid w:val="4D0A5314"/>
    <w:rsid w:val="4D220F39"/>
    <w:rsid w:val="4D36FB4A"/>
    <w:rsid w:val="4D6BDC3B"/>
    <w:rsid w:val="4D75878B"/>
    <w:rsid w:val="4D7B057E"/>
    <w:rsid w:val="4D8BAF9A"/>
    <w:rsid w:val="4D8FD866"/>
    <w:rsid w:val="4DA073B6"/>
    <w:rsid w:val="4DCC993F"/>
    <w:rsid w:val="4DD4B2BB"/>
    <w:rsid w:val="4DF4FF5A"/>
    <w:rsid w:val="4E1FB855"/>
    <w:rsid w:val="4E405A11"/>
    <w:rsid w:val="4E50DB9D"/>
    <w:rsid w:val="4E5CFA8B"/>
    <w:rsid w:val="4EAC18C5"/>
    <w:rsid w:val="4EB2B7BD"/>
    <w:rsid w:val="4EB5F8DF"/>
    <w:rsid w:val="4EDA359F"/>
    <w:rsid w:val="4EDA60FE"/>
    <w:rsid w:val="4F05BEB7"/>
    <w:rsid w:val="4F19ACDE"/>
    <w:rsid w:val="4F431D18"/>
    <w:rsid w:val="4F5866F8"/>
    <w:rsid w:val="4F65716F"/>
    <w:rsid w:val="4F781375"/>
    <w:rsid w:val="4FE6E11E"/>
    <w:rsid w:val="4FFFD0EF"/>
    <w:rsid w:val="501E0143"/>
    <w:rsid w:val="50339FB3"/>
    <w:rsid w:val="5052526A"/>
    <w:rsid w:val="5094A956"/>
    <w:rsid w:val="50B6CEF5"/>
    <w:rsid w:val="50B71273"/>
    <w:rsid w:val="50F2B604"/>
    <w:rsid w:val="51BFB770"/>
    <w:rsid w:val="51C6CEF3"/>
    <w:rsid w:val="51C6D0CA"/>
    <w:rsid w:val="51C9A910"/>
    <w:rsid w:val="51F39584"/>
    <w:rsid w:val="51FFD47E"/>
    <w:rsid w:val="5202A221"/>
    <w:rsid w:val="52072D99"/>
    <w:rsid w:val="5211DEE9"/>
    <w:rsid w:val="521DA6A0"/>
    <w:rsid w:val="522DFF57"/>
    <w:rsid w:val="524E2890"/>
    <w:rsid w:val="525AFF1E"/>
    <w:rsid w:val="527D9187"/>
    <w:rsid w:val="529404EE"/>
    <w:rsid w:val="52984406"/>
    <w:rsid w:val="52D33683"/>
    <w:rsid w:val="52D59C03"/>
    <w:rsid w:val="5316B258"/>
    <w:rsid w:val="5323EC18"/>
    <w:rsid w:val="532735DA"/>
    <w:rsid w:val="5338F0B1"/>
    <w:rsid w:val="53604FA2"/>
    <w:rsid w:val="5379578E"/>
    <w:rsid w:val="537A29D2"/>
    <w:rsid w:val="537B149A"/>
    <w:rsid w:val="537B2100"/>
    <w:rsid w:val="53807D8F"/>
    <w:rsid w:val="538C59F7"/>
    <w:rsid w:val="53AB7D75"/>
    <w:rsid w:val="53DA9D9D"/>
    <w:rsid w:val="54065E40"/>
    <w:rsid w:val="543B3A85"/>
    <w:rsid w:val="545F3D89"/>
    <w:rsid w:val="546465B9"/>
    <w:rsid w:val="549611B9"/>
    <w:rsid w:val="549D7F13"/>
    <w:rsid w:val="54CFF105"/>
    <w:rsid w:val="54D82AA8"/>
    <w:rsid w:val="54F146D3"/>
    <w:rsid w:val="5500E04F"/>
    <w:rsid w:val="5508EB26"/>
    <w:rsid w:val="5523C4AA"/>
    <w:rsid w:val="5547A2C8"/>
    <w:rsid w:val="554AFC4E"/>
    <w:rsid w:val="5552CB72"/>
    <w:rsid w:val="555D322E"/>
    <w:rsid w:val="55837C69"/>
    <w:rsid w:val="55A234F0"/>
    <w:rsid w:val="55FC7707"/>
    <w:rsid w:val="561EDC15"/>
    <w:rsid w:val="562116DF"/>
    <w:rsid w:val="5653D785"/>
    <w:rsid w:val="568FBB1C"/>
    <w:rsid w:val="5690D823"/>
    <w:rsid w:val="5697E9C3"/>
    <w:rsid w:val="5699EFF1"/>
    <w:rsid w:val="56A48AFB"/>
    <w:rsid w:val="56F31CAD"/>
    <w:rsid w:val="570BF897"/>
    <w:rsid w:val="573707CE"/>
    <w:rsid w:val="577C763C"/>
    <w:rsid w:val="579E23C5"/>
    <w:rsid w:val="579E665B"/>
    <w:rsid w:val="57A6C32E"/>
    <w:rsid w:val="57AAD7D6"/>
    <w:rsid w:val="57C65F01"/>
    <w:rsid w:val="57C6B790"/>
    <w:rsid w:val="57D8A910"/>
    <w:rsid w:val="57E12269"/>
    <w:rsid w:val="57F210A0"/>
    <w:rsid w:val="581FE7D0"/>
    <w:rsid w:val="5844E1A6"/>
    <w:rsid w:val="58731A37"/>
    <w:rsid w:val="58871820"/>
    <w:rsid w:val="58A72B51"/>
    <w:rsid w:val="58B43652"/>
    <w:rsid w:val="58BABE60"/>
    <w:rsid w:val="58F50D00"/>
    <w:rsid w:val="59439583"/>
    <w:rsid w:val="59601276"/>
    <w:rsid w:val="5987312D"/>
    <w:rsid w:val="59AF8DBC"/>
    <w:rsid w:val="59F083DC"/>
    <w:rsid w:val="5A3DE85B"/>
    <w:rsid w:val="5A42F17D"/>
    <w:rsid w:val="5A842988"/>
    <w:rsid w:val="5A9EE253"/>
    <w:rsid w:val="5AB7184D"/>
    <w:rsid w:val="5ACB3E85"/>
    <w:rsid w:val="5AD7A9F8"/>
    <w:rsid w:val="5AE28F25"/>
    <w:rsid w:val="5AE31945"/>
    <w:rsid w:val="5B101F16"/>
    <w:rsid w:val="5B721090"/>
    <w:rsid w:val="5B869A27"/>
    <w:rsid w:val="5BA3EA2E"/>
    <w:rsid w:val="5BA45712"/>
    <w:rsid w:val="5BD1BB89"/>
    <w:rsid w:val="5BF08140"/>
    <w:rsid w:val="5C00A055"/>
    <w:rsid w:val="5C1B57EB"/>
    <w:rsid w:val="5C3DE1E3"/>
    <w:rsid w:val="5C70089F"/>
    <w:rsid w:val="5C7DE276"/>
    <w:rsid w:val="5C8FACED"/>
    <w:rsid w:val="5CAD9657"/>
    <w:rsid w:val="5CB09313"/>
    <w:rsid w:val="5CD04256"/>
    <w:rsid w:val="5CFB802F"/>
    <w:rsid w:val="5D13B871"/>
    <w:rsid w:val="5D1E6062"/>
    <w:rsid w:val="5D1FA4A4"/>
    <w:rsid w:val="5D31583A"/>
    <w:rsid w:val="5D3C2C7A"/>
    <w:rsid w:val="5D4B3006"/>
    <w:rsid w:val="5D9EB879"/>
    <w:rsid w:val="5DEA007D"/>
    <w:rsid w:val="5DEE1816"/>
    <w:rsid w:val="5E0B45AF"/>
    <w:rsid w:val="5E0DC173"/>
    <w:rsid w:val="5E2049EA"/>
    <w:rsid w:val="5E27F106"/>
    <w:rsid w:val="5E6A96C1"/>
    <w:rsid w:val="5E900E30"/>
    <w:rsid w:val="5E938D03"/>
    <w:rsid w:val="5EA2DD9B"/>
    <w:rsid w:val="5EA7EF7A"/>
    <w:rsid w:val="5ECDB62E"/>
    <w:rsid w:val="5F186851"/>
    <w:rsid w:val="5F1D59BC"/>
    <w:rsid w:val="5F1D6137"/>
    <w:rsid w:val="5F2AF803"/>
    <w:rsid w:val="5F4AB89F"/>
    <w:rsid w:val="5F4CB1F0"/>
    <w:rsid w:val="5F6BDA87"/>
    <w:rsid w:val="5F910D01"/>
    <w:rsid w:val="5F91483C"/>
    <w:rsid w:val="5FAB7BEF"/>
    <w:rsid w:val="5FD519A7"/>
    <w:rsid w:val="5FF63CC6"/>
    <w:rsid w:val="6005FE24"/>
    <w:rsid w:val="600F1A83"/>
    <w:rsid w:val="6043F0A9"/>
    <w:rsid w:val="605B549E"/>
    <w:rsid w:val="6060B515"/>
    <w:rsid w:val="608D0085"/>
    <w:rsid w:val="60E3FA2A"/>
    <w:rsid w:val="60E9C6D1"/>
    <w:rsid w:val="61187FE8"/>
    <w:rsid w:val="6131ABDB"/>
    <w:rsid w:val="61401D3F"/>
    <w:rsid w:val="614E2EC9"/>
    <w:rsid w:val="61637168"/>
    <w:rsid w:val="61835239"/>
    <w:rsid w:val="61A2E2D6"/>
    <w:rsid w:val="61A33001"/>
    <w:rsid w:val="61D3B954"/>
    <w:rsid w:val="61DBB427"/>
    <w:rsid w:val="61F8DBF3"/>
    <w:rsid w:val="62019D75"/>
    <w:rsid w:val="621CC205"/>
    <w:rsid w:val="624DD672"/>
    <w:rsid w:val="62590B89"/>
    <w:rsid w:val="62686C84"/>
    <w:rsid w:val="6287A965"/>
    <w:rsid w:val="62A63514"/>
    <w:rsid w:val="62AEE5F4"/>
    <w:rsid w:val="62CF3099"/>
    <w:rsid w:val="62E98278"/>
    <w:rsid w:val="62F14A8D"/>
    <w:rsid w:val="62F29A26"/>
    <w:rsid w:val="6323DF25"/>
    <w:rsid w:val="6361ACAE"/>
    <w:rsid w:val="6375F9FD"/>
    <w:rsid w:val="63B5399C"/>
    <w:rsid w:val="63BFC3E1"/>
    <w:rsid w:val="63CE8243"/>
    <w:rsid w:val="63F1453E"/>
    <w:rsid w:val="640FE22D"/>
    <w:rsid w:val="64159EE6"/>
    <w:rsid w:val="6429BDEF"/>
    <w:rsid w:val="642CB8F8"/>
    <w:rsid w:val="64581C43"/>
    <w:rsid w:val="64718468"/>
    <w:rsid w:val="647F53B7"/>
    <w:rsid w:val="64B2F7E5"/>
    <w:rsid w:val="64BCC5C3"/>
    <w:rsid w:val="64BF327C"/>
    <w:rsid w:val="652BB118"/>
    <w:rsid w:val="6549B0EC"/>
    <w:rsid w:val="654A5623"/>
    <w:rsid w:val="6568F3C4"/>
    <w:rsid w:val="6576C271"/>
    <w:rsid w:val="65AC4E1F"/>
    <w:rsid w:val="65C1CDDD"/>
    <w:rsid w:val="65C4EC9F"/>
    <w:rsid w:val="65CAED96"/>
    <w:rsid w:val="65DC5915"/>
    <w:rsid w:val="65F681DC"/>
    <w:rsid w:val="66384D87"/>
    <w:rsid w:val="667BA16F"/>
    <w:rsid w:val="6680D446"/>
    <w:rsid w:val="66A722C5"/>
    <w:rsid w:val="66DF204C"/>
    <w:rsid w:val="66E88B02"/>
    <w:rsid w:val="66EB8DA9"/>
    <w:rsid w:val="67071027"/>
    <w:rsid w:val="670DF39A"/>
    <w:rsid w:val="6711B0DC"/>
    <w:rsid w:val="67145AA1"/>
    <w:rsid w:val="6719E7C4"/>
    <w:rsid w:val="671C8E3F"/>
    <w:rsid w:val="672E70C1"/>
    <w:rsid w:val="6778C10D"/>
    <w:rsid w:val="67942412"/>
    <w:rsid w:val="67C4E0A1"/>
    <w:rsid w:val="67CF1205"/>
    <w:rsid w:val="67F03427"/>
    <w:rsid w:val="681460E2"/>
    <w:rsid w:val="681900E7"/>
    <w:rsid w:val="681DCEF6"/>
    <w:rsid w:val="683A2FC7"/>
    <w:rsid w:val="689312CD"/>
    <w:rsid w:val="6895E650"/>
    <w:rsid w:val="68BB1258"/>
    <w:rsid w:val="68EB4B2A"/>
    <w:rsid w:val="68FC7F92"/>
    <w:rsid w:val="6945C720"/>
    <w:rsid w:val="6979F490"/>
    <w:rsid w:val="697FD29F"/>
    <w:rsid w:val="699B303F"/>
    <w:rsid w:val="69A1C083"/>
    <w:rsid w:val="69C7D899"/>
    <w:rsid w:val="69F36801"/>
    <w:rsid w:val="6A5ECCE5"/>
    <w:rsid w:val="6A65F48C"/>
    <w:rsid w:val="6A7A98FC"/>
    <w:rsid w:val="6A91D9B2"/>
    <w:rsid w:val="6AA837DC"/>
    <w:rsid w:val="6AD247CB"/>
    <w:rsid w:val="6AF9A1C1"/>
    <w:rsid w:val="6B03A9EA"/>
    <w:rsid w:val="6B0D8863"/>
    <w:rsid w:val="6B1EAF0D"/>
    <w:rsid w:val="6B29DB94"/>
    <w:rsid w:val="6B3DC02C"/>
    <w:rsid w:val="6B3FB4EE"/>
    <w:rsid w:val="6BB3D4D2"/>
    <w:rsid w:val="6BB49B24"/>
    <w:rsid w:val="6BC633D6"/>
    <w:rsid w:val="6BF0DA2A"/>
    <w:rsid w:val="6C0CA693"/>
    <w:rsid w:val="6C0FEAB8"/>
    <w:rsid w:val="6C1A7DC2"/>
    <w:rsid w:val="6CA34A48"/>
    <w:rsid w:val="6CB234CB"/>
    <w:rsid w:val="6CB2F331"/>
    <w:rsid w:val="6CC34BEC"/>
    <w:rsid w:val="6CD93F97"/>
    <w:rsid w:val="6CE5D9F6"/>
    <w:rsid w:val="6D18830A"/>
    <w:rsid w:val="6D1DF230"/>
    <w:rsid w:val="6D201D51"/>
    <w:rsid w:val="6D49AC62"/>
    <w:rsid w:val="6D774CD7"/>
    <w:rsid w:val="6DBADD7A"/>
    <w:rsid w:val="6DE714AC"/>
    <w:rsid w:val="6DF57927"/>
    <w:rsid w:val="6DFC84C0"/>
    <w:rsid w:val="6DFD44C6"/>
    <w:rsid w:val="6E0EE15A"/>
    <w:rsid w:val="6E297BC3"/>
    <w:rsid w:val="6E3D0C23"/>
    <w:rsid w:val="6E4E092F"/>
    <w:rsid w:val="6E5FA588"/>
    <w:rsid w:val="6E759D06"/>
    <w:rsid w:val="6E877E0D"/>
    <w:rsid w:val="6E9F65A6"/>
    <w:rsid w:val="6EC2A47D"/>
    <w:rsid w:val="6ECEB811"/>
    <w:rsid w:val="6F177E46"/>
    <w:rsid w:val="6F26D84A"/>
    <w:rsid w:val="6F467FA7"/>
    <w:rsid w:val="6F72789D"/>
    <w:rsid w:val="6F9626E5"/>
    <w:rsid w:val="6FCB43DB"/>
    <w:rsid w:val="700AA5E3"/>
    <w:rsid w:val="7014913E"/>
    <w:rsid w:val="702C7C34"/>
    <w:rsid w:val="7036B43B"/>
    <w:rsid w:val="7061A2ED"/>
    <w:rsid w:val="70738783"/>
    <w:rsid w:val="708CB8C1"/>
    <w:rsid w:val="70A02DF3"/>
    <w:rsid w:val="70DED1FD"/>
    <w:rsid w:val="70F37FA5"/>
    <w:rsid w:val="71236C1B"/>
    <w:rsid w:val="71425DB9"/>
    <w:rsid w:val="71448713"/>
    <w:rsid w:val="71587A58"/>
    <w:rsid w:val="7173AB62"/>
    <w:rsid w:val="719C9023"/>
    <w:rsid w:val="71B1D224"/>
    <w:rsid w:val="720D50C6"/>
    <w:rsid w:val="72150E52"/>
    <w:rsid w:val="7251B825"/>
    <w:rsid w:val="725A28B0"/>
    <w:rsid w:val="72634D9B"/>
    <w:rsid w:val="72721556"/>
    <w:rsid w:val="727D5357"/>
    <w:rsid w:val="72963E0E"/>
    <w:rsid w:val="729B52F6"/>
    <w:rsid w:val="72AB2BEB"/>
    <w:rsid w:val="72AC8CD7"/>
    <w:rsid w:val="72B066B5"/>
    <w:rsid w:val="72D3F744"/>
    <w:rsid w:val="731BAC49"/>
    <w:rsid w:val="73364879"/>
    <w:rsid w:val="733A5EB0"/>
    <w:rsid w:val="738BBFCB"/>
    <w:rsid w:val="7397BF0D"/>
    <w:rsid w:val="73A80AD3"/>
    <w:rsid w:val="73AE118F"/>
    <w:rsid w:val="73DE97F0"/>
    <w:rsid w:val="73F47DAF"/>
    <w:rsid w:val="73FBF382"/>
    <w:rsid w:val="741009B2"/>
    <w:rsid w:val="742F5338"/>
    <w:rsid w:val="7431033F"/>
    <w:rsid w:val="744243CA"/>
    <w:rsid w:val="74452938"/>
    <w:rsid w:val="745A76F5"/>
    <w:rsid w:val="746CF4C5"/>
    <w:rsid w:val="750CC991"/>
    <w:rsid w:val="7524CB61"/>
    <w:rsid w:val="755AD160"/>
    <w:rsid w:val="7581696B"/>
    <w:rsid w:val="75AF3E82"/>
    <w:rsid w:val="75E4A69B"/>
    <w:rsid w:val="75E73380"/>
    <w:rsid w:val="76013671"/>
    <w:rsid w:val="763E52E9"/>
    <w:rsid w:val="763ECE33"/>
    <w:rsid w:val="763FF6F6"/>
    <w:rsid w:val="764620AC"/>
    <w:rsid w:val="76568C85"/>
    <w:rsid w:val="7657C665"/>
    <w:rsid w:val="76679107"/>
    <w:rsid w:val="768C9437"/>
    <w:rsid w:val="768CD293"/>
    <w:rsid w:val="76989BBE"/>
    <w:rsid w:val="769EBD31"/>
    <w:rsid w:val="76A4092F"/>
    <w:rsid w:val="76BD0794"/>
    <w:rsid w:val="76CFEE3B"/>
    <w:rsid w:val="76E42032"/>
    <w:rsid w:val="76F99DBD"/>
    <w:rsid w:val="77333B26"/>
    <w:rsid w:val="774B61ED"/>
    <w:rsid w:val="77674310"/>
    <w:rsid w:val="776DF00B"/>
    <w:rsid w:val="77718E45"/>
    <w:rsid w:val="77919938"/>
    <w:rsid w:val="779AFE82"/>
    <w:rsid w:val="77A1E20F"/>
    <w:rsid w:val="77CB6464"/>
    <w:rsid w:val="78240BDD"/>
    <w:rsid w:val="7834E8A0"/>
    <w:rsid w:val="784B561A"/>
    <w:rsid w:val="785485AF"/>
    <w:rsid w:val="7857BA8B"/>
    <w:rsid w:val="7859C89E"/>
    <w:rsid w:val="785DC8C5"/>
    <w:rsid w:val="78603D79"/>
    <w:rsid w:val="788D4B8D"/>
    <w:rsid w:val="78903214"/>
    <w:rsid w:val="78F9E1C2"/>
    <w:rsid w:val="79469894"/>
    <w:rsid w:val="79641E22"/>
    <w:rsid w:val="7978676A"/>
    <w:rsid w:val="7980456B"/>
    <w:rsid w:val="79D11BF9"/>
    <w:rsid w:val="79D73007"/>
    <w:rsid w:val="79E309D7"/>
    <w:rsid w:val="7A19AF3B"/>
    <w:rsid w:val="7A312D5D"/>
    <w:rsid w:val="7A5ACF01"/>
    <w:rsid w:val="7A8F8BE9"/>
    <w:rsid w:val="7A990C16"/>
    <w:rsid w:val="7ABFDECF"/>
    <w:rsid w:val="7ADA1B0F"/>
    <w:rsid w:val="7ADCC2E5"/>
    <w:rsid w:val="7ADF22C0"/>
    <w:rsid w:val="7AE1A665"/>
    <w:rsid w:val="7B0BD16B"/>
    <w:rsid w:val="7B6DB6EE"/>
    <w:rsid w:val="7B736A88"/>
    <w:rsid w:val="7B777F04"/>
    <w:rsid w:val="7BFC5708"/>
    <w:rsid w:val="7C101B60"/>
    <w:rsid w:val="7C15C078"/>
    <w:rsid w:val="7C315166"/>
    <w:rsid w:val="7C32FE4C"/>
    <w:rsid w:val="7C59FC60"/>
    <w:rsid w:val="7C5E3352"/>
    <w:rsid w:val="7CBFACD2"/>
    <w:rsid w:val="7CCE48FE"/>
    <w:rsid w:val="7CD75092"/>
    <w:rsid w:val="7CEB4A23"/>
    <w:rsid w:val="7D3F6F04"/>
    <w:rsid w:val="7D66316E"/>
    <w:rsid w:val="7D80802E"/>
    <w:rsid w:val="7DA42F00"/>
    <w:rsid w:val="7DBDB048"/>
    <w:rsid w:val="7DC3D9C7"/>
    <w:rsid w:val="7DD4D3F9"/>
    <w:rsid w:val="7DE545C9"/>
    <w:rsid w:val="7DED6BBD"/>
    <w:rsid w:val="7DF61F6F"/>
    <w:rsid w:val="7E026018"/>
    <w:rsid w:val="7E28BBED"/>
    <w:rsid w:val="7E314FFE"/>
    <w:rsid w:val="7E63007A"/>
    <w:rsid w:val="7E7F48BC"/>
    <w:rsid w:val="7E83EE75"/>
    <w:rsid w:val="7ED313B4"/>
    <w:rsid w:val="7EE4D3E8"/>
    <w:rsid w:val="7F16B3DF"/>
    <w:rsid w:val="7F46A023"/>
    <w:rsid w:val="7F6FC9E2"/>
    <w:rsid w:val="7F7391E4"/>
    <w:rsid w:val="7F83706A"/>
    <w:rsid w:val="7FA4AA1C"/>
    <w:rsid w:val="7FA790CF"/>
    <w:rsid w:val="7FB4458E"/>
    <w:rsid w:val="7FC3BD93"/>
    <w:rsid w:val="7FC57755"/>
    <w:rsid w:val="7FE13110"/>
    <w:rsid w:val="7FE435CB"/>
    <w:rsid w:val="7FE77C55"/>
    <w:rsid w:val="7FE94BFA"/>
    <w:rsid w:val="7FEE25D8"/>
    <w:rsid w:val="7FF10B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C82BA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42828" w:themeColor="text1"/>
        <w:lang w:val="en-GB" w:eastAsia="en-US" w:bidi="ar-SA"/>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nhideWhenUsed="1"/>
    <w:lsdException w:name="List Number 2" w:semiHidden="1" w:uiPriority="20" w:unhideWhenUsed="1" w:qFormat="1"/>
    <w:lsdException w:name="List Number 3" w:semiHidden="1" w:uiPriority="1" w:unhideWhenUsed="1"/>
    <w:lsdException w:name="List Number 4" w:semiHidden="1" w:uiPriority="1" w:unhideWhenUsed="1"/>
    <w:lsdException w:name="List Number 5" w:semiHidden="1" w:unhideWhenUsed="1"/>
    <w:lsdException w:name="Title" w:uiPriority="1" w:qFormat="1"/>
    <w:lsdException w:name="Closing" w:semiHidden="1" w:unhideWhenUsed="1"/>
    <w:lsdException w:name="Signature" w:semiHidden="1" w:uiPriority="2"/>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semiHidden="1" w:uiPriority="29" w:unhideWhenUsed="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0"/>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FC5E705"/>
    <w:pPr>
      <w:spacing w:before="120"/>
    </w:pPr>
    <w:rPr>
      <w:rFonts w:ascii="Times New Roman" w:hAnsi="Times New Roman" w:cs="Times New Roman"/>
      <w:sz w:val="24"/>
      <w:szCs w:val="24"/>
    </w:rPr>
  </w:style>
  <w:style w:type="paragraph" w:styleId="Heading1">
    <w:name w:val="heading 1"/>
    <w:basedOn w:val="Normal"/>
    <w:next w:val="Normal"/>
    <w:link w:val="Heading1Char"/>
    <w:uiPriority w:val="1"/>
    <w:qFormat/>
    <w:rsid w:val="1FC5E705"/>
    <w:pPr>
      <w:keepNext/>
      <w:keepLines/>
      <w:numPr>
        <w:numId w:val="11"/>
      </w:numPr>
      <w:pBdr>
        <w:bottom w:val="single" w:sz="4" w:space="1" w:color="1A4596"/>
      </w:pBdr>
      <w:spacing w:before="240" w:after="240"/>
      <w:outlineLvl w:val="0"/>
    </w:pPr>
    <w:rPr>
      <w:rFonts w:asciiTheme="majorHAnsi" w:eastAsiaTheme="majorEastAsia" w:hAnsiTheme="majorHAnsi" w:cstheme="majorBidi"/>
      <w:caps/>
      <w:color w:val="1A4596"/>
      <w:sz w:val="32"/>
      <w:szCs w:val="32"/>
    </w:rPr>
  </w:style>
  <w:style w:type="paragraph" w:styleId="Heading2">
    <w:name w:val="heading 2"/>
    <w:basedOn w:val="Normal"/>
    <w:next w:val="Normal"/>
    <w:link w:val="Heading2Char"/>
    <w:uiPriority w:val="1"/>
    <w:qFormat/>
    <w:rsid w:val="1FC5E705"/>
    <w:pPr>
      <w:keepNext/>
      <w:keepLines/>
      <w:numPr>
        <w:ilvl w:val="1"/>
        <w:numId w:val="11"/>
      </w:numPr>
      <w:spacing w:before="240"/>
      <w:ind w:left="576"/>
      <w:outlineLvl w:val="1"/>
    </w:pPr>
    <w:rPr>
      <w:rFonts w:asciiTheme="majorHAnsi" w:eastAsiaTheme="majorEastAsia" w:hAnsiTheme="majorHAnsi" w:cstheme="majorBidi"/>
      <w:caps/>
      <w:color w:val="1A4596"/>
      <w:sz w:val="26"/>
      <w:szCs w:val="26"/>
    </w:rPr>
  </w:style>
  <w:style w:type="paragraph" w:styleId="Heading3">
    <w:name w:val="heading 3"/>
    <w:basedOn w:val="Normal"/>
    <w:next w:val="Normal"/>
    <w:link w:val="Heading3Char"/>
    <w:uiPriority w:val="1"/>
    <w:qFormat/>
    <w:rsid w:val="1FC5E705"/>
    <w:pPr>
      <w:keepNext/>
      <w:keepLines/>
      <w:numPr>
        <w:ilvl w:val="2"/>
        <w:numId w:val="11"/>
      </w:numPr>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1"/>
    <w:qFormat/>
    <w:rsid w:val="1FC5E705"/>
    <w:pPr>
      <w:keepNext/>
      <w:keepLines/>
      <w:numPr>
        <w:ilvl w:val="3"/>
        <w:numId w:val="11"/>
      </w:numPr>
      <w:spacing w:before="40"/>
      <w:outlineLvl w:val="3"/>
    </w:pPr>
    <w:rPr>
      <w:rFonts w:asciiTheme="majorHAnsi" w:eastAsiaTheme="majorEastAsia" w:hAnsiTheme="majorHAnsi" w:cstheme="majorBidi"/>
      <w:i/>
      <w:iCs/>
      <w:color w:val="auto"/>
      <w:lang w:val="en-US"/>
    </w:rPr>
  </w:style>
  <w:style w:type="paragraph" w:styleId="Heading5">
    <w:name w:val="heading 5"/>
    <w:basedOn w:val="Normal"/>
    <w:next w:val="Normal"/>
    <w:link w:val="Heading5Char"/>
    <w:uiPriority w:val="9"/>
    <w:unhideWhenUsed/>
    <w:qFormat/>
    <w:rsid w:val="1FC5E705"/>
    <w:pPr>
      <w:keepNext/>
      <w:keepLines/>
      <w:numPr>
        <w:ilvl w:val="4"/>
        <w:numId w:val="11"/>
      </w:numPr>
      <w:spacing w:before="40"/>
      <w:ind w:left="1009" w:hanging="1009"/>
      <w:outlineLvl w:val="4"/>
    </w:pPr>
    <w:rPr>
      <w:rFonts w:asciiTheme="majorHAnsi" w:eastAsiaTheme="majorEastAsia" w:hAnsiTheme="majorHAnsi" w:cstheme="majorBidi"/>
      <w:color w:val="auto"/>
    </w:rPr>
  </w:style>
  <w:style w:type="paragraph" w:styleId="Heading6">
    <w:name w:val="heading 6"/>
    <w:basedOn w:val="Normal"/>
    <w:next w:val="Normal"/>
    <w:link w:val="Heading6Char"/>
    <w:uiPriority w:val="1"/>
    <w:unhideWhenUsed/>
    <w:qFormat/>
    <w:rsid w:val="1FC5E705"/>
    <w:pPr>
      <w:keepNext/>
      <w:keepLines/>
      <w:numPr>
        <w:ilvl w:val="5"/>
        <w:numId w:val="11"/>
      </w:numPr>
      <w:spacing w:before="40" w:after="0"/>
      <w:outlineLvl w:val="5"/>
    </w:pPr>
    <w:rPr>
      <w:rFonts w:asciiTheme="majorHAnsi" w:eastAsiaTheme="majorEastAsia" w:hAnsiTheme="majorHAnsi" w:cstheme="majorBidi"/>
      <w:color w:val="00525A"/>
    </w:rPr>
  </w:style>
  <w:style w:type="paragraph" w:styleId="Heading7">
    <w:name w:val="heading 7"/>
    <w:basedOn w:val="Normal"/>
    <w:next w:val="Normal"/>
    <w:link w:val="Heading7Char"/>
    <w:uiPriority w:val="1"/>
    <w:unhideWhenUsed/>
    <w:qFormat/>
    <w:rsid w:val="1FC5E705"/>
    <w:pPr>
      <w:keepNext/>
      <w:keepLines/>
      <w:numPr>
        <w:ilvl w:val="6"/>
        <w:numId w:val="11"/>
      </w:numPr>
      <w:spacing w:before="40" w:after="0"/>
      <w:outlineLvl w:val="6"/>
    </w:pPr>
    <w:rPr>
      <w:rFonts w:asciiTheme="majorHAnsi" w:eastAsiaTheme="majorEastAsia" w:hAnsiTheme="majorHAnsi" w:cstheme="majorBidi"/>
      <w:i/>
      <w:iCs/>
      <w:color w:val="00525A"/>
    </w:rPr>
  </w:style>
  <w:style w:type="paragraph" w:styleId="Heading8">
    <w:name w:val="heading 8"/>
    <w:basedOn w:val="Normal"/>
    <w:next w:val="Normal"/>
    <w:link w:val="Heading8Char"/>
    <w:uiPriority w:val="1"/>
    <w:semiHidden/>
    <w:unhideWhenUsed/>
    <w:qFormat/>
    <w:rsid w:val="1FC5E705"/>
    <w:pPr>
      <w:keepNext/>
      <w:keepLines/>
      <w:numPr>
        <w:ilvl w:val="7"/>
        <w:numId w:val="11"/>
      </w:numPr>
      <w:spacing w:before="40" w:after="0"/>
      <w:outlineLvl w:val="7"/>
    </w:pPr>
    <w:rPr>
      <w:rFonts w:asciiTheme="majorHAnsi" w:eastAsiaTheme="majorEastAsia" w:hAnsiTheme="majorHAnsi" w:cstheme="majorBidi"/>
      <w:color w:val="434A4A"/>
      <w:sz w:val="21"/>
      <w:szCs w:val="21"/>
    </w:rPr>
  </w:style>
  <w:style w:type="paragraph" w:styleId="Heading9">
    <w:name w:val="heading 9"/>
    <w:basedOn w:val="Normal"/>
    <w:next w:val="Normal"/>
    <w:link w:val="Heading9Char"/>
    <w:uiPriority w:val="1"/>
    <w:semiHidden/>
    <w:unhideWhenUsed/>
    <w:qFormat/>
    <w:rsid w:val="1FC5E705"/>
    <w:pPr>
      <w:keepNext/>
      <w:keepLines/>
      <w:numPr>
        <w:ilvl w:val="8"/>
        <w:numId w:val="11"/>
      </w:numPr>
      <w:spacing w:before="40" w:after="0"/>
      <w:outlineLvl w:val="8"/>
    </w:pPr>
    <w:rPr>
      <w:rFonts w:asciiTheme="majorHAnsi" w:eastAsiaTheme="majorEastAsia" w:hAnsiTheme="majorHAnsi" w:cstheme="majorBidi"/>
      <w:i/>
      <w:iCs/>
      <w:color w:val="434A4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RBaseHeadings">
    <w:name w:val="RR Base Headings"/>
    <w:link w:val="RRBaseHeadingsChar"/>
    <w:semiHidden/>
    <w:rsid w:val="00DC38F2"/>
    <w:pPr>
      <w:keepNext/>
      <w:keepLines/>
      <w:spacing w:line="271" w:lineRule="auto"/>
    </w:pPr>
    <w:rPr>
      <w:rFonts w:asciiTheme="majorHAnsi" w:eastAsiaTheme="minorEastAsia" w:hAnsiTheme="majorHAnsi" w:cs="Arial"/>
      <w:color w:val="003CA7" w:themeColor="text2"/>
      <w:lang w:eastAsia="en-GB"/>
    </w:rPr>
  </w:style>
  <w:style w:type="character" w:customStyle="1" w:styleId="RRBaseHeadingsChar">
    <w:name w:val="RR Base Headings Char"/>
    <w:basedOn w:val="DefaultParagraphFont"/>
    <w:link w:val="RRBaseHeadings"/>
    <w:semiHidden/>
    <w:rsid w:val="00DC38F2"/>
    <w:rPr>
      <w:rFonts w:asciiTheme="majorHAnsi" w:eastAsiaTheme="minorEastAsia" w:hAnsiTheme="majorHAnsi" w:cs="Arial"/>
      <w:color w:val="003CA7" w:themeColor="text2"/>
      <w:sz w:val="20"/>
      <w:szCs w:val="20"/>
      <w:lang w:eastAsia="en-GB"/>
    </w:rPr>
  </w:style>
  <w:style w:type="paragraph" w:customStyle="1" w:styleId="TableText">
    <w:name w:val="Table Text"/>
    <w:basedOn w:val="Normal"/>
    <w:link w:val="TableTextChar"/>
    <w:uiPriority w:val="1"/>
    <w:unhideWhenUsed/>
    <w:qFormat/>
    <w:rsid w:val="1FC5E705"/>
    <w:pPr>
      <w:spacing w:before="60" w:after="60"/>
    </w:pPr>
    <w:rPr>
      <w:rFonts w:cs="Arial"/>
    </w:rPr>
  </w:style>
  <w:style w:type="character" w:customStyle="1" w:styleId="TableTextChar">
    <w:name w:val="Table Text Char"/>
    <w:basedOn w:val="DefaultParagraphFont"/>
    <w:link w:val="TableText"/>
    <w:uiPriority w:val="1"/>
    <w:semiHidden/>
    <w:rsid w:val="0047250D"/>
    <w:rPr>
      <w:rFonts w:cs="Arial"/>
    </w:rPr>
  </w:style>
  <w:style w:type="paragraph" w:customStyle="1" w:styleId="TableTextDecimal">
    <w:name w:val="Table Text Decimal"/>
    <w:basedOn w:val="TableText"/>
    <w:link w:val="TableTextDecimalChar"/>
    <w:semiHidden/>
    <w:unhideWhenUsed/>
    <w:rsid w:val="00DC38F2"/>
    <w:pPr>
      <w:tabs>
        <w:tab w:val="decimal" w:pos="1134"/>
      </w:tabs>
    </w:pPr>
  </w:style>
  <w:style w:type="character" w:customStyle="1" w:styleId="TableTextDecimalChar">
    <w:name w:val="Table Text Decimal Char"/>
    <w:basedOn w:val="DefaultParagraphFont"/>
    <w:link w:val="TableTextDecimal"/>
    <w:semiHidden/>
    <w:rsid w:val="0047250D"/>
    <w:rPr>
      <w:rFonts w:cs="Arial"/>
    </w:rPr>
  </w:style>
  <w:style w:type="paragraph" w:styleId="BodyText">
    <w:name w:val="Body Text"/>
    <w:basedOn w:val="Normal"/>
    <w:link w:val="BodyTextChar"/>
    <w:uiPriority w:val="1"/>
    <w:unhideWhenUsed/>
    <w:qFormat/>
    <w:rsid w:val="1FC5E705"/>
    <w:rPr>
      <w:rFonts w:cs="Arial"/>
    </w:rPr>
  </w:style>
  <w:style w:type="character" w:customStyle="1" w:styleId="BodyTextChar">
    <w:name w:val="Body Text Char"/>
    <w:basedOn w:val="DefaultParagraphFont"/>
    <w:link w:val="BodyText"/>
    <w:uiPriority w:val="1"/>
    <w:rsid w:val="0047250D"/>
    <w:rPr>
      <w:rFonts w:cs="Arial"/>
    </w:rPr>
  </w:style>
  <w:style w:type="paragraph" w:customStyle="1" w:styleId="Appendix1">
    <w:name w:val="Appendix 1"/>
    <w:basedOn w:val="AppendTitle"/>
    <w:next w:val="BodyText"/>
    <w:uiPriority w:val="2"/>
    <w:semiHidden/>
    <w:rsid w:val="00BE03D4"/>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RRBaseHeadings"/>
    <w:next w:val="BodyText"/>
    <w:link w:val="CaptionChar1"/>
    <w:uiPriority w:val="35"/>
    <w:qFormat/>
    <w:rsid w:val="001C5AA5"/>
    <w:pPr>
      <w:pBdr>
        <w:top w:val="single" w:sz="4" w:space="3" w:color="A3AAAE" w:themeColor="background2"/>
        <w:bottom w:val="single" w:sz="4" w:space="3" w:color="A3AAAE" w:themeColor="background2"/>
      </w:pBdr>
      <w:spacing w:before="60" w:after="240" w:line="240" w:lineRule="auto"/>
    </w:pPr>
    <w:rPr>
      <w:rFonts w:ascii="Times New Roman" w:hAnsi="Times New Roman" w:cs="Times New Roman"/>
      <w:bCs/>
      <w:color w:val="1A4596"/>
      <w:sz w:val="24"/>
      <w:szCs w:val="24"/>
    </w:rPr>
  </w:style>
  <w:style w:type="paragraph" w:styleId="Header">
    <w:name w:val="header"/>
    <w:basedOn w:val="Normal"/>
    <w:link w:val="HeaderChar"/>
    <w:uiPriority w:val="99"/>
    <w:unhideWhenUsed/>
    <w:rsid w:val="1FC5E705"/>
    <w:rPr>
      <w:color w:val="A3AAAE" w:themeColor="background2"/>
      <w:sz w:val="16"/>
      <w:szCs w:val="16"/>
    </w:rPr>
  </w:style>
  <w:style w:type="character" w:customStyle="1" w:styleId="HeaderChar">
    <w:name w:val="Header Char"/>
    <w:basedOn w:val="DefaultParagraphFont"/>
    <w:link w:val="Header"/>
    <w:uiPriority w:val="99"/>
    <w:rsid w:val="0047250D"/>
    <w:rPr>
      <w:color w:val="A3AAAE" w:themeColor="background2"/>
      <w:sz w:val="16"/>
    </w:rPr>
  </w:style>
  <w:style w:type="paragraph" w:styleId="Footer">
    <w:name w:val="footer"/>
    <w:basedOn w:val="Normal"/>
    <w:link w:val="FooterChar"/>
    <w:uiPriority w:val="99"/>
    <w:unhideWhenUsed/>
    <w:rsid w:val="1FC5E705"/>
    <w:pPr>
      <w:jc w:val="center"/>
    </w:pPr>
    <w:rPr>
      <w:sz w:val="16"/>
      <w:szCs w:val="16"/>
    </w:rPr>
  </w:style>
  <w:style w:type="character" w:customStyle="1" w:styleId="FooterChar">
    <w:name w:val="Footer Char"/>
    <w:basedOn w:val="DefaultParagraphFont"/>
    <w:link w:val="Footer"/>
    <w:uiPriority w:val="99"/>
    <w:rsid w:val="0047250D"/>
    <w:rPr>
      <w:sz w:val="16"/>
    </w:rPr>
  </w:style>
  <w:style w:type="paragraph" w:customStyle="1" w:styleId="FooterRight">
    <w:name w:val="Footer Right"/>
    <w:basedOn w:val="Footer"/>
    <w:unhideWhenUsed/>
    <w:rsid w:val="00DC38F2"/>
    <w:pPr>
      <w:jc w:val="right"/>
    </w:pPr>
  </w:style>
  <w:style w:type="paragraph" w:customStyle="1" w:styleId="FrontCoverDate">
    <w:name w:val="Front Cover Date"/>
    <w:basedOn w:val="RRBaseHeadings"/>
    <w:semiHidden/>
    <w:rsid w:val="00DC38F2"/>
    <w:pPr>
      <w:spacing w:before="260"/>
    </w:pPr>
    <w:rPr>
      <w:color w:val="FFFFFF" w:themeColor="background1"/>
    </w:rPr>
  </w:style>
  <w:style w:type="paragraph" w:customStyle="1" w:styleId="FrontCoverClient">
    <w:name w:val="Front Cover Client"/>
    <w:basedOn w:val="FrontCoverDate"/>
    <w:unhideWhenUsed/>
    <w:rsid w:val="00DC38F2"/>
    <w:rPr>
      <w:sz w:val="28"/>
    </w:rPr>
  </w:style>
  <w:style w:type="paragraph" w:customStyle="1" w:styleId="FrontCoverReference">
    <w:name w:val="Front Cover Reference"/>
    <w:basedOn w:val="FrontCoverDate"/>
    <w:semiHidden/>
    <w:rsid w:val="00DC38F2"/>
    <w:pPr>
      <w:spacing w:before="120"/>
    </w:pPr>
  </w:style>
  <w:style w:type="paragraph" w:customStyle="1" w:styleId="Appendix2">
    <w:name w:val="Appendix 2"/>
    <w:basedOn w:val="AppendTitle"/>
    <w:next w:val="BodyText"/>
    <w:uiPriority w:val="2"/>
    <w:semiHidden/>
    <w:rsid w:val="00BE03D4"/>
  </w:style>
  <w:style w:type="paragraph" w:customStyle="1" w:styleId="Appendix3">
    <w:name w:val="Appendix 3"/>
    <w:basedOn w:val="RRBaseHeadings"/>
    <w:next w:val="BodyText"/>
    <w:uiPriority w:val="2"/>
    <w:semiHidden/>
    <w:rsid w:val="00DC38F2"/>
    <w:pPr>
      <w:numPr>
        <w:ilvl w:val="3"/>
        <w:numId w:val="3"/>
      </w:numPr>
      <w:tabs>
        <w:tab w:val="num" w:pos="360"/>
      </w:tabs>
      <w:ind w:left="0" w:firstLine="0"/>
      <w:outlineLvl w:val="3"/>
    </w:pPr>
    <w:rPr>
      <w:b/>
    </w:rPr>
  </w:style>
  <w:style w:type="paragraph" w:customStyle="1" w:styleId="AppendixSeparator">
    <w:name w:val="Appendix Separator"/>
    <w:basedOn w:val="RRBaseHeadings"/>
    <w:uiPriority w:val="2"/>
    <w:semiHidden/>
    <w:rsid w:val="00DC38F2"/>
    <w:pPr>
      <w:pageBreakBefore/>
      <w:pBdr>
        <w:bottom w:val="single" w:sz="4" w:space="1" w:color="003CA7" w:themeColor="text2"/>
      </w:pBdr>
      <w:spacing w:before="1200" w:line="240" w:lineRule="auto"/>
    </w:pPr>
    <w:rPr>
      <w:caps/>
      <w:sz w:val="48"/>
    </w:rPr>
  </w:style>
  <w:style w:type="paragraph" w:customStyle="1" w:styleId="AppendixTitle">
    <w:name w:val="Appendix Title"/>
    <w:basedOn w:val="RRBaseHeadings"/>
    <w:next w:val="Appendix1"/>
    <w:link w:val="AppendixTitleChar"/>
    <w:uiPriority w:val="1"/>
    <w:semiHidden/>
    <w:rsid w:val="00DC38F2"/>
    <w:pPr>
      <w:pageBreakBefore/>
      <w:numPr>
        <w:numId w:val="3"/>
      </w:numPr>
      <w:spacing w:after="130" w:line="257" w:lineRule="auto"/>
      <w:outlineLvl w:val="0"/>
    </w:pPr>
    <w:rPr>
      <w:b/>
      <w:sz w:val="26"/>
    </w:rPr>
  </w:style>
  <w:style w:type="paragraph" w:customStyle="1" w:styleId="FrontCoverImage">
    <w:name w:val="Front Cover Image"/>
    <w:semiHidden/>
    <w:unhideWhenUsed/>
    <w:rsid w:val="00DC38F2"/>
    <w:rPr>
      <w:rFonts w:eastAsiaTheme="minorEastAsia" w:cs="Arial"/>
      <w:color w:val="003CA7" w:themeColor="text2"/>
      <w:lang w:eastAsia="en-GB"/>
    </w:rPr>
  </w:style>
  <w:style w:type="paragraph" w:customStyle="1" w:styleId="Heading1Numbered">
    <w:name w:val="Heading 1 Numbered"/>
    <w:basedOn w:val="Normal"/>
    <w:next w:val="Normal"/>
    <w:uiPriority w:val="1"/>
    <w:semiHidden/>
    <w:rsid w:val="1FC5E705"/>
    <w:pPr>
      <w:pageBreakBefore/>
      <w:widowControl w:val="0"/>
      <w:pBdr>
        <w:bottom w:val="single" w:sz="4" w:space="1" w:color="auto"/>
      </w:pBdr>
      <w:spacing w:after="240"/>
      <w:ind w:left="737" w:hanging="737"/>
    </w:pPr>
    <w:rPr>
      <w:rFonts w:cs="Times New Roman (Headings CS)"/>
      <w:caps/>
      <w:color w:val="1A4596"/>
      <w:sz w:val="32"/>
      <w:szCs w:val="32"/>
    </w:rPr>
  </w:style>
  <w:style w:type="paragraph" w:customStyle="1" w:styleId="Heading1NumberedNewPage">
    <w:name w:val="Heading 1 Numbered New Page"/>
    <w:basedOn w:val="Heading1Numbered"/>
    <w:next w:val="BodyText"/>
    <w:semiHidden/>
    <w:rsid w:val="003534F4"/>
  </w:style>
  <w:style w:type="paragraph" w:customStyle="1" w:styleId="Heading2Numbered">
    <w:name w:val="Heading 2 Numbered"/>
    <w:basedOn w:val="Heading2"/>
    <w:next w:val="Normal"/>
    <w:semiHidden/>
    <w:rsid w:val="00E370FA"/>
    <w:pPr>
      <w:numPr>
        <w:ilvl w:val="0"/>
        <w:numId w:val="0"/>
      </w:numPr>
      <w:spacing w:before="260" w:after="130" w:line="257" w:lineRule="auto"/>
      <w:ind w:left="737" w:hanging="737"/>
    </w:pPr>
    <w:rPr>
      <w:rFonts w:cs="Times New Roman (Headings CS)"/>
      <w:bCs/>
      <w:caps w:val="0"/>
    </w:rPr>
  </w:style>
  <w:style w:type="paragraph" w:customStyle="1" w:styleId="Heading3Numbered">
    <w:name w:val="Heading 3 Numbered"/>
    <w:basedOn w:val="Heading3"/>
    <w:next w:val="Normal"/>
    <w:semiHidden/>
    <w:rsid w:val="00E370FA"/>
    <w:pPr>
      <w:numPr>
        <w:ilvl w:val="0"/>
        <w:numId w:val="0"/>
      </w:numPr>
      <w:spacing w:before="260"/>
      <w:ind w:left="1474" w:hanging="737"/>
    </w:pPr>
    <w:rPr>
      <w:b w:val="0"/>
      <w:szCs w:val="20"/>
    </w:rPr>
  </w:style>
  <w:style w:type="paragraph" w:customStyle="1" w:styleId="Heading4Numbered">
    <w:name w:val="Heading 4 Numbered"/>
    <w:basedOn w:val="Heading4"/>
    <w:next w:val="BodyText"/>
    <w:semiHidden/>
    <w:rsid w:val="00E370FA"/>
    <w:pPr>
      <w:spacing w:before="260"/>
      <w:ind w:left="737" w:hanging="737"/>
    </w:pPr>
    <w:rPr>
      <w:b/>
      <w:bCs/>
      <w:i w:val="0"/>
      <w:color w:val="242828" w:themeColor="text1"/>
    </w:rPr>
  </w:style>
  <w:style w:type="paragraph" w:customStyle="1" w:styleId="SectionHeading">
    <w:name w:val="Section Heading"/>
    <w:basedOn w:val="RRBaseHeadings"/>
    <w:next w:val="BodyText"/>
    <w:unhideWhenUsed/>
    <w:rsid w:val="00A404F1"/>
    <w:pPr>
      <w:pBdr>
        <w:bottom w:val="single" w:sz="4" w:space="1" w:color="auto"/>
      </w:pBdr>
      <w:spacing w:after="260" w:line="254" w:lineRule="auto"/>
    </w:pPr>
    <w:rPr>
      <w:caps/>
      <w:color w:val="1A4596"/>
      <w:sz w:val="32"/>
    </w:rPr>
  </w:style>
  <w:style w:type="paragraph" w:customStyle="1" w:styleId="SignatureLine">
    <w:name w:val="Signature Line"/>
    <w:basedOn w:val="Normal"/>
    <w:uiPriority w:val="1"/>
    <w:semiHidden/>
    <w:rsid w:val="1FC5E705"/>
    <w:pPr>
      <w:tabs>
        <w:tab w:val="left" w:pos="1021"/>
        <w:tab w:val="left" w:leader="dot" w:pos="5670"/>
        <w:tab w:val="left" w:pos="6237"/>
        <w:tab w:val="left" w:leader="dot" w:pos="8505"/>
      </w:tabs>
    </w:pPr>
    <w:rPr>
      <w:rFonts w:cs="Arial"/>
    </w:rPr>
  </w:style>
  <w:style w:type="paragraph" w:customStyle="1" w:styleId="SmallPrint">
    <w:name w:val="Small Print"/>
    <w:basedOn w:val="Normal"/>
    <w:uiPriority w:val="1"/>
    <w:semiHidden/>
    <w:rsid w:val="1FC5E705"/>
    <w:pPr>
      <w:spacing w:after="130"/>
    </w:pPr>
    <w:rPr>
      <w:rFonts w:cs="Arial"/>
      <w:color w:val="003CA7" w:themeColor="text2"/>
      <w:sz w:val="16"/>
      <w:szCs w:val="16"/>
    </w:rPr>
  </w:style>
  <w:style w:type="paragraph" w:customStyle="1" w:styleId="SmallPrintGrey">
    <w:name w:val="Small Print Grey"/>
    <w:basedOn w:val="SmallPrint"/>
    <w:semiHidden/>
    <w:rsid w:val="00DC38F2"/>
    <w:rPr>
      <w:color w:val="717275"/>
    </w:rPr>
  </w:style>
  <w:style w:type="paragraph" w:customStyle="1" w:styleId="SubsectionHeading">
    <w:name w:val="Subsection Heading"/>
    <w:basedOn w:val="RRBaseHeadings"/>
    <w:next w:val="BodyText"/>
    <w:unhideWhenUsed/>
    <w:rsid w:val="00A404F1"/>
    <w:pPr>
      <w:spacing w:after="260"/>
    </w:pPr>
    <w:rPr>
      <w:b/>
      <w:color w:val="1A4596"/>
    </w:rPr>
  </w:style>
  <w:style w:type="paragraph" w:styleId="Subtitle">
    <w:name w:val="Subtitle"/>
    <w:aliases w:val="ade_Untertitel"/>
    <w:basedOn w:val="RRBaseHeadings"/>
    <w:next w:val="BodyText"/>
    <w:link w:val="SubtitleChar"/>
    <w:uiPriority w:val="11"/>
    <w:unhideWhenUsed/>
    <w:qFormat/>
    <w:rsid w:val="00DC38F2"/>
    <w:pPr>
      <w:numPr>
        <w:ilvl w:val="1"/>
      </w:numPr>
      <w:spacing w:line="240" w:lineRule="auto"/>
      <w:ind w:left="57" w:right="57"/>
    </w:pPr>
    <w:rPr>
      <w:rFonts w:eastAsiaTheme="majorEastAsia" w:cstheme="majorBidi"/>
      <w:iCs/>
      <w:color w:val="FFFFFF" w:themeColor="background1"/>
      <w:spacing w:val="15"/>
      <w:sz w:val="40"/>
      <w:szCs w:val="24"/>
    </w:rPr>
  </w:style>
  <w:style w:type="character" w:customStyle="1" w:styleId="SubtitleChar">
    <w:name w:val="Subtitle Char"/>
    <w:aliases w:val="ade_Untertitel Char"/>
    <w:basedOn w:val="DefaultParagraphFont"/>
    <w:link w:val="Subtitle"/>
    <w:uiPriority w:val="11"/>
    <w:rsid w:val="0047250D"/>
    <w:rPr>
      <w:rFonts w:asciiTheme="majorHAnsi" w:eastAsiaTheme="majorEastAsia" w:hAnsiTheme="majorHAnsi" w:cstheme="majorBidi"/>
      <w:iCs/>
      <w:color w:val="FFFFFF" w:themeColor="background1"/>
      <w:spacing w:val="15"/>
      <w:sz w:val="40"/>
      <w:szCs w:val="24"/>
      <w:lang w:eastAsia="en-GB"/>
    </w:rPr>
  </w:style>
  <w:style w:type="paragraph" w:styleId="TableofFigures">
    <w:name w:val="table of figures"/>
    <w:basedOn w:val="Normal"/>
    <w:next w:val="Normal"/>
    <w:uiPriority w:val="99"/>
    <w:unhideWhenUsed/>
    <w:qFormat/>
    <w:rsid w:val="1FC5E705"/>
  </w:style>
  <w:style w:type="paragraph" w:styleId="Title">
    <w:name w:val="Title"/>
    <w:aliases w:val="ade_Titel"/>
    <w:basedOn w:val="RRBaseHeadings"/>
    <w:next w:val="Subtitle"/>
    <w:link w:val="TitleChar"/>
    <w:uiPriority w:val="1"/>
    <w:unhideWhenUsed/>
    <w:qFormat/>
    <w:rsid w:val="00DC38F2"/>
    <w:pPr>
      <w:pBdr>
        <w:bottom w:val="single" w:sz="4" w:space="1" w:color="003CA7" w:themeColor="text2"/>
      </w:pBdr>
      <w:spacing w:after="260" w:line="240" w:lineRule="auto"/>
      <w:ind w:left="57" w:right="57"/>
      <w:contextualSpacing/>
    </w:pPr>
    <w:rPr>
      <w:rFonts w:eastAsiaTheme="majorEastAsia" w:cs="Times New Roman (Headings CS)"/>
      <w:caps/>
      <w:color w:val="FFFFFF" w:themeColor="background1"/>
      <w:spacing w:val="5"/>
      <w:kern w:val="28"/>
      <w:sz w:val="60"/>
      <w:szCs w:val="52"/>
    </w:rPr>
  </w:style>
  <w:style w:type="character" w:customStyle="1" w:styleId="TitleChar">
    <w:name w:val="Title Char"/>
    <w:aliases w:val="ade_Titel Char"/>
    <w:basedOn w:val="DefaultParagraphFont"/>
    <w:link w:val="Title"/>
    <w:uiPriority w:val="1"/>
    <w:rsid w:val="0047250D"/>
    <w:rPr>
      <w:rFonts w:asciiTheme="majorHAnsi" w:eastAsiaTheme="majorEastAsia" w:hAnsiTheme="majorHAnsi" w:cs="Times New Roman (Headings CS)"/>
      <w:caps/>
      <w:color w:val="FFFFFF" w:themeColor="background1"/>
      <w:spacing w:val="5"/>
      <w:kern w:val="28"/>
      <w:sz w:val="60"/>
      <w:szCs w:val="52"/>
      <w:lang w:eastAsia="en-GB"/>
    </w:rPr>
  </w:style>
  <w:style w:type="paragraph" w:styleId="TOC1">
    <w:name w:val="toc 1"/>
    <w:basedOn w:val="RRBaseHeadings"/>
    <w:next w:val="BodyText"/>
    <w:uiPriority w:val="39"/>
    <w:qFormat/>
    <w:rsid w:val="00680433"/>
    <w:pPr>
      <w:keepNext w:val="0"/>
      <w:keepLines w:val="0"/>
      <w:spacing w:before="120" w:line="240" w:lineRule="auto"/>
      <w:jc w:val="left"/>
    </w:pPr>
    <w:rPr>
      <w:rFonts w:asciiTheme="minorHAnsi" w:eastAsiaTheme="minorHAnsi" w:hAnsiTheme="minorHAnsi" w:cstheme="minorHAnsi"/>
      <w:b/>
      <w:bCs/>
      <w:caps/>
      <w:color w:val="242828" w:themeColor="text1"/>
      <w:lang w:eastAsia="en-US"/>
    </w:rPr>
  </w:style>
  <w:style w:type="paragraph" w:styleId="TOC2">
    <w:name w:val="toc 2"/>
    <w:basedOn w:val="TOC1"/>
    <w:next w:val="BodyText"/>
    <w:uiPriority w:val="39"/>
    <w:qFormat/>
    <w:rsid w:val="008F2E90"/>
    <w:pPr>
      <w:spacing w:before="0" w:after="0"/>
      <w:ind w:left="240"/>
    </w:pPr>
    <w:rPr>
      <w:b w:val="0"/>
      <w:bCs w:val="0"/>
      <w:caps w:val="0"/>
      <w:smallCaps/>
    </w:rPr>
  </w:style>
  <w:style w:type="paragraph" w:styleId="TOC4">
    <w:name w:val="toc 4"/>
    <w:basedOn w:val="TOC3"/>
    <w:next w:val="Normal"/>
    <w:autoRedefine/>
    <w:uiPriority w:val="39"/>
    <w:qFormat/>
    <w:rsid w:val="00DC38F2"/>
    <w:pPr>
      <w:ind w:left="720"/>
    </w:pPr>
    <w:rPr>
      <w:i w:val="0"/>
      <w:iCs w:val="0"/>
      <w:sz w:val="18"/>
      <w:szCs w:val="18"/>
    </w:rPr>
  </w:style>
  <w:style w:type="paragraph" w:customStyle="1" w:styleId="VCHeading">
    <w:name w:val="VC Heading"/>
    <w:basedOn w:val="RRBaseHeadings"/>
    <w:uiPriority w:val="1"/>
    <w:semiHidden/>
    <w:rsid w:val="00DC38F2"/>
    <w:pPr>
      <w:spacing w:before="130" w:after="260" w:line="257" w:lineRule="auto"/>
    </w:pPr>
    <w:rPr>
      <w:sz w:val="26"/>
    </w:rPr>
  </w:style>
  <w:style w:type="character" w:customStyle="1" w:styleId="Heading1Char">
    <w:name w:val="Heading 1 Char"/>
    <w:basedOn w:val="DefaultParagraphFont"/>
    <w:link w:val="Heading1"/>
    <w:rsid w:val="0047250D"/>
    <w:rPr>
      <w:rFonts w:asciiTheme="majorHAnsi" w:eastAsiaTheme="majorEastAsia" w:hAnsiTheme="majorHAnsi" w:cstheme="majorBidi"/>
      <w:caps/>
      <w:color w:val="1A4596"/>
      <w:sz w:val="32"/>
      <w:szCs w:val="32"/>
    </w:rPr>
  </w:style>
  <w:style w:type="paragraph" w:styleId="TOCHeading">
    <w:name w:val="TOC Heading"/>
    <w:basedOn w:val="RRBaseHeadings"/>
    <w:next w:val="BodyText"/>
    <w:uiPriority w:val="39"/>
    <w:unhideWhenUsed/>
    <w:qFormat/>
    <w:rsid w:val="00DB1DD0"/>
    <w:pPr>
      <w:spacing w:after="260" w:line="254" w:lineRule="auto"/>
    </w:pPr>
    <w:rPr>
      <w:b/>
      <w:color w:val="1A4596"/>
      <w:sz w:val="32"/>
    </w:rPr>
  </w:style>
  <w:style w:type="numbering" w:customStyle="1" w:styleId="LRRAppendices">
    <w:name w:val="LRR Appendices"/>
    <w:uiPriority w:val="99"/>
    <w:rsid w:val="00DC38F2"/>
    <w:pPr>
      <w:numPr>
        <w:numId w:val="1"/>
      </w:numPr>
    </w:pPr>
  </w:style>
  <w:style w:type="numbering" w:customStyle="1" w:styleId="LRRHeadings">
    <w:name w:val="LRR Headings"/>
    <w:uiPriority w:val="99"/>
    <w:rsid w:val="00DC38F2"/>
    <w:pPr>
      <w:numPr>
        <w:numId w:val="2"/>
      </w:numPr>
    </w:pPr>
  </w:style>
  <w:style w:type="table" w:customStyle="1" w:styleId="RicardoTable">
    <w:name w:val="Ricardo Table"/>
    <w:basedOn w:val="TableNormal"/>
    <w:uiPriority w:val="99"/>
    <w:unhideWhenUsed/>
    <w:rsid w:val="00F62EEF"/>
    <w:pPr>
      <w:spacing w:before="60" w:after="60"/>
    </w:pPr>
    <w:rPr>
      <w:rFonts w:eastAsiaTheme="minorEastAsia"/>
      <w:lang w:eastAsia="en-GB"/>
    </w:rPr>
    <w:tblPr/>
    <w:tblStylePr w:type="firstRow">
      <w:pPr>
        <w:keepNext/>
        <w:wordWrap/>
        <w:jc w:val="left"/>
      </w:pPr>
      <w:rPr>
        <w:rFonts w:ascii="Arial" w:hAnsi="Arial"/>
        <w:b/>
        <w:color w:val="FFFFFF" w:themeColor="background1"/>
        <w:sz w:val="20"/>
      </w:rPr>
    </w:tblStylePr>
  </w:style>
  <w:style w:type="paragraph" w:customStyle="1" w:styleId="TableTitle0">
    <w:name w:val="Table Title"/>
    <w:basedOn w:val="TableText"/>
    <w:uiPriority w:val="1"/>
    <w:semiHidden/>
    <w:unhideWhenUsed/>
    <w:rsid w:val="00DC38F2"/>
    <w:rPr>
      <w:b/>
      <w:color w:val="FFFFFF"/>
    </w:rPr>
  </w:style>
  <w:style w:type="character" w:styleId="Hyperlink">
    <w:name w:val="Hyperlink"/>
    <w:aliases w:val="toc 2,TOC 21, Znak Znak Znak,Znak Znak Znak,Hyperlink CE Delft"/>
    <w:basedOn w:val="DefaultParagraphFont"/>
    <w:uiPriority w:val="99"/>
    <w:unhideWhenUsed/>
    <w:qFormat/>
    <w:rsid w:val="00182126"/>
    <w:rPr>
      <w:rFonts w:ascii="Times New Roman" w:hAnsi="Times New Roman"/>
      <w:color w:val="auto"/>
      <w:sz w:val="20"/>
      <w:u w:val="single"/>
    </w:rPr>
  </w:style>
  <w:style w:type="character" w:styleId="PlaceholderText">
    <w:name w:val="Placeholder Text"/>
    <w:basedOn w:val="DefaultParagraphFont"/>
    <w:uiPriority w:val="99"/>
    <w:rsid w:val="00DC38F2"/>
    <w:rPr>
      <w:color w:val="808080"/>
    </w:rPr>
  </w:style>
  <w:style w:type="character" w:styleId="Strong">
    <w:name w:val="Strong"/>
    <w:basedOn w:val="DefaultParagraphFont"/>
    <w:uiPriority w:val="22"/>
    <w:qFormat/>
    <w:rsid w:val="00DC38F2"/>
    <w:rPr>
      <w:b/>
      <w:bCs/>
    </w:rPr>
  </w:style>
  <w:style w:type="character" w:customStyle="1" w:styleId="HiddenText">
    <w:name w:val="Hidden Text"/>
    <w:basedOn w:val="DefaultParagraphFont"/>
    <w:uiPriority w:val="1"/>
    <w:semiHidden/>
    <w:unhideWhenUsed/>
    <w:rsid w:val="00DC38F2"/>
    <w:rPr>
      <w:vanish/>
    </w:rPr>
  </w:style>
  <w:style w:type="paragraph" w:customStyle="1" w:styleId="HeaderLogo">
    <w:name w:val="Header Logo"/>
    <w:basedOn w:val="Header"/>
    <w:semiHidden/>
    <w:rsid w:val="00DC38F2"/>
    <w:pPr>
      <w:jc w:val="right"/>
    </w:pPr>
  </w:style>
  <w:style w:type="paragraph" w:customStyle="1" w:styleId="LogoFrontCover">
    <w:name w:val="Logo Front Cover"/>
    <w:semiHidden/>
    <w:rsid w:val="00DC38F2"/>
    <w:pPr>
      <w:ind w:left="-57"/>
      <w:jc w:val="right"/>
    </w:pPr>
    <w:rPr>
      <w:rFonts w:eastAsiaTheme="minorEastAsia" w:cs="Arial"/>
      <w:noProof/>
      <w:lang w:eastAsia="en-GB"/>
    </w:rPr>
  </w:style>
  <w:style w:type="table" w:styleId="PlainTable2">
    <w:name w:val="Plain Table 2"/>
    <w:basedOn w:val="TableNormal"/>
    <w:uiPriority w:val="42"/>
    <w:rsid w:val="00EC6972"/>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F2644E"/>
    <w:rPr>
      <w:rFonts w:asciiTheme="majorHAnsi" w:eastAsiaTheme="majorEastAsia" w:hAnsiTheme="majorHAnsi" w:cstheme="majorBidi"/>
      <w:caps/>
      <w:color w:val="1A4596"/>
      <w:sz w:val="26"/>
      <w:szCs w:val="26"/>
    </w:rPr>
  </w:style>
  <w:style w:type="character" w:customStyle="1" w:styleId="Heading3Char">
    <w:name w:val="Heading 3 Char"/>
    <w:basedOn w:val="DefaultParagraphFont"/>
    <w:link w:val="Heading3"/>
    <w:rsid w:val="0047250D"/>
    <w:rPr>
      <w:rFonts w:asciiTheme="majorHAnsi" w:eastAsiaTheme="majorEastAsia" w:hAnsiTheme="majorHAnsi" w:cstheme="majorBidi"/>
      <w:b/>
      <w:sz w:val="24"/>
      <w:szCs w:val="24"/>
    </w:rPr>
  </w:style>
  <w:style w:type="character" w:customStyle="1" w:styleId="Heading4Char">
    <w:name w:val="Heading 4 Char"/>
    <w:basedOn w:val="DefaultParagraphFont"/>
    <w:link w:val="Heading4"/>
    <w:rsid w:val="002B23FD"/>
    <w:rPr>
      <w:rFonts w:asciiTheme="majorHAnsi" w:eastAsiaTheme="majorEastAsia" w:hAnsiTheme="majorHAnsi" w:cstheme="majorBidi"/>
      <w:i/>
      <w:iCs/>
      <w:color w:val="auto"/>
      <w:sz w:val="24"/>
      <w:szCs w:val="24"/>
      <w:lang w:val="en-US"/>
    </w:rPr>
  </w:style>
  <w:style w:type="paragraph" w:styleId="TOC3">
    <w:name w:val="toc 3"/>
    <w:basedOn w:val="TOC2"/>
    <w:next w:val="Normal"/>
    <w:autoRedefine/>
    <w:uiPriority w:val="39"/>
    <w:qFormat/>
    <w:rsid w:val="000773C6"/>
    <w:pPr>
      <w:ind w:left="480"/>
    </w:pPr>
    <w:rPr>
      <w:i/>
      <w:iCs/>
      <w:smallCaps w:val="0"/>
    </w:rPr>
  </w:style>
  <w:style w:type="table" w:styleId="TableGrid">
    <w:name w:val="Table Grid"/>
    <w:aliases w:val="Document Table,Gena,Tabellengitternetz,Table Format 1,Table_FPB,CV1,CV table,EY Table,none,TabelEcorys,IT Park_Citation,san defined,chiffres,Tableau D,Table Finalité,Table EY,Volet,HTG,Tabela Renova,Deloitte,Simple table,simple table,_CBS Tab"/>
    <w:basedOn w:val="TableNormal"/>
    <w:uiPriority w:val="59"/>
    <w:rsid w:val="00DC38F2"/>
    <w:pPr>
      <w:spacing w:after="0" w:line="240" w:lineRule="auto"/>
    </w:pPr>
    <w:tblPr/>
  </w:style>
  <w:style w:type="paragraph" w:customStyle="1" w:styleId="BasicParagraph">
    <w:name w:val="[Basic Paragraph]"/>
    <w:basedOn w:val="Normal"/>
    <w:uiPriority w:val="99"/>
    <w:unhideWhenUsed/>
    <w:rsid w:val="1FC5E705"/>
    <w:pPr>
      <w:spacing w:after="0"/>
    </w:pPr>
    <w:rPr>
      <w:rFonts w:ascii="MinionPro-Regular" w:hAnsi="MinionPro-Regular" w:cs="MinionPro-Regular"/>
      <w:color w:val="000000"/>
    </w:rPr>
  </w:style>
  <w:style w:type="paragraph" w:styleId="ListParagraph">
    <w:name w:val="List Paragraph"/>
    <w:basedOn w:val="Normal"/>
    <w:link w:val="ListParagraphChar"/>
    <w:uiPriority w:val="34"/>
    <w:qFormat/>
    <w:rsid w:val="1FC5E705"/>
    <w:pPr>
      <w:spacing w:after="60"/>
      <w:ind w:left="720" w:hanging="360"/>
    </w:pPr>
    <w:rPr>
      <w:rFonts w:cs="Arial"/>
    </w:rPr>
  </w:style>
  <w:style w:type="paragraph" w:customStyle="1" w:styleId="SecondaryColourPaletteText1">
    <w:name w:val="Secondary Colour Palette Text 1"/>
    <w:basedOn w:val="BodyText"/>
    <w:next w:val="Normal"/>
    <w:link w:val="SecondaryColourPaletteText1Char"/>
    <w:uiPriority w:val="2"/>
    <w:unhideWhenUsed/>
    <w:rsid w:val="00166A5A"/>
    <w:rPr>
      <w:color w:val="97124B"/>
    </w:rPr>
  </w:style>
  <w:style w:type="paragraph" w:customStyle="1" w:styleId="SecondaryColourPalette2">
    <w:name w:val="Secondary Colour Palette 2"/>
    <w:basedOn w:val="SecondaryColourPaletteText1"/>
    <w:next w:val="Normal"/>
    <w:link w:val="SecondaryColourPalette2Char"/>
    <w:uiPriority w:val="2"/>
    <w:unhideWhenUsed/>
    <w:rsid w:val="00166A5A"/>
    <w:pPr>
      <w:spacing w:line="240" w:lineRule="auto"/>
    </w:pPr>
    <w:rPr>
      <w:color w:val="004C46"/>
    </w:rPr>
  </w:style>
  <w:style w:type="character" w:customStyle="1" w:styleId="SecondaryColourPaletteText1Char">
    <w:name w:val="Secondary Colour Palette Text 1 Char"/>
    <w:basedOn w:val="BodyTextChar"/>
    <w:link w:val="SecondaryColourPaletteText1"/>
    <w:uiPriority w:val="2"/>
    <w:rsid w:val="0047250D"/>
    <w:rPr>
      <w:rFonts w:cs="Arial"/>
      <w:color w:val="97124B"/>
    </w:rPr>
  </w:style>
  <w:style w:type="paragraph" w:customStyle="1" w:styleId="SecondaryColourPalette3">
    <w:name w:val="Secondary Colour Palette 3"/>
    <w:basedOn w:val="SecondaryColourPalette2"/>
    <w:next w:val="Normal"/>
    <w:link w:val="SecondaryColourPalette3Char"/>
    <w:uiPriority w:val="2"/>
    <w:unhideWhenUsed/>
    <w:rsid w:val="00166A5A"/>
    <w:rPr>
      <w:color w:val="FECC16"/>
    </w:rPr>
  </w:style>
  <w:style w:type="character" w:customStyle="1" w:styleId="SecondaryColourPalette2Char">
    <w:name w:val="Secondary Colour Palette 2 Char"/>
    <w:basedOn w:val="SecondaryColourPaletteText1Char"/>
    <w:link w:val="SecondaryColourPalette2"/>
    <w:uiPriority w:val="2"/>
    <w:rsid w:val="0047250D"/>
    <w:rPr>
      <w:rFonts w:cs="Arial"/>
      <w:color w:val="004C46"/>
    </w:rPr>
  </w:style>
  <w:style w:type="character" w:customStyle="1" w:styleId="UnresolvedMention1">
    <w:name w:val="Unresolved Mention1"/>
    <w:basedOn w:val="DefaultParagraphFont"/>
    <w:uiPriority w:val="99"/>
    <w:semiHidden/>
    <w:unhideWhenUsed/>
    <w:rsid w:val="00491253"/>
    <w:rPr>
      <w:color w:val="605E5C"/>
      <w:shd w:val="clear" w:color="auto" w:fill="E1DFDD"/>
    </w:rPr>
  </w:style>
  <w:style w:type="character" w:customStyle="1" w:styleId="SecondaryColourPalette3Char">
    <w:name w:val="Secondary Colour Palette 3 Char"/>
    <w:basedOn w:val="SecondaryColourPalette2Char"/>
    <w:link w:val="SecondaryColourPalette3"/>
    <w:uiPriority w:val="2"/>
    <w:rsid w:val="0047250D"/>
    <w:rPr>
      <w:rFonts w:cs="Arial"/>
      <w:color w:val="FECC16"/>
    </w:rPr>
  </w:style>
  <w:style w:type="numbering" w:customStyle="1" w:styleId="BulletList">
    <w:name w:val="Bullet List"/>
    <w:basedOn w:val="LRRHeadings"/>
    <w:uiPriority w:val="99"/>
    <w:rsid w:val="00DB1DD0"/>
    <w:pPr>
      <w:numPr>
        <w:numId w:val="8"/>
      </w:numPr>
    </w:pPr>
  </w:style>
  <w:style w:type="paragraph" w:customStyle="1" w:styleId="AppendixHead">
    <w:name w:val="Appendix Head"/>
    <w:basedOn w:val="Heading1"/>
    <w:link w:val="AppendixHeadChar"/>
    <w:uiPriority w:val="2"/>
    <w:qFormat/>
    <w:rsid w:val="00E77E9B"/>
    <w:pPr>
      <w:numPr>
        <w:numId w:val="0"/>
      </w:numPr>
      <w:spacing w:before="120"/>
    </w:pPr>
  </w:style>
  <w:style w:type="character" w:customStyle="1" w:styleId="AppendixTitleChar">
    <w:name w:val="Appendix Title Char"/>
    <w:basedOn w:val="RRBaseHeadingsChar"/>
    <w:link w:val="AppendixTitle"/>
    <w:uiPriority w:val="1"/>
    <w:semiHidden/>
    <w:rsid w:val="00B40323"/>
    <w:rPr>
      <w:rFonts w:asciiTheme="majorHAnsi" w:eastAsiaTheme="minorEastAsia" w:hAnsiTheme="majorHAnsi" w:cs="Arial"/>
      <w:b/>
      <w:color w:val="003CA7" w:themeColor="text2"/>
      <w:sz w:val="26"/>
      <w:szCs w:val="20"/>
      <w:lang w:eastAsia="en-GB"/>
    </w:rPr>
  </w:style>
  <w:style w:type="character" w:customStyle="1" w:styleId="AppendixHeadChar">
    <w:name w:val="Appendix Head Char"/>
    <w:basedOn w:val="AppendixTitleChar"/>
    <w:link w:val="AppendixHead"/>
    <w:uiPriority w:val="2"/>
    <w:rsid w:val="00F74673"/>
    <w:rPr>
      <w:rFonts w:asciiTheme="majorHAnsi" w:eastAsiaTheme="majorEastAsia" w:hAnsiTheme="majorHAnsi" w:cstheme="majorBidi"/>
      <w:b w:val="0"/>
      <w:caps/>
      <w:color w:val="1A4596"/>
      <w:sz w:val="32"/>
      <w:szCs w:val="32"/>
      <w:lang w:eastAsia="en-GB"/>
    </w:rPr>
  </w:style>
  <w:style w:type="table" w:customStyle="1" w:styleId="Highlightbox">
    <w:name w:val="Highlight box"/>
    <w:basedOn w:val="TableNormal"/>
    <w:uiPriority w:val="99"/>
    <w:rsid w:val="00D6086B"/>
    <w:pPr>
      <w:spacing w:before="60" w:after="60" w:line="240" w:lineRule="auto"/>
    </w:pPr>
    <w:tblPr/>
  </w:style>
  <w:style w:type="paragraph" w:styleId="FootnoteText">
    <w:name w:val="footnote text"/>
    <w:basedOn w:val="Normal"/>
    <w:link w:val="FootnoteTextChar"/>
    <w:uiPriority w:val="99"/>
    <w:qFormat/>
    <w:rsid w:val="1FC5E705"/>
    <w:pPr>
      <w:spacing w:after="40"/>
    </w:pPr>
    <w:rPr>
      <w:rFonts w:cs="Arial"/>
      <w:sz w:val="16"/>
      <w:szCs w:val="16"/>
    </w:rPr>
  </w:style>
  <w:style w:type="character" w:customStyle="1" w:styleId="FootnoteTextChar">
    <w:name w:val="Footnote Text Char"/>
    <w:basedOn w:val="DefaultParagraphFont"/>
    <w:link w:val="FootnoteText"/>
    <w:uiPriority w:val="99"/>
    <w:qFormat/>
    <w:rsid w:val="00662852"/>
    <w:rPr>
      <w:rFonts w:ascii="Times New Roman" w:hAnsi="Times New Roman" w:cs="Arial"/>
      <w:sz w:val="16"/>
      <w:szCs w:val="24"/>
    </w:rPr>
  </w:style>
  <w:style w:type="character" w:styleId="FootnoteReference">
    <w:name w:val="footnote reference"/>
    <w:aliases w:val="number,SUPERS,Footnote Reference Superscript,-E Fuﬂnotenzeichen,-E Fuûnotenzeichen,-E Fußnotenzeichen,EN Footnote Reference,Footnote number,stylish,Footnote symbol,(Footnote Reference),Footnote reference number,note TESI,Ref,R,BVI fnr"/>
    <w:basedOn w:val="DefaultParagraphFont"/>
    <w:link w:val="SUPERSCharCharCharCharCharCharCharChar"/>
    <w:uiPriority w:val="99"/>
    <w:unhideWhenUsed/>
    <w:qFormat/>
    <w:rsid w:val="00964648"/>
    <w:rPr>
      <w:vertAlign w:val="superscript"/>
    </w:rPr>
  </w:style>
  <w:style w:type="paragraph" w:customStyle="1" w:styleId="TableFigureFootnote">
    <w:name w:val="TableFigure Footnote"/>
    <w:next w:val="Normal"/>
    <w:link w:val="TableFigureFootnoteChar"/>
    <w:uiPriority w:val="1"/>
    <w:qFormat/>
    <w:rsid w:val="003D2570"/>
    <w:pPr>
      <w:spacing w:before="120"/>
    </w:pPr>
    <w:rPr>
      <w:rFonts w:cs="Arial"/>
      <w:i/>
      <w:sz w:val="18"/>
      <w:szCs w:val="22"/>
    </w:rPr>
  </w:style>
  <w:style w:type="character" w:customStyle="1" w:styleId="TableFigureFootnoteChar">
    <w:name w:val="TableFigure Footnote Char"/>
    <w:basedOn w:val="DefaultParagraphFont"/>
    <w:link w:val="TableFigureFootnote"/>
    <w:uiPriority w:val="1"/>
    <w:rsid w:val="0047250D"/>
    <w:rPr>
      <w:rFonts w:cs="Arial"/>
      <w:i/>
      <w:sz w:val="18"/>
      <w:szCs w:val="22"/>
    </w:rPr>
  </w:style>
  <w:style w:type="table" w:styleId="TableGrid1">
    <w:name w:val="Table Grid 1"/>
    <w:basedOn w:val="TableNormal"/>
    <w:semiHidden/>
    <w:unhideWhenUsed/>
    <w:rsid w:val="00964648"/>
    <w:pPr>
      <w:ind w:left="737"/>
    </w:pPr>
    <w:tblPr/>
    <w:tblStylePr w:type="lastRow">
      <w:rPr>
        <w:i/>
        <w:iCs/>
      </w:rPr>
    </w:tblStylePr>
    <w:tblStylePr w:type="lastCol">
      <w:rPr>
        <w:i/>
        <w:iCs/>
      </w:rPr>
    </w:tblStylePr>
  </w:style>
  <w:style w:type="paragraph" w:styleId="Bibliography">
    <w:name w:val="Bibliography"/>
    <w:basedOn w:val="Normal"/>
    <w:next w:val="Normal"/>
    <w:uiPriority w:val="37"/>
    <w:unhideWhenUsed/>
    <w:rsid w:val="1FC5E705"/>
    <w:rPr>
      <w:rFonts w:cs="Arial"/>
    </w:rPr>
  </w:style>
  <w:style w:type="paragraph" w:customStyle="1" w:styleId="Signsheetheader">
    <w:name w:val="Sign sheet header"/>
    <w:link w:val="SignsheetheaderChar"/>
    <w:unhideWhenUsed/>
    <w:rsid w:val="002D148F"/>
    <w:pPr>
      <w:framePr w:hSpace="180" w:wrap="around" w:vAnchor="page" w:hAnchor="margin" w:y="2726"/>
      <w:spacing w:after="0" w:line="240" w:lineRule="auto"/>
    </w:pPr>
    <w:rPr>
      <w:color w:val="1A4596"/>
    </w:rPr>
  </w:style>
  <w:style w:type="paragraph" w:customStyle="1" w:styleId="AppendixTOC">
    <w:name w:val="Appendix TOC"/>
    <w:basedOn w:val="TOC1"/>
    <w:autoRedefine/>
    <w:uiPriority w:val="2"/>
    <w:unhideWhenUsed/>
    <w:rsid w:val="00C632B6"/>
  </w:style>
  <w:style w:type="character" w:customStyle="1" w:styleId="SignsheetheaderChar">
    <w:name w:val="Sign sheet header Char"/>
    <w:basedOn w:val="DefaultParagraphFont"/>
    <w:link w:val="Signsheetheader"/>
    <w:rsid w:val="0047250D"/>
    <w:rPr>
      <w:color w:val="1A4596"/>
    </w:rPr>
  </w:style>
  <w:style w:type="paragraph" w:customStyle="1" w:styleId="Insidecovertext">
    <w:name w:val="Inside cover text"/>
    <w:semiHidden/>
    <w:unhideWhenUsed/>
    <w:rsid w:val="002D148F"/>
    <w:pPr>
      <w:framePr w:hSpace="180" w:wrap="around" w:vAnchor="page" w:hAnchor="margin" w:y="2726"/>
      <w:spacing w:after="0" w:line="240" w:lineRule="auto"/>
    </w:pPr>
  </w:style>
  <w:style w:type="paragraph" w:customStyle="1" w:styleId="Backcoverwhitetext">
    <w:name w:val="Back cover white text"/>
    <w:link w:val="BackcoverwhitetextChar"/>
    <w:semiHidden/>
    <w:unhideWhenUsed/>
    <w:rsid w:val="00794284"/>
    <w:rPr>
      <w:color w:val="FFFFFF" w:themeColor="background1"/>
    </w:rPr>
  </w:style>
  <w:style w:type="character" w:customStyle="1" w:styleId="BackcoverwhitetextChar">
    <w:name w:val="Back cover white text Char"/>
    <w:basedOn w:val="DefaultParagraphFont"/>
    <w:link w:val="Backcoverwhitetext"/>
    <w:semiHidden/>
    <w:rsid w:val="0047250D"/>
    <w:rPr>
      <w:color w:val="FFFFFF" w:themeColor="background1"/>
    </w:rPr>
  </w:style>
  <w:style w:type="paragraph" w:customStyle="1" w:styleId="AppendTitle">
    <w:name w:val="Append Title"/>
    <w:basedOn w:val="Normal"/>
    <w:next w:val="Normal"/>
    <w:uiPriority w:val="2"/>
    <w:rsid w:val="1FC5E705"/>
    <w:pPr>
      <w:keepNext/>
      <w:keepLines/>
      <w:pageBreakBefore/>
      <w:pBdr>
        <w:bottom w:val="single" w:sz="4" w:space="1" w:color="003CA7" w:themeColor="text2"/>
      </w:pBdr>
    </w:pPr>
    <w:rPr>
      <w:rFonts w:asciiTheme="majorHAnsi" w:eastAsiaTheme="minorEastAsia" w:hAnsiTheme="majorHAnsi" w:cs="Arial"/>
      <w:caps/>
      <w:color w:val="1A4596"/>
      <w:sz w:val="36"/>
      <w:szCs w:val="36"/>
      <w:lang w:eastAsia="en-GB"/>
    </w:rPr>
  </w:style>
  <w:style w:type="character" w:customStyle="1" w:styleId="Heading5Char">
    <w:name w:val="Heading 5 Char"/>
    <w:basedOn w:val="DefaultParagraphFont"/>
    <w:link w:val="Heading5"/>
    <w:uiPriority w:val="9"/>
    <w:rsid w:val="00A0284A"/>
    <w:rPr>
      <w:rFonts w:asciiTheme="majorHAnsi" w:eastAsiaTheme="majorEastAsia" w:hAnsiTheme="majorHAnsi" w:cstheme="majorBidi"/>
      <w:color w:val="auto"/>
      <w:sz w:val="24"/>
      <w:szCs w:val="24"/>
    </w:rPr>
  </w:style>
  <w:style w:type="character" w:customStyle="1" w:styleId="Heading6Char">
    <w:name w:val="Heading 6 Char"/>
    <w:basedOn w:val="DefaultParagraphFont"/>
    <w:link w:val="Heading6"/>
    <w:rsid w:val="005F5673"/>
    <w:rPr>
      <w:rFonts w:asciiTheme="majorHAnsi" w:eastAsiaTheme="majorEastAsia" w:hAnsiTheme="majorHAnsi" w:cstheme="majorBidi"/>
      <w:color w:val="00525A" w:themeColor="accent1" w:themeShade="7F"/>
      <w:sz w:val="24"/>
      <w:szCs w:val="24"/>
    </w:rPr>
  </w:style>
  <w:style w:type="character" w:customStyle="1" w:styleId="Heading7Char">
    <w:name w:val="Heading 7 Char"/>
    <w:basedOn w:val="DefaultParagraphFont"/>
    <w:link w:val="Heading7"/>
    <w:rsid w:val="005F5673"/>
    <w:rPr>
      <w:rFonts w:asciiTheme="majorHAnsi" w:eastAsiaTheme="majorEastAsia" w:hAnsiTheme="majorHAnsi" w:cstheme="majorBidi"/>
      <w:i/>
      <w:iCs/>
      <w:color w:val="00525A" w:themeColor="accent1" w:themeShade="7F"/>
      <w:sz w:val="24"/>
      <w:szCs w:val="24"/>
    </w:rPr>
  </w:style>
  <w:style w:type="character" w:customStyle="1" w:styleId="Heading8Char">
    <w:name w:val="Heading 8 Char"/>
    <w:basedOn w:val="DefaultParagraphFont"/>
    <w:link w:val="Heading8"/>
    <w:semiHidden/>
    <w:rsid w:val="005F5673"/>
    <w:rPr>
      <w:rFonts w:asciiTheme="majorHAnsi" w:eastAsiaTheme="majorEastAsia" w:hAnsiTheme="majorHAnsi" w:cstheme="majorBidi"/>
      <w:color w:val="434A4A" w:themeColor="text1" w:themeTint="D8"/>
      <w:sz w:val="21"/>
      <w:szCs w:val="21"/>
    </w:rPr>
  </w:style>
  <w:style w:type="character" w:customStyle="1" w:styleId="Heading9Char">
    <w:name w:val="Heading 9 Char"/>
    <w:basedOn w:val="DefaultParagraphFont"/>
    <w:link w:val="Heading9"/>
    <w:semiHidden/>
    <w:rsid w:val="005F5673"/>
    <w:rPr>
      <w:rFonts w:asciiTheme="majorHAnsi" w:eastAsiaTheme="majorEastAsia" w:hAnsiTheme="majorHAnsi" w:cstheme="majorBidi"/>
      <w:i/>
      <w:iCs/>
      <w:color w:val="434A4A" w:themeColor="text1" w:themeTint="D8"/>
      <w:sz w:val="21"/>
      <w:szCs w:val="21"/>
    </w:rPr>
  </w:style>
  <w:style w:type="paragraph" w:styleId="TOC5">
    <w:name w:val="toc 5"/>
    <w:basedOn w:val="Normal"/>
    <w:next w:val="Normal"/>
    <w:uiPriority w:val="39"/>
    <w:unhideWhenUsed/>
    <w:qFormat/>
    <w:rsid w:val="1FC5E705"/>
    <w:pPr>
      <w:spacing w:before="0" w:after="0"/>
      <w:ind w:left="960"/>
      <w:jc w:val="left"/>
    </w:pPr>
    <w:rPr>
      <w:rFonts w:asciiTheme="minorHAnsi" w:hAnsiTheme="minorHAnsi" w:cstheme="minorBidi"/>
      <w:sz w:val="18"/>
      <w:szCs w:val="18"/>
    </w:rPr>
  </w:style>
  <w:style w:type="paragraph" w:customStyle="1" w:styleId="StyleAppendixHeadLeft0cmFirstline0cm">
    <w:name w:val="Style Appendix Head + Left:  0 cm First line:  0 cm"/>
    <w:basedOn w:val="AppendixHead"/>
    <w:rsid w:val="00E77E9B"/>
    <w:rPr>
      <w:rFonts w:eastAsia="Times New Roman" w:cs="Times New Roman"/>
      <w:szCs w:val="20"/>
    </w:rPr>
  </w:style>
  <w:style w:type="character" w:styleId="CommentReference">
    <w:name w:val="annotation reference"/>
    <w:basedOn w:val="DefaultParagraphFont"/>
    <w:uiPriority w:val="99"/>
    <w:unhideWhenUsed/>
    <w:rsid w:val="00C43FB6"/>
    <w:rPr>
      <w:sz w:val="16"/>
      <w:szCs w:val="16"/>
    </w:rPr>
  </w:style>
  <w:style w:type="paragraph" w:styleId="CommentText">
    <w:name w:val="annotation text"/>
    <w:basedOn w:val="Normal"/>
    <w:link w:val="CommentTextChar"/>
    <w:uiPriority w:val="99"/>
    <w:unhideWhenUsed/>
    <w:qFormat/>
    <w:rsid w:val="1FC5E705"/>
  </w:style>
  <w:style w:type="character" w:customStyle="1" w:styleId="CommentTextChar">
    <w:name w:val="Comment Text Char"/>
    <w:basedOn w:val="DefaultParagraphFont"/>
    <w:link w:val="CommentText"/>
    <w:uiPriority w:val="99"/>
    <w:qFormat/>
    <w:rsid w:val="00C43FB6"/>
    <w:rPr>
      <w:rFonts w:ascii="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C43FB6"/>
    <w:rPr>
      <w:b/>
      <w:bCs/>
    </w:rPr>
  </w:style>
  <w:style w:type="character" w:customStyle="1" w:styleId="CommentSubjectChar">
    <w:name w:val="Comment Subject Char"/>
    <w:basedOn w:val="CommentTextChar"/>
    <w:link w:val="CommentSubject"/>
    <w:semiHidden/>
    <w:rsid w:val="00C43FB6"/>
    <w:rPr>
      <w:rFonts w:ascii="Times New Roman" w:hAnsi="Times New Roman" w:cs="Times New Roman"/>
      <w:b/>
      <w:bCs/>
      <w:sz w:val="24"/>
      <w:szCs w:val="24"/>
    </w:rPr>
  </w:style>
  <w:style w:type="character" w:customStyle="1" w:styleId="ListParagraphChar">
    <w:name w:val="List Paragraph Char"/>
    <w:basedOn w:val="DefaultParagraphFont"/>
    <w:link w:val="ListParagraph"/>
    <w:uiPriority w:val="34"/>
    <w:qFormat/>
    <w:rsid w:val="00B066C0"/>
    <w:rPr>
      <w:rFonts w:cs="Arial"/>
      <w:szCs w:val="22"/>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qFormat/>
    <w:locked/>
    <w:rsid w:val="001C5AA5"/>
    <w:rPr>
      <w:rFonts w:ascii="Times New Roman" w:eastAsiaTheme="minorEastAsia" w:hAnsi="Times New Roman" w:cs="Times New Roman"/>
      <w:bCs/>
      <w:color w:val="1A4596"/>
      <w:sz w:val="24"/>
      <w:szCs w:val="24"/>
      <w:lang w:eastAsia="en-GB"/>
    </w:rPr>
  </w:style>
  <w:style w:type="paragraph" w:customStyle="1" w:styleId="SUPERSCharCharCharCharCharCharCharChar">
    <w:name w:val="SUPERS Char Char Char Char Char Char Char Char"/>
    <w:basedOn w:val="Normal"/>
    <w:link w:val="FootnoteReference"/>
    <w:uiPriority w:val="99"/>
    <w:rsid w:val="1FC5E705"/>
    <w:pPr>
      <w:spacing w:after="160"/>
      <w:jc w:val="left"/>
    </w:pPr>
    <w:rPr>
      <w:vertAlign w:val="superscript"/>
    </w:rPr>
  </w:style>
  <w:style w:type="character" w:customStyle="1" w:styleId="Mention1">
    <w:name w:val="Mention1"/>
    <w:basedOn w:val="DefaultParagraphFont"/>
    <w:uiPriority w:val="99"/>
    <w:unhideWhenUsed/>
    <w:rsid w:val="007B2C90"/>
    <w:rPr>
      <w:color w:val="2B579A"/>
      <w:shd w:val="clear" w:color="auto" w:fill="E1DFDD"/>
    </w:rPr>
  </w:style>
  <w:style w:type="paragraph" w:customStyle="1" w:styleId="paragraph">
    <w:name w:val="paragraph"/>
    <w:basedOn w:val="Normal"/>
    <w:link w:val="paragraphChar"/>
    <w:uiPriority w:val="1"/>
    <w:rsid w:val="1FC5E705"/>
    <w:pPr>
      <w:spacing w:beforeAutospacing="1" w:afterAutospacing="1"/>
      <w:jc w:val="left"/>
    </w:pPr>
    <w:rPr>
      <w:rFonts w:eastAsia="Times New Roman"/>
      <w:color w:val="auto"/>
      <w:lang w:eastAsia="en-GB"/>
    </w:rPr>
  </w:style>
  <w:style w:type="character" w:customStyle="1" w:styleId="normaltextrun">
    <w:name w:val="normaltextrun"/>
    <w:basedOn w:val="DefaultParagraphFont"/>
    <w:rsid w:val="002D6A3D"/>
  </w:style>
  <w:style w:type="character" w:customStyle="1" w:styleId="eop">
    <w:name w:val="eop"/>
    <w:basedOn w:val="DefaultParagraphFont"/>
    <w:rsid w:val="002D6A3D"/>
  </w:style>
  <w:style w:type="character" w:customStyle="1" w:styleId="contextualspellingandgrammarerrorzoomed">
    <w:name w:val="contextualspellingandgrammarerrorzoomed"/>
    <w:basedOn w:val="DefaultParagraphFont"/>
    <w:rsid w:val="002D6A3D"/>
  </w:style>
  <w:style w:type="character" w:customStyle="1" w:styleId="scxp88408214">
    <w:name w:val="scxp88408214"/>
    <w:basedOn w:val="DefaultParagraphFont"/>
    <w:rsid w:val="002D6A3D"/>
  </w:style>
  <w:style w:type="paragraph" w:customStyle="1" w:styleId="Default">
    <w:name w:val="Default"/>
    <w:rsid w:val="002D6A3D"/>
    <w:pPr>
      <w:autoSpaceDE w:val="0"/>
      <w:autoSpaceDN w:val="0"/>
      <w:adjustRightInd w:val="0"/>
      <w:spacing w:after="0" w:line="240" w:lineRule="auto"/>
      <w:jc w:val="left"/>
    </w:pPr>
    <w:rPr>
      <w:rFonts w:cs="Arial"/>
      <w:color w:val="000000"/>
      <w:sz w:val="24"/>
      <w:szCs w:val="24"/>
    </w:rPr>
  </w:style>
  <w:style w:type="paragraph" w:styleId="Revision">
    <w:name w:val="Revision"/>
    <w:hidden/>
    <w:semiHidden/>
    <w:rsid w:val="000643C5"/>
    <w:pPr>
      <w:spacing w:after="0" w:line="240" w:lineRule="auto"/>
      <w:jc w:val="left"/>
    </w:pPr>
  </w:style>
  <w:style w:type="paragraph" w:customStyle="1" w:styleId="TableParagraph">
    <w:name w:val="Table Paragraph"/>
    <w:basedOn w:val="Normal"/>
    <w:uiPriority w:val="1"/>
    <w:qFormat/>
    <w:rsid w:val="1FC5E705"/>
    <w:pPr>
      <w:widowControl w:val="0"/>
      <w:spacing w:after="0"/>
      <w:jc w:val="center"/>
    </w:pPr>
    <w:rPr>
      <w:rFonts w:eastAsia="Times New Roman"/>
      <w:color w:val="auto"/>
      <w:sz w:val="22"/>
      <w:szCs w:val="22"/>
      <w:lang w:val="en-US"/>
    </w:rPr>
  </w:style>
  <w:style w:type="paragraph" w:customStyle="1" w:styleId="Location">
    <w:name w:val="Location"/>
    <w:basedOn w:val="Normal"/>
    <w:uiPriority w:val="11"/>
    <w:qFormat/>
    <w:rsid w:val="1FC5E705"/>
    <w:pPr>
      <w:spacing w:before="60" w:after="60"/>
      <w:jc w:val="right"/>
    </w:pPr>
    <w:rPr>
      <w:rFonts w:eastAsia="Times New Roman" w:cs="Arial"/>
      <w:color w:val="auto"/>
      <w:sz w:val="22"/>
      <w:szCs w:val="22"/>
      <w:lang w:val="en-US"/>
    </w:rPr>
  </w:style>
  <w:style w:type="paragraph" w:styleId="BalloonText">
    <w:name w:val="Balloon Text"/>
    <w:basedOn w:val="Normal"/>
    <w:link w:val="BalloonTextChar"/>
    <w:uiPriority w:val="1"/>
    <w:semiHidden/>
    <w:unhideWhenUsed/>
    <w:rsid w:val="1FC5E705"/>
    <w:pPr>
      <w:spacing w:after="0"/>
      <w:jc w:val="left"/>
    </w:pPr>
    <w:rPr>
      <w:rFonts w:ascii="Tahoma" w:eastAsia="Times New Roman" w:hAnsi="Tahoma" w:cs="Tahoma"/>
      <w:color w:val="auto"/>
      <w:sz w:val="22"/>
      <w:szCs w:val="22"/>
      <w:lang w:val="en-US"/>
    </w:rPr>
  </w:style>
  <w:style w:type="character" w:customStyle="1" w:styleId="BalloonTextChar">
    <w:name w:val="Balloon Text Char"/>
    <w:basedOn w:val="DefaultParagraphFont"/>
    <w:link w:val="BalloonText"/>
    <w:semiHidden/>
    <w:rsid w:val="005A793B"/>
    <w:rPr>
      <w:rFonts w:ascii="Tahoma" w:eastAsia="Times New Roman" w:hAnsi="Tahoma" w:cs="Tahoma"/>
      <w:color w:val="auto"/>
      <w:sz w:val="22"/>
      <w:szCs w:val="16"/>
      <w:lang w:val="en-US"/>
    </w:rPr>
  </w:style>
  <w:style w:type="paragraph" w:styleId="BlockText">
    <w:name w:val="Block Text"/>
    <w:basedOn w:val="Normal"/>
    <w:uiPriority w:val="99"/>
    <w:semiHidden/>
    <w:unhideWhenUsed/>
    <w:rsid w:val="1FC5E705"/>
    <w:pPr>
      <w:pBdr>
        <w:top w:val="single" w:sz="2" w:space="10" w:color="007B88" w:themeColor="accent1" w:themeShade="BF"/>
        <w:left w:val="single" w:sz="2" w:space="10" w:color="007B88" w:themeColor="accent1" w:themeShade="BF"/>
        <w:bottom w:val="single" w:sz="2" w:space="10" w:color="007B88" w:themeColor="accent1" w:themeShade="BF"/>
        <w:right w:val="single" w:sz="2" w:space="10" w:color="007B88" w:themeColor="accent1" w:themeShade="BF"/>
      </w:pBdr>
      <w:spacing w:before="60" w:after="60"/>
      <w:ind w:left="1152" w:right="1152"/>
      <w:jc w:val="left"/>
    </w:pPr>
    <w:rPr>
      <w:rFonts w:eastAsiaTheme="minorEastAsia" w:cs="Arial"/>
      <w:i/>
      <w:iCs/>
      <w:color w:val="007B88" w:themeColor="accent1" w:themeShade="BF"/>
      <w:sz w:val="22"/>
      <w:szCs w:val="22"/>
      <w:lang w:val="en-US"/>
    </w:rPr>
  </w:style>
  <w:style w:type="paragraph" w:styleId="BodyText3">
    <w:name w:val="Body Text 3"/>
    <w:basedOn w:val="Normal"/>
    <w:link w:val="BodyText3Char"/>
    <w:uiPriority w:val="99"/>
    <w:semiHidden/>
    <w:unhideWhenUsed/>
    <w:rsid w:val="1FC5E705"/>
    <w:pPr>
      <w:spacing w:before="60"/>
      <w:jc w:val="left"/>
    </w:pPr>
    <w:rPr>
      <w:rFonts w:eastAsia="Times New Roman" w:cs="Arial"/>
      <w:color w:val="auto"/>
      <w:sz w:val="22"/>
      <w:szCs w:val="22"/>
      <w:lang w:val="en-US"/>
    </w:rPr>
  </w:style>
  <w:style w:type="character" w:customStyle="1" w:styleId="BodyText3Char">
    <w:name w:val="Body Text 3 Char"/>
    <w:basedOn w:val="DefaultParagraphFont"/>
    <w:link w:val="BodyText3"/>
    <w:uiPriority w:val="99"/>
    <w:semiHidden/>
    <w:rsid w:val="005A793B"/>
    <w:rPr>
      <w:rFonts w:eastAsia="Times New Roman" w:cs="Arial"/>
      <w:color w:val="auto"/>
      <w:sz w:val="22"/>
      <w:szCs w:val="16"/>
      <w:lang w:val="en-US"/>
    </w:rPr>
  </w:style>
  <w:style w:type="paragraph" w:styleId="BodyTextIndent">
    <w:name w:val="Body Text Indent"/>
    <w:basedOn w:val="Normal"/>
    <w:link w:val="BodyTextIndentChar"/>
    <w:uiPriority w:val="99"/>
    <w:semiHidden/>
    <w:unhideWhenUsed/>
    <w:rsid w:val="1FC5E705"/>
    <w:pPr>
      <w:spacing w:before="60"/>
      <w:ind w:left="283"/>
      <w:jc w:val="left"/>
    </w:pPr>
    <w:rPr>
      <w:rFonts w:eastAsia="Times New Roman" w:cs="Arial"/>
      <w:color w:val="auto"/>
      <w:sz w:val="22"/>
      <w:szCs w:val="22"/>
      <w:lang w:val="en-US"/>
    </w:rPr>
  </w:style>
  <w:style w:type="character" w:customStyle="1" w:styleId="BodyTextIndentChar">
    <w:name w:val="Body Text Indent Char"/>
    <w:basedOn w:val="DefaultParagraphFont"/>
    <w:link w:val="BodyTextIndent"/>
    <w:uiPriority w:val="99"/>
    <w:semiHidden/>
    <w:rsid w:val="005A793B"/>
    <w:rPr>
      <w:rFonts w:eastAsia="Times New Roman" w:cs="Arial"/>
      <w:color w:val="auto"/>
      <w:sz w:val="22"/>
      <w:szCs w:val="22"/>
      <w:lang w:val="en-US"/>
    </w:rPr>
  </w:style>
  <w:style w:type="paragraph" w:styleId="BodyTextIndent3">
    <w:name w:val="Body Text Indent 3"/>
    <w:basedOn w:val="Normal"/>
    <w:link w:val="BodyTextIndent3Char"/>
    <w:uiPriority w:val="99"/>
    <w:semiHidden/>
    <w:unhideWhenUsed/>
    <w:rsid w:val="1FC5E705"/>
    <w:pPr>
      <w:spacing w:before="60"/>
      <w:ind w:left="283"/>
      <w:jc w:val="left"/>
    </w:pPr>
    <w:rPr>
      <w:rFonts w:eastAsia="Times New Roman" w:cs="Arial"/>
      <w:color w:val="auto"/>
      <w:sz w:val="22"/>
      <w:szCs w:val="22"/>
      <w:lang w:val="en-US"/>
    </w:rPr>
  </w:style>
  <w:style w:type="character" w:customStyle="1" w:styleId="BodyTextIndent3Char">
    <w:name w:val="Body Text Indent 3 Char"/>
    <w:basedOn w:val="DefaultParagraphFont"/>
    <w:link w:val="BodyTextIndent3"/>
    <w:uiPriority w:val="99"/>
    <w:semiHidden/>
    <w:rsid w:val="005A793B"/>
    <w:rPr>
      <w:rFonts w:eastAsia="Times New Roman" w:cs="Arial"/>
      <w:color w:val="auto"/>
      <w:sz w:val="22"/>
      <w:szCs w:val="16"/>
      <w:lang w:val="en-US"/>
    </w:rPr>
  </w:style>
  <w:style w:type="paragraph" w:styleId="DocumentMap">
    <w:name w:val="Document Map"/>
    <w:basedOn w:val="Normal"/>
    <w:link w:val="DocumentMapChar"/>
    <w:uiPriority w:val="99"/>
    <w:semiHidden/>
    <w:unhideWhenUsed/>
    <w:rsid w:val="1FC5E705"/>
    <w:pPr>
      <w:spacing w:after="0"/>
      <w:jc w:val="left"/>
    </w:pPr>
    <w:rPr>
      <w:rFonts w:ascii="Segoe UI" w:eastAsia="Times New Roman" w:hAnsi="Segoe UI" w:cs="Segoe UI"/>
      <w:color w:val="auto"/>
      <w:sz w:val="22"/>
      <w:szCs w:val="22"/>
      <w:lang w:val="en-US"/>
    </w:rPr>
  </w:style>
  <w:style w:type="character" w:customStyle="1" w:styleId="DocumentMapChar">
    <w:name w:val="Document Map Char"/>
    <w:basedOn w:val="DefaultParagraphFont"/>
    <w:link w:val="DocumentMap"/>
    <w:uiPriority w:val="99"/>
    <w:semiHidden/>
    <w:rsid w:val="005A793B"/>
    <w:rPr>
      <w:rFonts w:ascii="Segoe UI" w:eastAsia="Times New Roman" w:hAnsi="Segoe UI" w:cs="Segoe UI"/>
      <w:color w:val="auto"/>
      <w:sz w:val="22"/>
      <w:szCs w:val="16"/>
      <w:lang w:val="en-US"/>
    </w:rPr>
  </w:style>
  <w:style w:type="paragraph" w:styleId="EndnoteText">
    <w:name w:val="endnote text"/>
    <w:basedOn w:val="Normal"/>
    <w:link w:val="EndnoteTextChar"/>
    <w:uiPriority w:val="1"/>
    <w:semiHidden/>
    <w:unhideWhenUsed/>
    <w:rsid w:val="1FC5E705"/>
    <w:pPr>
      <w:spacing w:after="0"/>
      <w:jc w:val="left"/>
    </w:pPr>
    <w:rPr>
      <w:rFonts w:eastAsia="Times New Roman" w:cs="Arial"/>
      <w:color w:val="auto"/>
      <w:sz w:val="22"/>
      <w:szCs w:val="22"/>
      <w:lang w:val="en-US"/>
    </w:rPr>
  </w:style>
  <w:style w:type="character" w:customStyle="1" w:styleId="EndnoteTextChar">
    <w:name w:val="Endnote Text Char"/>
    <w:basedOn w:val="DefaultParagraphFont"/>
    <w:link w:val="EndnoteText"/>
    <w:semiHidden/>
    <w:rsid w:val="005A793B"/>
    <w:rPr>
      <w:rFonts w:ascii="Times New Roman" w:eastAsia="Times New Roman" w:hAnsi="Times New Roman" w:cs="Arial"/>
      <w:color w:val="auto"/>
      <w:sz w:val="22"/>
      <w:szCs w:val="24"/>
      <w:lang w:val="en-US"/>
    </w:rPr>
  </w:style>
  <w:style w:type="paragraph" w:styleId="EnvelopeReturn">
    <w:name w:val="envelope return"/>
    <w:basedOn w:val="Normal"/>
    <w:uiPriority w:val="99"/>
    <w:semiHidden/>
    <w:unhideWhenUsed/>
    <w:rsid w:val="1FC5E705"/>
    <w:pPr>
      <w:spacing w:after="0"/>
      <w:jc w:val="left"/>
    </w:pPr>
    <w:rPr>
      <w:rFonts w:eastAsiaTheme="majorEastAsia" w:cs="Arial"/>
      <w:color w:val="auto"/>
      <w:sz w:val="22"/>
      <w:szCs w:val="22"/>
      <w:lang w:val="en-US"/>
    </w:rPr>
  </w:style>
  <w:style w:type="character" w:styleId="HTMLCode">
    <w:name w:val="HTML Code"/>
    <w:basedOn w:val="DefaultParagraphFont"/>
    <w:uiPriority w:val="99"/>
    <w:semiHidden/>
    <w:unhideWhenUsed/>
    <w:rsid w:val="005A793B"/>
    <w:rPr>
      <w:rFonts w:ascii="Consolas" w:hAnsi="Consolas" w:cs="Arial"/>
      <w:szCs w:val="20"/>
    </w:rPr>
  </w:style>
  <w:style w:type="character" w:styleId="HTMLDefinition">
    <w:name w:val="HTML Definition"/>
    <w:basedOn w:val="DefaultParagraphFont"/>
    <w:uiPriority w:val="99"/>
    <w:semiHidden/>
    <w:unhideWhenUsed/>
    <w:rsid w:val="005A793B"/>
    <w:rPr>
      <w:rFonts w:ascii="Arial" w:hAnsi="Arial" w:cs="Arial"/>
      <w:i/>
      <w:iCs/>
    </w:rPr>
  </w:style>
  <w:style w:type="character" w:styleId="HTMLKeyboard">
    <w:name w:val="HTML Keyboard"/>
    <w:basedOn w:val="DefaultParagraphFont"/>
    <w:uiPriority w:val="99"/>
    <w:semiHidden/>
    <w:unhideWhenUsed/>
    <w:rsid w:val="005A793B"/>
    <w:rPr>
      <w:rFonts w:ascii="Consolas" w:hAnsi="Consolas" w:cs="Arial"/>
      <w:szCs w:val="20"/>
    </w:rPr>
  </w:style>
  <w:style w:type="paragraph" w:styleId="HTMLPreformatted">
    <w:name w:val="HTML Preformatted"/>
    <w:basedOn w:val="Normal"/>
    <w:link w:val="HTMLPreformattedChar"/>
    <w:uiPriority w:val="99"/>
    <w:semiHidden/>
    <w:unhideWhenUsed/>
    <w:rsid w:val="1FC5E705"/>
    <w:pPr>
      <w:spacing w:after="0"/>
      <w:jc w:val="left"/>
    </w:pPr>
    <w:rPr>
      <w:rFonts w:ascii="Consolas" w:eastAsia="Times New Roman" w:hAnsi="Consolas" w:cs="Arial"/>
      <w:color w:val="auto"/>
      <w:sz w:val="22"/>
      <w:szCs w:val="22"/>
      <w:lang w:val="en-US"/>
    </w:rPr>
  </w:style>
  <w:style w:type="character" w:customStyle="1" w:styleId="HTMLPreformattedChar">
    <w:name w:val="HTML Preformatted Char"/>
    <w:basedOn w:val="DefaultParagraphFont"/>
    <w:link w:val="HTMLPreformatted"/>
    <w:uiPriority w:val="99"/>
    <w:semiHidden/>
    <w:rsid w:val="005A793B"/>
    <w:rPr>
      <w:rFonts w:ascii="Consolas" w:eastAsia="Times New Roman" w:hAnsi="Consolas" w:cs="Arial"/>
      <w:color w:val="auto"/>
      <w:sz w:val="22"/>
      <w:szCs w:val="24"/>
      <w:lang w:val="en-US"/>
    </w:rPr>
  </w:style>
  <w:style w:type="character" w:styleId="HTMLSample">
    <w:name w:val="HTML Sample"/>
    <w:basedOn w:val="DefaultParagraphFont"/>
    <w:uiPriority w:val="99"/>
    <w:semiHidden/>
    <w:unhideWhenUsed/>
    <w:rsid w:val="005A793B"/>
    <w:rPr>
      <w:rFonts w:ascii="Consolas" w:hAnsi="Consolas" w:cs="Arial"/>
      <w:szCs w:val="24"/>
    </w:rPr>
  </w:style>
  <w:style w:type="character" w:styleId="HTMLTypewriter">
    <w:name w:val="HTML Typewriter"/>
    <w:basedOn w:val="DefaultParagraphFont"/>
    <w:uiPriority w:val="99"/>
    <w:semiHidden/>
    <w:unhideWhenUsed/>
    <w:rsid w:val="005A793B"/>
    <w:rPr>
      <w:rFonts w:ascii="Consolas" w:hAnsi="Consolas" w:cs="Arial"/>
      <w:szCs w:val="20"/>
    </w:rPr>
  </w:style>
  <w:style w:type="character" w:styleId="HTMLVariable">
    <w:name w:val="HTML Variable"/>
    <w:basedOn w:val="DefaultParagraphFont"/>
    <w:uiPriority w:val="99"/>
    <w:semiHidden/>
    <w:unhideWhenUsed/>
    <w:rsid w:val="005A793B"/>
    <w:rPr>
      <w:rFonts w:ascii="Arial" w:hAnsi="Arial" w:cs="Arial"/>
      <w:i/>
      <w:iCs/>
    </w:rPr>
  </w:style>
  <w:style w:type="paragraph" w:styleId="Index1">
    <w:name w:val="index 1"/>
    <w:basedOn w:val="Normal"/>
    <w:next w:val="Normal"/>
    <w:uiPriority w:val="99"/>
    <w:semiHidden/>
    <w:unhideWhenUsed/>
    <w:rsid w:val="1FC5E705"/>
    <w:pPr>
      <w:spacing w:after="0"/>
      <w:ind w:left="220" w:hanging="220"/>
      <w:jc w:val="left"/>
    </w:pPr>
    <w:rPr>
      <w:rFonts w:eastAsia="Times New Roman" w:cs="Arial"/>
      <w:color w:val="auto"/>
      <w:sz w:val="22"/>
      <w:szCs w:val="22"/>
      <w:lang w:val="en-US"/>
    </w:rPr>
  </w:style>
  <w:style w:type="paragraph" w:styleId="Index9">
    <w:name w:val="index 9"/>
    <w:basedOn w:val="Normal"/>
    <w:next w:val="Normal"/>
    <w:uiPriority w:val="99"/>
    <w:semiHidden/>
    <w:unhideWhenUsed/>
    <w:rsid w:val="1FC5E705"/>
    <w:pPr>
      <w:spacing w:after="0"/>
      <w:ind w:left="1980" w:hanging="220"/>
      <w:jc w:val="left"/>
    </w:pPr>
    <w:rPr>
      <w:rFonts w:eastAsia="Times New Roman" w:cs="Arial"/>
      <w:color w:val="auto"/>
      <w:sz w:val="22"/>
      <w:szCs w:val="22"/>
      <w:lang w:val="en-US"/>
    </w:rPr>
  </w:style>
  <w:style w:type="character" w:styleId="LineNumber">
    <w:name w:val="line number"/>
    <w:basedOn w:val="DefaultParagraphFont"/>
    <w:uiPriority w:val="99"/>
    <w:semiHidden/>
    <w:unhideWhenUsed/>
    <w:rsid w:val="005A793B"/>
    <w:rPr>
      <w:rFonts w:ascii="Arial" w:hAnsi="Arial" w:cs="Arial"/>
    </w:rPr>
  </w:style>
  <w:style w:type="paragraph" w:styleId="List">
    <w:name w:val="List"/>
    <w:basedOn w:val="Normal"/>
    <w:uiPriority w:val="99"/>
    <w:semiHidden/>
    <w:unhideWhenUsed/>
    <w:rsid w:val="1FC5E705"/>
    <w:pPr>
      <w:spacing w:before="60" w:after="60"/>
      <w:ind w:left="283" w:hanging="283"/>
      <w:contextualSpacing/>
      <w:jc w:val="left"/>
    </w:pPr>
    <w:rPr>
      <w:rFonts w:eastAsia="Times New Roman" w:cs="Arial"/>
      <w:color w:val="auto"/>
      <w:sz w:val="22"/>
      <w:szCs w:val="22"/>
      <w:lang w:val="en-US"/>
    </w:rPr>
  </w:style>
  <w:style w:type="paragraph" w:styleId="ListBullet">
    <w:name w:val="List Bullet"/>
    <w:basedOn w:val="Normal"/>
    <w:uiPriority w:val="1"/>
    <w:unhideWhenUsed/>
    <w:rsid w:val="1FC5E705"/>
    <w:pPr>
      <w:tabs>
        <w:tab w:val="num" w:pos="360"/>
      </w:tabs>
      <w:spacing w:before="60" w:after="60"/>
      <w:ind w:left="360" w:hanging="360"/>
      <w:contextualSpacing/>
      <w:jc w:val="left"/>
    </w:pPr>
    <w:rPr>
      <w:rFonts w:eastAsia="Times New Roman" w:cs="Arial"/>
      <w:color w:val="auto"/>
      <w:sz w:val="22"/>
      <w:szCs w:val="22"/>
      <w:lang w:val="en-US"/>
    </w:rPr>
  </w:style>
  <w:style w:type="paragraph" w:styleId="ListContinue">
    <w:name w:val="List Continue"/>
    <w:basedOn w:val="Normal"/>
    <w:uiPriority w:val="99"/>
    <w:semiHidden/>
    <w:unhideWhenUsed/>
    <w:rsid w:val="1FC5E705"/>
    <w:pPr>
      <w:spacing w:before="60"/>
      <w:ind w:left="283"/>
      <w:contextualSpacing/>
      <w:jc w:val="left"/>
    </w:pPr>
    <w:rPr>
      <w:rFonts w:eastAsia="Times New Roman" w:cs="Arial"/>
      <w:color w:val="auto"/>
      <w:sz w:val="22"/>
      <w:szCs w:val="22"/>
      <w:lang w:val="en-US"/>
    </w:rPr>
  </w:style>
  <w:style w:type="paragraph" w:styleId="MacroText">
    <w:name w:val="macro"/>
    <w:link w:val="MacroTextChar"/>
    <w:uiPriority w:val="1"/>
    <w:unhideWhenUsed/>
    <w:qFormat/>
    <w:rsid w:val="005A793B"/>
    <w:pPr>
      <w:tabs>
        <w:tab w:val="left" w:pos="480"/>
        <w:tab w:val="left" w:pos="960"/>
        <w:tab w:val="left" w:pos="1440"/>
        <w:tab w:val="left" w:pos="1920"/>
        <w:tab w:val="left" w:pos="2400"/>
        <w:tab w:val="left" w:pos="2880"/>
        <w:tab w:val="left" w:pos="3360"/>
        <w:tab w:val="left" w:pos="3840"/>
        <w:tab w:val="left" w:pos="4320"/>
      </w:tabs>
      <w:spacing w:before="60" w:after="0" w:line="276" w:lineRule="auto"/>
      <w:jc w:val="left"/>
    </w:pPr>
    <w:rPr>
      <w:rFonts w:ascii="Consolas" w:eastAsia="Times New Roman" w:hAnsi="Consolas" w:cs="Arial"/>
      <w:color w:val="auto"/>
      <w:sz w:val="22"/>
      <w:lang w:val="en-US"/>
    </w:rPr>
  </w:style>
  <w:style w:type="character" w:customStyle="1" w:styleId="MacroTextChar">
    <w:name w:val="Macro Text Char"/>
    <w:basedOn w:val="DefaultParagraphFont"/>
    <w:link w:val="MacroText"/>
    <w:uiPriority w:val="1"/>
    <w:rsid w:val="005A793B"/>
    <w:rPr>
      <w:rFonts w:ascii="Consolas" w:eastAsia="Times New Roman" w:hAnsi="Consolas" w:cs="Arial"/>
      <w:color w:val="auto"/>
      <w:sz w:val="22"/>
      <w:lang w:val="en-US"/>
    </w:rPr>
  </w:style>
  <w:style w:type="paragraph" w:styleId="MessageHeader">
    <w:name w:val="Message Header"/>
    <w:basedOn w:val="Normal"/>
    <w:link w:val="MessageHeaderChar"/>
    <w:uiPriority w:val="99"/>
    <w:semiHidden/>
    <w:unhideWhenUsed/>
    <w:rsid w:val="1FC5E705"/>
    <w:pPr>
      <w:pBdr>
        <w:top w:val="single" w:sz="6" w:space="1" w:color="auto"/>
        <w:left w:val="single" w:sz="6" w:space="1" w:color="auto"/>
        <w:bottom w:val="single" w:sz="6" w:space="1" w:color="auto"/>
        <w:right w:val="single" w:sz="6" w:space="1" w:color="auto"/>
      </w:pBdr>
      <w:spacing w:after="0"/>
      <w:ind w:left="1134" w:hanging="1134"/>
      <w:jc w:val="left"/>
    </w:pPr>
    <w:rPr>
      <w:rFonts w:eastAsiaTheme="majorEastAsia" w:cs="Arial"/>
      <w:color w:val="auto"/>
      <w:lang w:val="en-US"/>
    </w:rPr>
  </w:style>
  <w:style w:type="character" w:customStyle="1" w:styleId="MessageHeaderChar">
    <w:name w:val="Message Header Char"/>
    <w:basedOn w:val="DefaultParagraphFont"/>
    <w:link w:val="MessageHeader"/>
    <w:uiPriority w:val="99"/>
    <w:semiHidden/>
    <w:rsid w:val="005A793B"/>
    <w:rPr>
      <w:rFonts w:ascii="Times New Roman" w:eastAsiaTheme="majorEastAsia" w:hAnsi="Times New Roman" w:cs="Arial"/>
      <w:color w:val="auto"/>
      <w:sz w:val="24"/>
      <w:szCs w:val="24"/>
      <w:shd w:val="pct20" w:color="auto" w:fill="auto"/>
      <w:lang w:val="en-US"/>
    </w:rPr>
  </w:style>
  <w:style w:type="paragraph" w:styleId="PlainText">
    <w:name w:val="Plain Text"/>
    <w:basedOn w:val="Normal"/>
    <w:link w:val="PlainTextChar"/>
    <w:uiPriority w:val="99"/>
    <w:semiHidden/>
    <w:unhideWhenUsed/>
    <w:rsid w:val="1FC5E705"/>
    <w:pPr>
      <w:spacing w:after="0"/>
      <w:jc w:val="left"/>
    </w:pPr>
    <w:rPr>
      <w:rFonts w:ascii="Consolas" w:eastAsia="Times New Roman" w:hAnsi="Consolas" w:cs="Arial"/>
      <w:color w:val="auto"/>
      <w:sz w:val="22"/>
      <w:szCs w:val="22"/>
      <w:lang w:val="en-US"/>
    </w:rPr>
  </w:style>
  <w:style w:type="character" w:customStyle="1" w:styleId="PlainTextChar">
    <w:name w:val="Plain Text Char"/>
    <w:basedOn w:val="DefaultParagraphFont"/>
    <w:link w:val="PlainText"/>
    <w:uiPriority w:val="99"/>
    <w:semiHidden/>
    <w:rsid w:val="005A793B"/>
    <w:rPr>
      <w:rFonts w:ascii="Consolas" w:eastAsia="Times New Roman" w:hAnsi="Consolas" w:cs="Arial"/>
      <w:color w:val="auto"/>
      <w:sz w:val="22"/>
      <w:szCs w:val="21"/>
      <w:lang w:val="en-US"/>
    </w:rPr>
  </w:style>
  <w:style w:type="paragraph" w:styleId="Salutation">
    <w:name w:val="Salutation"/>
    <w:basedOn w:val="Normal"/>
    <w:next w:val="Normal"/>
    <w:link w:val="SalutationChar"/>
    <w:uiPriority w:val="99"/>
    <w:semiHidden/>
    <w:unhideWhenUsed/>
    <w:rsid w:val="1FC5E705"/>
    <w:pPr>
      <w:spacing w:before="60" w:after="60"/>
      <w:jc w:val="left"/>
    </w:pPr>
    <w:rPr>
      <w:rFonts w:eastAsia="Times New Roman" w:cs="Arial"/>
      <w:color w:val="auto"/>
      <w:sz w:val="22"/>
      <w:szCs w:val="22"/>
      <w:lang w:val="en-US"/>
    </w:rPr>
  </w:style>
  <w:style w:type="character" w:customStyle="1" w:styleId="SalutationChar">
    <w:name w:val="Salutation Char"/>
    <w:basedOn w:val="DefaultParagraphFont"/>
    <w:link w:val="Salutation"/>
    <w:uiPriority w:val="99"/>
    <w:semiHidden/>
    <w:rsid w:val="005A793B"/>
    <w:rPr>
      <w:rFonts w:eastAsia="Times New Roman" w:cs="Arial"/>
      <w:color w:val="auto"/>
      <w:sz w:val="22"/>
      <w:szCs w:val="22"/>
      <w:lang w:val="en-US"/>
    </w:rPr>
  </w:style>
  <w:style w:type="paragraph" w:styleId="TableofAuthorities">
    <w:name w:val="table of authorities"/>
    <w:basedOn w:val="Normal"/>
    <w:next w:val="Normal"/>
    <w:uiPriority w:val="99"/>
    <w:semiHidden/>
    <w:unhideWhenUsed/>
    <w:rsid w:val="1FC5E705"/>
    <w:pPr>
      <w:spacing w:before="60" w:after="0"/>
      <w:ind w:left="220" w:hanging="220"/>
      <w:jc w:val="left"/>
    </w:pPr>
    <w:rPr>
      <w:rFonts w:eastAsia="Times New Roman" w:cs="Arial"/>
      <w:color w:val="auto"/>
      <w:sz w:val="22"/>
      <w:szCs w:val="22"/>
      <w:lang w:val="en-US"/>
    </w:rPr>
  </w:style>
  <w:style w:type="paragraph" w:styleId="TOAHeading">
    <w:name w:val="toa heading"/>
    <w:basedOn w:val="Normal"/>
    <w:next w:val="Normal"/>
    <w:uiPriority w:val="99"/>
    <w:semiHidden/>
    <w:unhideWhenUsed/>
    <w:rsid w:val="1FC5E705"/>
    <w:pPr>
      <w:spacing w:after="60"/>
      <w:jc w:val="left"/>
    </w:pPr>
    <w:rPr>
      <w:rFonts w:eastAsiaTheme="majorEastAsia" w:cs="Arial"/>
      <w:b/>
      <w:bCs/>
      <w:color w:val="auto"/>
      <w:lang w:val="en-US"/>
    </w:rPr>
  </w:style>
  <w:style w:type="paragraph" w:styleId="Quote">
    <w:name w:val="Quote"/>
    <w:basedOn w:val="Normal"/>
    <w:link w:val="QuoteChar"/>
    <w:uiPriority w:val="29"/>
    <w:unhideWhenUsed/>
    <w:qFormat/>
    <w:rsid w:val="1FC5E705"/>
    <w:pPr>
      <w:spacing w:before="200" w:after="160"/>
      <w:jc w:val="center"/>
    </w:pPr>
    <w:rPr>
      <w:rFonts w:eastAsia="Times New Roman" w:cs="Arial"/>
      <w:i/>
      <w:iCs/>
      <w:color w:val="576161" w:themeColor="text1" w:themeTint="BF"/>
      <w:sz w:val="22"/>
      <w:szCs w:val="22"/>
      <w:lang w:val="en-US"/>
    </w:rPr>
  </w:style>
  <w:style w:type="character" w:customStyle="1" w:styleId="QuoteChar">
    <w:name w:val="Quote Char"/>
    <w:basedOn w:val="DefaultParagraphFont"/>
    <w:link w:val="Quote"/>
    <w:uiPriority w:val="29"/>
    <w:rsid w:val="005A793B"/>
    <w:rPr>
      <w:rFonts w:eastAsia="Times New Roman" w:cs="Arial"/>
      <w:i/>
      <w:iCs/>
      <w:color w:val="576161" w:themeColor="text1" w:themeTint="BF"/>
      <w:sz w:val="22"/>
      <w:szCs w:val="22"/>
      <w:lang w:val="en-US"/>
    </w:rPr>
  </w:style>
  <w:style w:type="paragraph" w:styleId="IntenseQuote">
    <w:name w:val="Intense Quote"/>
    <w:basedOn w:val="Normal"/>
    <w:next w:val="Normal"/>
    <w:link w:val="IntenseQuoteChar"/>
    <w:uiPriority w:val="30"/>
    <w:unhideWhenUsed/>
    <w:qFormat/>
    <w:rsid w:val="1FC5E705"/>
    <w:pPr>
      <w:spacing w:before="360" w:after="360"/>
      <w:jc w:val="center"/>
    </w:pPr>
    <w:rPr>
      <w:rFonts w:eastAsia="Times New Roman" w:cs="Arial"/>
      <w:i/>
      <w:iCs/>
      <w:color w:val="007B88" w:themeColor="accent1" w:themeShade="BF"/>
      <w:sz w:val="22"/>
      <w:szCs w:val="22"/>
      <w:lang w:val="en-US"/>
    </w:rPr>
  </w:style>
  <w:style w:type="character" w:customStyle="1" w:styleId="IntenseQuoteChar">
    <w:name w:val="Intense Quote Char"/>
    <w:basedOn w:val="DefaultParagraphFont"/>
    <w:link w:val="IntenseQuote"/>
    <w:uiPriority w:val="30"/>
    <w:rsid w:val="005A793B"/>
    <w:rPr>
      <w:rFonts w:eastAsia="Times New Roman" w:cs="Arial"/>
      <w:i/>
      <w:iCs/>
      <w:color w:val="007B88" w:themeColor="accent1" w:themeShade="BF"/>
      <w:sz w:val="22"/>
      <w:szCs w:val="22"/>
      <w:lang w:val="en-US"/>
    </w:rPr>
  </w:style>
  <w:style w:type="character" w:styleId="IntenseEmphasis">
    <w:name w:val="Intense Emphasis"/>
    <w:basedOn w:val="DefaultParagraphFont"/>
    <w:uiPriority w:val="21"/>
    <w:unhideWhenUsed/>
    <w:qFormat/>
    <w:rsid w:val="005A793B"/>
    <w:rPr>
      <w:rFonts w:ascii="Arial" w:hAnsi="Arial" w:cs="Arial"/>
      <w:i/>
      <w:iCs/>
      <w:color w:val="007B88" w:themeColor="accent1" w:themeShade="BF"/>
    </w:rPr>
  </w:style>
  <w:style w:type="character" w:styleId="IntenseReference">
    <w:name w:val="Intense Reference"/>
    <w:basedOn w:val="DefaultParagraphFont"/>
    <w:uiPriority w:val="32"/>
    <w:unhideWhenUsed/>
    <w:qFormat/>
    <w:rsid w:val="005A793B"/>
    <w:rPr>
      <w:rFonts w:ascii="Arial" w:hAnsi="Arial" w:cs="Arial"/>
      <w:b/>
      <w:bCs/>
      <w:caps w:val="0"/>
      <w:smallCaps/>
      <w:color w:val="007B88" w:themeColor="accent1" w:themeShade="BF"/>
      <w:spacing w:val="0"/>
    </w:rPr>
  </w:style>
  <w:style w:type="character" w:styleId="BookTitle">
    <w:name w:val="Book Title"/>
    <w:basedOn w:val="DefaultParagraphFont"/>
    <w:uiPriority w:val="33"/>
    <w:unhideWhenUsed/>
    <w:qFormat/>
    <w:rsid w:val="005A793B"/>
    <w:rPr>
      <w:rFonts w:ascii="Arial" w:hAnsi="Arial" w:cs="Arial"/>
      <w:b/>
      <w:bCs/>
      <w:i/>
      <w:iCs/>
      <w:spacing w:val="0"/>
    </w:rPr>
  </w:style>
  <w:style w:type="table" w:styleId="TableGridLight">
    <w:name w:val="Grid Table Light"/>
    <w:basedOn w:val="TableNormal"/>
    <w:uiPriority w:val="40"/>
    <w:rsid w:val="005A793B"/>
    <w:pPr>
      <w:spacing w:before="60" w:after="0" w:line="240" w:lineRule="auto"/>
      <w:jc w:val="left"/>
    </w:pPr>
    <w:rPr>
      <w:rFonts w:asciiTheme="minorHAnsi" w:eastAsia="Times New Roman" w:hAnsiTheme="minorHAnsi" w:cs="Times New Roman"/>
      <w:color w:val="auto"/>
      <w:sz w:val="22"/>
      <w:szCs w:val="22"/>
      <w:lang w:val="en-US"/>
    </w:rPr>
    <w:tblPr/>
  </w:style>
  <w:style w:type="table" w:styleId="GridTable1Light-Accent4">
    <w:name w:val="Grid Table 1 Light Accent 4"/>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5A793B"/>
    <w:pPr>
      <w:spacing w:after="0" w:line="240" w:lineRule="auto"/>
      <w:jc w:val="left"/>
    </w:pPr>
    <w:rPr>
      <w:rFonts w:asciiTheme="minorHAnsi" w:eastAsia="Times New Roman" w:hAnsiTheme="minorHAnsi" w:cs="Times New Roman"/>
      <w:color w:val="auto"/>
      <w:sz w:val="22"/>
      <w:szCs w:val="22"/>
      <w:lang w:val="en-US"/>
    </w:rPr>
    <w:tblPr/>
  </w:style>
  <w:style w:type="paragraph" w:styleId="BodyText2">
    <w:name w:val="Body Text 2"/>
    <w:basedOn w:val="Normal"/>
    <w:link w:val="BodyText2Char"/>
    <w:uiPriority w:val="99"/>
    <w:semiHidden/>
    <w:unhideWhenUsed/>
    <w:rsid w:val="1FC5E705"/>
    <w:pPr>
      <w:spacing w:before="60"/>
      <w:jc w:val="left"/>
    </w:pPr>
    <w:rPr>
      <w:rFonts w:eastAsia="Times New Roman" w:cs="Arial"/>
      <w:color w:val="auto"/>
      <w:sz w:val="22"/>
      <w:szCs w:val="22"/>
      <w:lang w:val="en-US"/>
    </w:rPr>
  </w:style>
  <w:style w:type="character" w:customStyle="1" w:styleId="BodyText2Char">
    <w:name w:val="Body Text 2 Char"/>
    <w:basedOn w:val="DefaultParagraphFont"/>
    <w:link w:val="BodyText2"/>
    <w:uiPriority w:val="99"/>
    <w:semiHidden/>
    <w:rsid w:val="005A793B"/>
    <w:rPr>
      <w:rFonts w:eastAsia="Times New Roman" w:cs="Arial"/>
      <w:color w:val="auto"/>
      <w:sz w:val="22"/>
      <w:szCs w:val="22"/>
      <w:lang w:val="en-US"/>
    </w:rPr>
  </w:style>
  <w:style w:type="paragraph" w:styleId="BodyTextFirstIndent">
    <w:name w:val="Body Text First Indent"/>
    <w:basedOn w:val="BodyText"/>
    <w:link w:val="BodyTextFirstIndentChar"/>
    <w:uiPriority w:val="99"/>
    <w:semiHidden/>
    <w:unhideWhenUsed/>
    <w:rsid w:val="005A793B"/>
    <w:pPr>
      <w:spacing w:before="60" w:after="60"/>
      <w:ind w:firstLine="360"/>
      <w:jc w:val="left"/>
    </w:pPr>
    <w:rPr>
      <w:rFonts w:eastAsia="Times New Roman"/>
      <w:color w:val="auto"/>
      <w:sz w:val="22"/>
      <w:szCs w:val="22"/>
      <w:lang w:val="en-US"/>
    </w:rPr>
  </w:style>
  <w:style w:type="character" w:customStyle="1" w:styleId="BodyTextFirstIndentChar">
    <w:name w:val="Body Text First Indent Char"/>
    <w:basedOn w:val="BodyTextChar"/>
    <w:link w:val="BodyTextFirstIndent"/>
    <w:uiPriority w:val="99"/>
    <w:semiHidden/>
    <w:rsid w:val="005A793B"/>
    <w:rPr>
      <w:rFonts w:eastAsia="Times New Roman" w:cs="Arial"/>
      <w:color w:val="auto"/>
      <w:sz w:val="22"/>
      <w:szCs w:val="22"/>
      <w:lang w:val="en-US"/>
    </w:rPr>
  </w:style>
  <w:style w:type="paragraph" w:styleId="BodyTextFirstIndent2">
    <w:name w:val="Body Text First Indent 2"/>
    <w:basedOn w:val="BodyTextIndent"/>
    <w:link w:val="BodyTextFirstIndent2Char"/>
    <w:uiPriority w:val="99"/>
    <w:semiHidden/>
    <w:unhideWhenUsed/>
    <w:rsid w:val="005A793B"/>
    <w:pPr>
      <w:spacing w:after="60"/>
      <w:ind w:left="360" w:firstLine="360"/>
    </w:pPr>
  </w:style>
  <w:style w:type="character" w:customStyle="1" w:styleId="BodyTextFirstIndent2Char">
    <w:name w:val="Body Text First Indent 2 Char"/>
    <w:basedOn w:val="BodyTextIndentChar"/>
    <w:link w:val="BodyTextFirstIndent2"/>
    <w:uiPriority w:val="99"/>
    <w:semiHidden/>
    <w:rsid w:val="005A793B"/>
    <w:rPr>
      <w:rFonts w:eastAsia="Times New Roman" w:cs="Arial"/>
      <w:color w:val="auto"/>
      <w:sz w:val="22"/>
      <w:szCs w:val="22"/>
      <w:lang w:val="en-US"/>
    </w:rPr>
  </w:style>
  <w:style w:type="paragraph" w:styleId="BodyTextIndent2">
    <w:name w:val="Body Text Indent 2"/>
    <w:basedOn w:val="Normal"/>
    <w:link w:val="BodyTextIndent2Char"/>
    <w:uiPriority w:val="99"/>
    <w:semiHidden/>
    <w:unhideWhenUsed/>
    <w:rsid w:val="1FC5E705"/>
    <w:pPr>
      <w:spacing w:before="60"/>
      <w:ind w:left="360"/>
      <w:jc w:val="left"/>
    </w:pPr>
    <w:rPr>
      <w:rFonts w:eastAsia="Times New Roman" w:cs="Arial"/>
      <w:color w:val="auto"/>
      <w:sz w:val="22"/>
      <w:szCs w:val="22"/>
      <w:lang w:val="en-US"/>
    </w:rPr>
  </w:style>
  <w:style w:type="character" w:customStyle="1" w:styleId="BodyTextIndent2Char">
    <w:name w:val="Body Text Indent 2 Char"/>
    <w:basedOn w:val="DefaultParagraphFont"/>
    <w:link w:val="BodyTextIndent2"/>
    <w:uiPriority w:val="99"/>
    <w:semiHidden/>
    <w:rsid w:val="005A793B"/>
    <w:rPr>
      <w:rFonts w:eastAsia="Times New Roman" w:cs="Arial"/>
      <w:color w:val="auto"/>
      <w:sz w:val="22"/>
      <w:szCs w:val="22"/>
      <w:lang w:val="en-US"/>
    </w:rPr>
  </w:style>
  <w:style w:type="paragraph" w:styleId="Closing">
    <w:name w:val="Closing"/>
    <w:basedOn w:val="Normal"/>
    <w:link w:val="ClosingChar"/>
    <w:uiPriority w:val="99"/>
    <w:semiHidden/>
    <w:unhideWhenUsed/>
    <w:rsid w:val="1FC5E705"/>
    <w:pPr>
      <w:spacing w:after="0"/>
      <w:ind w:left="4320"/>
      <w:jc w:val="left"/>
    </w:pPr>
    <w:rPr>
      <w:rFonts w:eastAsia="Times New Roman" w:cs="Arial"/>
      <w:color w:val="auto"/>
      <w:sz w:val="22"/>
      <w:szCs w:val="22"/>
      <w:lang w:val="en-US"/>
    </w:rPr>
  </w:style>
  <w:style w:type="character" w:customStyle="1" w:styleId="ClosingChar">
    <w:name w:val="Closing Char"/>
    <w:basedOn w:val="DefaultParagraphFont"/>
    <w:link w:val="Closing"/>
    <w:uiPriority w:val="99"/>
    <w:semiHidden/>
    <w:rsid w:val="005A793B"/>
    <w:rPr>
      <w:rFonts w:ascii="Times New Roman" w:eastAsia="Times New Roman" w:hAnsi="Times New Roman" w:cs="Arial"/>
      <w:color w:val="auto"/>
      <w:sz w:val="22"/>
      <w:szCs w:val="22"/>
      <w:lang w:val="en-US"/>
    </w:rPr>
  </w:style>
  <w:style w:type="table" w:styleId="ColorfulGrid">
    <w:name w:val="Colorful Grid"/>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C5EDFF" w:themeFill="accent6" w:themeFillTint="33"/>
    </w:tc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List">
    <w:name w:val="Colorful List"/>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E8EAEA" w:themeFill="text1"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CCC" w:themeFill="text1" w:themeFillTint="3F"/>
      </w:tcPr>
    </w:tblStylePr>
    <w:tblStylePr w:type="band1Horz">
      <w:tblPr/>
      <w:tcPr>
        <w:shd w:val="clear" w:color="auto" w:fill="D1D5D5" w:themeFill="text1" w:themeFillTint="33"/>
      </w:tcPr>
    </w:tblStylePr>
  </w:style>
  <w:style w:type="table" w:styleId="ColorfulList-Accent1">
    <w:name w:val="Colorful List Accent 1"/>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F" w:themeFill="accent1" w:themeFillTint="3F"/>
      </w:tcPr>
    </w:tblStylePr>
    <w:tblStylePr w:type="band1Horz">
      <w:tblPr/>
      <w:tcPr>
        <w:shd w:val="clear" w:color="auto" w:fill="BDF9FF" w:themeFill="accent1" w:themeFillTint="33"/>
      </w:tcPr>
    </w:tblStylePr>
  </w:style>
  <w:style w:type="table" w:styleId="ColorfulList-Accent2">
    <w:name w:val="Colorful List Accent 2"/>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DBFFF5" w:themeFill="accent2"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7" w:themeFill="accent2" w:themeFillTint="3F"/>
      </w:tcPr>
    </w:tblStylePr>
    <w:tblStylePr w:type="band1Horz">
      <w:tblPr/>
      <w:tcPr>
        <w:shd w:val="clear" w:color="auto" w:fill="B6FFEB" w:themeFill="accent2" w:themeFillTint="33"/>
      </w:tcPr>
    </w:tblStylePr>
  </w:style>
  <w:style w:type="table" w:styleId="ColorfulList-Accent3">
    <w:name w:val="Colorful List Accent 3"/>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7E4F4" w:themeFill="accent3" w:themeFillTint="19"/>
    </w:tcPr>
    <w:tblStylePr w:type="firstRow">
      <w:rPr>
        <w:b/>
        <w:bCs/>
        <w:color w:val="FFFFFF" w:themeColor="background1"/>
      </w:rPr>
      <w:tblPr/>
      <w:tcPr>
        <w:tcBorders>
          <w:bottom w:val="single" w:sz="12" w:space="0" w:color="FFFFFF" w:themeColor="background1"/>
        </w:tcBorders>
        <w:shd w:val="clear" w:color="auto" w:fill="BA5B00" w:themeFill="accent4" w:themeFillShade="CC"/>
      </w:tcPr>
    </w:tblStylePr>
    <w:tblStylePr w:type="lastRow">
      <w:rPr>
        <w:b/>
        <w:bCs/>
        <w:color w:val="BA5B00" w:themeColor="accent4"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E5" w:themeFill="accent3" w:themeFillTint="3F"/>
      </w:tcPr>
    </w:tblStylePr>
    <w:tblStylePr w:type="band1Horz">
      <w:tblPr/>
      <w:tcPr>
        <w:shd w:val="clear" w:color="auto" w:fill="EEC7EA" w:themeFill="accent3" w:themeFillTint="33"/>
      </w:tcPr>
    </w:tblStylePr>
  </w:style>
  <w:style w:type="table" w:styleId="ColorfulList-Accent4">
    <w:name w:val="Colorful List Accent 4"/>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FF1E3" w:themeFill="accent4" w:themeFillTint="19"/>
    </w:tcPr>
    <w:tblStylePr w:type="firstRow">
      <w:rPr>
        <w:b/>
        <w:bCs/>
        <w:color w:val="FFFFFF" w:themeColor="background1"/>
      </w:rPr>
      <w:tblPr/>
      <w:tcPr>
        <w:tcBorders>
          <w:bottom w:val="single" w:sz="12" w:space="0" w:color="FFFFFF" w:themeColor="background1"/>
        </w:tcBorders>
        <w:shd w:val="clear" w:color="auto" w:fill="5E1C57" w:themeFill="accent3" w:themeFillShade="CC"/>
      </w:tcPr>
    </w:tblStylePr>
    <w:tblStylePr w:type="lastRow">
      <w:rPr>
        <w:b/>
        <w:bCs/>
        <w:color w:val="5E1C57" w:themeColor="accent3"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hemeFill="accent4" w:themeFillTint="3F"/>
      </w:tcPr>
    </w:tblStylePr>
    <w:tblStylePr w:type="band1Horz">
      <w:tblPr/>
      <w:tcPr>
        <w:shd w:val="clear" w:color="auto" w:fill="FFE2C7" w:themeFill="accent4" w:themeFillTint="33"/>
      </w:tcPr>
    </w:tblStylePr>
  </w:style>
  <w:style w:type="table" w:styleId="ColorfulList-Accent5">
    <w:name w:val="Colorful List Accent 5"/>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AFAFA" w:themeFill="accent5" w:themeFillTint="19"/>
    </w:tcPr>
    <w:tblStylePr w:type="firstRow">
      <w:rPr>
        <w:b/>
        <w:bCs/>
        <w:color w:val="FFFFFF" w:themeColor="background1"/>
      </w:rPr>
      <w:tblPr/>
      <w:tcPr>
        <w:tcBorders>
          <w:bottom w:val="single" w:sz="12" w:space="0" w:color="FFFFFF" w:themeColor="background1"/>
        </w:tcBorders>
        <w:shd w:val="clear" w:color="auto" w:fill="007BB2" w:themeFill="accent6" w:themeFillShade="CC"/>
      </w:tcPr>
    </w:tblStylePr>
    <w:tblStylePr w:type="lastRow">
      <w:rPr>
        <w:b/>
        <w:bCs/>
        <w:color w:val="007BB2" w:themeColor="accent6"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3" w:themeFill="accent5" w:themeFillTint="3F"/>
      </w:tcPr>
    </w:tblStylePr>
    <w:tblStylePr w:type="band1Horz">
      <w:tblPr/>
      <w:tcPr>
        <w:shd w:val="clear" w:color="auto" w:fill="F5F6F6" w:themeFill="accent5" w:themeFillTint="33"/>
      </w:tcPr>
    </w:tblStylePr>
  </w:style>
  <w:style w:type="table" w:styleId="ColorfulList-Accent6">
    <w:name w:val="Colorful List Accent 6"/>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E2F6FF" w:themeFill="accent6" w:themeFillTint="19"/>
    </w:tcPr>
    <w:tblStylePr w:type="firstRow">
      <w:rPr>
        <w:b/>
        <w:bCs/>
        <w:color w:val="FFFFFF" w:themeColor="background1"/>
      </w:rPr>
      <w:tblPr/>
      <w:tcPr>
        <w:tcBorders>
          <w:bottom w:val="single" w:sz="12" w:space="0" w:color="FFFFFF" w:themeColor="background1"/>
        </w:tcBorders>
        <w:shd w:val="clear" w:color="auto" w:fill="A5A9A9" w:themeFill="accent5" w:themeFillShade="CC"/>
      </w:tcPr>
    </w:tblStylePr>
    <w:tblStylePr w:type="lastRow">
      <w:rPr>
        <w:b/>
        <w:bCs/>
        <w:color w:val="A5A9A9" w:themeColor="accent5"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9FF" w:themeFill="accent6" w:themeFillTint="3F"/>
      </w:tcPr>
    </w:tblStylePr>
    <w:tblStylePr w:type="band1Horz">
      <w:tblPr/>
      <w:tcPr>
        <w:shd w:val="clear" w:color="auto" w:fill="C5EDFF" w:themeFill="accent6" w:themeFillTint="33"/>
      </w:tcPr>
    </w:tblStylePr>
  </w:style>
  <w:style w:type="table" w:styleId="ColorfulShading">
    <w:name w:val="Colorful Shading"/>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E8EAEA" w:themeFill="text1"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1717" w:themeFill="text1" w:themeFillShade="99"/>
      </w:tcPr>
    </w:tblStylePr>
    <w:tblStylePr w:type="firstCol">
      <w:rPr>
        <w:color w:val="FFFFFF" w:themeColor="background1"/>
      </w:rPr>
      <w:tblPr/>
      <w:tcPr>
        <w:tcBorders>
          <w:top w:val="nil"/>
          <w:left w:val="nil"/>
          <w:bottom w:val="nil"/>
          <w:right w:val="nil"/>
          <w:insideH w:val="single" w:sz="4" w:space="0" w:color="151717" w:themeColor="text1" w:themeShade="99"/>
          <w:insideV w:val="nil"/>
        </w:tcBorders>
        <w:shd w:val="clear" w:color="auto" w:fill="151717" w:themeFill="text1"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1">
    <w:name w:val="Colorful Shading Accent 1"/>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DEFCFF" w:themeFill="accent1"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D" w:themeFill="accent1" w:themeFillShade="99"/>
      </w:tcPr>
    </w:tblStylePr>
    <w:tblStylePr w:type="firstCol">
      <w:rPr>
        <w:color w:val="FFFFFF" w:themeColor="background1"/>
      </w:rPr>
      <w:tblPr/>
      <w:tcPr>
        <w:tcBorders>
          <w:top w:val="nil"/>
          <w:left w:val="nil"/>
          <w:bottom w:val="nil"/>
          <w:right w:val="nil"/>
          <w:insideH w:val="single" w:sz="4" w:space="0" w:color="00636D" w:themeColor="accent1" w:themeShade="99"/>
          <w:insideV w:val="nil"/>
        </w:tcBorders>
        <w:shd w:val="clear" w:color="auto" w:fill="00636D" w:themeFill="accent1"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2">
    <w:name w:val="Colorful Shading Accent 2"/>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DBFFF5" w:themeFill="accent2"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41" w:themeFill="accent2" w:themeFillShade="99"/>
      </w:tcPr>
    </w:tblStylePr>
    <w:tblStylePr w:type="firstCol">
      <w:rPr>
        <w:color w:val="FFFFFF" w:themeColor="background1"/>
      </w:rPr>
      <w:tblPr/>
      <w:tcPr>
        <w:tcBorders>
          <w:top w:val="nil"/>
          <w:left w:val="nil"/>
          <w:bottom w:val="nil"/>
          <w:right w:val="nil"/>
          <w:insideH w:val="single" w:sz="4" w:space="0" w:color="005941" w:themeColor="accent2" w:themeShade="99"/>
          <w:insideV w:val="nil"/>
        </w:tcBorders>
        <w:shd w:val="clear" w:color="auto" w:fill="005941" w:themeFill="accent2"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3">
    <w:name w:val="Colorful Shading Accent 3"/>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7E4F4" w:themeFill="accent3" w:themeFillTint="19"/>
    </w:tcPr>
    <w:tblStylePr w:type="firstRow">
      <w:rPr>
        <w:b/>
        <w:bCs/>
      </w:rPr>
      <w:tblPr/>
      <w:tcPr>
        <w:tcBorders>
          <w:top w:val="nil"/>
          <w:left w:val="nil"/>
          <w:bottom w:val="single" w:sz="24" w:space="0" w:color="E973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1541" w:themeFill="accent3" w:themeFillShade="99"/>
      </w:tcPr>
    </w:tblStylePr>
    <w:tblStylePr w:type="firstCol">
      <w:rPr>
        <w:color w:val="FFFFFF" w:themeColor="background1"/>
      </w:rPr>
      <w:tblPr/>
      <w:tcPr>
        <w:tcBorders>
          <w:top w:val="nil"/>
          <w:left w:val="nil"/>
          <w:bottom w:val="nil"/>
          <w:right w:val="nil"/>
          <w:insideH w:val="single" w:sz="4" w:space="0" w:color="461541" w:themeColor="accent3" w:themeShade="99"/>
          <w:insideV w:val="nil"/>
        </w:tcBorders>
        <w:shd w:val="clear" w:color="auto" w:fill="461541" w:themeFill="accent3" w:themeFillShade="99"/>
      </w:tcPr>
    </w:tblStylePr>
    <w:tblStylePr w:type="lastCol">
      <w:rPr>
        <w:color w:val="FFFFFF" w:themeColor="background1"/>
      </w:rPr>
    </w:tblStylePr>
  </w:style>
  <w:style w:type="table" w:styleId="ColorfulShading-Accent4">
    <w:name w:val="Colorful Shading Accent 4"/>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FF1E3" w:themeFill="accent4" w:themeFillTint="19"/>
    </w:tcPr>
    <w:tblStylePr w:type="firstRow">
      <w:rPr>
        <w:b/>
        <w:bCs/>
      </w:rPr>
      <w:tblPr/>
      <w:tcPr>
        <w:tcBorders>
          <w:top w:val="nil"/>
          <w:left w:val="nil"/>
          <w:bottom w:val="single" w:sz="24" w:space="0" w:color="76236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4400" w:themeFill="accent4" w:themeFillShade="99"/>
      </w:tcPr>
    </w:tblStylePr>
    <w:tblStylePr w:type="firstCol">
      <w:rPr>
        <w:color w:val="FFFFFF" w:themeColor="background1"/>
      </w:rPr>
      <w:tblPr/>
      <w:tcPr>
        <w:tcBorders>
          <w:top w:val="nil"/>
          <w:left w:val="nil"/>
          <w:bottom w:val="nil"/>
          <w:right w:val="nil"/>
          <w:insideH w:val="single" w:sz="4" w:space="0" w:color="8B4400" w:themeColor="accent4" w:themeShade="99"/>
          <w:insideV w:val="nil"/>
        </w:tcBorders>
        <w:shd w:val="clear" w:color="auto" w:fill="8B4400" w:themeFill="accent4"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5">
    <w:name w:val="Colorful Shading Accent 5"/>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AFAFA" w:themeFill="accent5" w:themeFillTint="19"/>
    </w:tcPr>
    <w:tblStylePr w:type="firstRow">
      <w:rPr>
        <w:b/>
        <w:bCs/>
      </w:rPr>
      <w:tblPr/>
      <w:tcPr>
        <w:tcBorders>
          <w:top w:val="nil"/>
          <w:left w:val="nil"/>
          <w:bottom w:val="single" w:sz="24" w:space="0" w:color="009BD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080" w:themeFill="accent5" w:themeFillShade="99"/>
      </w:tcPr>
    </w:tblStylePr>
    <w:tblStylePr w:type="firstCol">
      <w:rPr>
        <w:color w:val="FFFFFF" w:themeColor="background1"/>
      </w:rPr>
      <w:tblPr/>
      <w:tcPr>
        <w:tcBorders>
          <w:top w:val="nil"/>
          <w:left w:val="nil"/>
          <w:bottom w:val="nil"/>
          <w:right w:val="nil"/>
          <w:insideH w:val="single" w:sz="4" w:space="0" w:color="7A8080" w:themeColor="accent5" w:themeShade="99"/>
          <w:insideV w:val="nil"/>
        </w:tcBorders>
        <w:shd w:val="clear" w:color="auto" w:fill="7A8080" w:themeFill="accent5"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6">
    <w:name w:val="Colorful Shading Accent 6"/>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E2F6FF" w:themeFill="accent6" w:themeFillTint="19"/>
    </w:tcPr>
    <w:tblStylePr w:type="firstRow">
      <w:rPr>
        <w:b/>
        <w:bCs/>
      </w:rPr>
      <w:tblPr/>
      <w:tcPr>
        <w:tcBorders>
          <w:top w:val="nil"/>
          <w:left w:val="nil"/>
          <w:bottom w:val="single" w:sz="24" w:space="0" w:color="D0D2D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85" w:themeFill="accent6" w:themeFillShade="99"/>
      </w:tcPr>
    </w:tblStylePr>
    <w:tblStylePr w:type="firstCol">
      <w:rPr>
        <w:color w:val="FFFFFF" w:themeColor="background1"/>
      </w:rPr>
      <w:tblPr/>
      <w:tcPr>
        <w:tcBorders>
          <w:top w:val="nil"/>
          <w:left w:val="nil"/>
          <w:bottom w:val="nil"/>
          <w:right w:val="nil"/>
          <w:insideH w:val="single" w:sz="4" w:space="0" w:color="005C85" w:themeColor="accent6" w:themeShade="99"/>
          <w:insideV w:val="nil"/>
        </w:tcBorders>
        <w:shd w:val="clear" w:color="auto" w:fill="005C85" w:themeFill="accent6"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DarkList">
    <w:name w:val="Dark List"/>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1">
    <w:name w:val="Dark List Accent 1"/>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2">
    <w:name w:val="Dark List Accent 2"/>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3">
    <w:name w:val="Dark List Accent 3"/>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4">
    <w:name w:val="Dark List Accent 4"/>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5">
    <w:name w:val="Dark List Accent 5"/>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6">
    <w:name w:val="Dark List Accent 6"/>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paragraph" w:styleId="Date">
    <w:name w:val="Date"/>
    <w:basedOn w:val="Normal"/>
    <w:next w:val="Normal"/>
    <w:link w:val="DateChar"/>
    <w:uiPriority w:val="1"/>
    <w:unhideWhenUsed/>
    <w:rsid w:val="1FC5E705"/>
    <w:pPr>
      <w:spacing w:before="60" w:after="60"/>
      <w:jc w:val="left"/>
    </w:pPr>
    <w:rPr>
      <w:rFonts w:eastAsia="Times New Roman" w:cs="Arial"/>
      <w:color w:val="auto"/>
      <w:sz w:val="22"/>
      <w:szCs w:val="22"/>
      <w:lang w:val="en-US"/>
    </w:rPr>
  </w:style>
  <w:style w:type="character" w:customStyle="1" w:styleId="DateChar">
    <w:name w:val="Date Char"/>
    <w:basedOn w:val="DefaultParagraphFont"/>
    <w:link w:val="Date"/>
    <w:uiPriority w:val="1"/>
    <w:rsid w:val="005A793B"/>
    <w:rPr>
      <w:rFonts w:eastAsia="Times New Roman" w:cs="Arial"/>
      <w:color w:val="auto"/>
      <w:sz w:val="22"/>
      <w:szCs w:val="22"/>
      <w:lang w:val="en-US"/>
    </w:rPr>
  </w:style>
  <w:style w:type="paragraph" w:styleId="E-mailSignature">
    <w:name w:val="E-mail Signature"/>
    <w:basedOn w:val="Normal"/>
    <w:link w:val="E-mailSignatureChar"/>
    <w:uiPriority w:val="99"/>
    <w:semiHidden/>
    <w:unhideWhenUsed/>
    <w:rsid w:val="1FC5E705"/>
    <w:pPr>
      <w:spacing w:after="0"/>
      <w:jc w:val="left"/>
    </w:pPr>
    <w:rPr>
      <w:rFonts w:eastAsia="Times New Roman" w:cs="Arial"/>
      <w:color w:val="auto"/>
      <w:sz w:val="22"/>
      <w:szCs w:val="22"/>
      <w:lang w:val="en-US"/>
    </w:rPr>
  </w:style>
  <w:style w:type="character" w:customStyle="1" w:styleId="E-mailSignatureChar">
    <w:name w:val="E-mail Signature Char"/>
    <w:basedOn w:val="DefaultParagraphFont"/>
    <w:link w:val="E-mailSignature"/>
    <w:uiPriority w:val="99"/>
    <w:semiHidden/>
    <w:rsid w:val="005A793B"/>
    <w:rPr>
      <w:rFonts w:ascii="Times New Roman" w:eastAsia="Times New Roman" w:hAnsi="Times New Roman" w:cs="Arial"/>
      <w:color w:val="auto"/>
      <w:sz w:val="22"/>
      <w:szCs w:val="22"/>
      <w:lang w:val="en-US"/>
    </w:rPr>
  </w:style>
  <w:style w:type="character" w:styleId="Emphasis">
    <w:name w:val="Emphasis"/>
    <w:basedOn w:val="DefaultParagraphFont"/>
    <w:uiPriority w:val="20"/>
    <w:unhideWhenUsed/>
    <w:qFormat/>
    <w:rsid w:val="005A793B"/>
    <w:rPr>
      <w:rFonts w:ascii="Arial" w:hAnsi="Arial" w:cs="Arial"/>
      <w:i/>
      <w:iCs/>
    </w:rPr>
  </w:style>
  <w:style w:type="character" w:styleId="EndnoteReference">
    <w:name w:val="endnote reference"/>
    <w:basedOn w:val="DefaultParagraphFont"/>
    <w:uiPriority w:val="99"/>
    <w:semiHidden/>
    <w:unhideWhenUsed/>
    <w:rsid w:val="005A793B"/>
    <w:rPr>
      <w:rFonts w:ascii="Arial" w:hAnsi="Arial" w:cs="Arial"/>
      <w:vertAlign w:val="superscript"/>
    </w:rPr>
  </w:style>
  <w:style w:type="paragraph" w:styleId="EnvelopeAddress">
    <w:name w:val="envelope address"/>
    <w:basedOn w:val="Normal"/>
    <w:uiPriority w:val="99"/>
    <w:semiHidden/>
    <w:unhideWhenUsed/>
    <w:rsid w:val="1FC5E705"/>
    <w:pPr>
      <w:spacing w:after="0"/>
      <w:ind w:left="2880"/>
      <w:jc w:val="left"/>
    </w:pPr>
    <w:rPr>
      <w:rFonts w:eastAsiaTheme="majorEastAsia" w:cs="Arial"/>
      <w:color w:val="auto"/>
      <w:lang w:val="en-US"/>
    </w:rPr>
  </w:style>
  <w:style w:type="character" w:styleId="FollowedHyperlink">
    <w:name w:val="FollowedHyperlink"/>
    <w:basedOn w:val="DefaultParagraphFont"/>
    <w:semiHidden/>
    <w:unhideWhenUsed/>
    <w:rsid w:val="005A793B"/>
    <w:rPr>
      <w:rFonts w:ascii="Arial" w:hAnsi="Arial" w:cs="Arial"/>
      <w:color w:val="A3AAAE" w:themeColor="followedHyperlink"/>
      <w:u w:val="single"/>
    </w:rPr>
  </w:style>
  <w:style w:type="table" w:styleId="GridTable1Light">
    <w:name w:val="Grid Table 1 Light"/>
    <w:basedOn w:val="TableNormal"/>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A3ACAC" w:themeColor="text1" w:themeTint="66"/>
        <w:left w:val="single" w:sz="4" w:space="0" w:color="A3ACAC" w:themeColor="text1" w:themeTint="66"/>
        <w:bottom w:val="single" w:sz="4" w:space="0" w:color="A3ACAC" w:themeColor="text1" w:themeTint="66"/>
        <w:right w:val="single" w:sz="4" w:space="0" w:color="A3ACAC" w:themeColor="text1" w:themeTint="66"/>
        <w:insideH w:val="single" w:sz="4" w:space="0" w:color="A3ACAC" w:themeColor="text1" w:themeTint="66"/>
        <w:insideV w:val="single" w:sz="4" w:space="0" w:color="A3ACAC" w:themeColor="text1" w:themeTint="66"/>
      </w:tblBorders>
    </w:tblPr>
    <w:tblStylePr w:type="firstRow">
      <w:rPr>
        <w:b/>
        <w:bCs/>
      </w:rPr>
      <w:tblPr/>
      <w:tcPr>
        <w:tcBorders>
          <w:bottom w:val="single" w:sz="12" w:space="0" w:color="768383" w:themeColor="text1" w:themeTint="99"/>
        </w:tcBorders>
      </w:tcPr>
    </w:tblStylePr>
    <w:tblStylePr w:type="lastRow">
      <w:rPr>
        <w:b/>
        <w:bCs/>
      </w:rPr>
      <w:tblPr/>
      <w:tcPr>
        <w:tcBorders>
          <w:top w:val="double" w:sz="2" w:space="0" w:color="7683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BF3FF" w:themeColor="accent1" w:themeTint="66"/>
        <w:left w:val="single" w:sz="4" w:space="0" w:color="7BF3FF" w:themeColor="accent1" w:themeTint="66"/>
        <w:bottom w:val="single" w:sz="4" w:space="0" w:color="7BF3FF" w:themeColor="accent1" w:themeTint="66"/>
        <w:right w:val="single" w:sz="4" w:space="0" w:color="7BF3FF" w:themeColor="accent1" w:themeTint="66"/>
        <w:insideH w:val="single" w:sz="4" w:space="0" w:color="7BF3FF" w:themeColor="accent1" w:themeTint="66"/>
        <w:insideV w:val="single" w:sz="4" w:space="0" w:color="7BF3FF" w:themeColor="accent1" w:themeTint="66"/>
      </w:tblBorders>
    </w:tblPr>
    <w:tblStylePr w:type="firstRow">
      <w:rPr>
        <w:b/>
        <w:bCs/>
      </w:rPr>
      <w:tblPr/>
      <w:tcPr>
        <w:tcBorders>
          <w:bottom w:val="single" w:sz="12" w:space="0" w:color="3AEDFF" w:themeColor="accent1" w:themeTint="99"/>
        </w:tcBorders>
      </w:tcPr>
    </w:tblStylePr>
    <w:tblStylePr w:type="lastRow">
      <w:rPr>
        <w:b/>
        <w:bCs/>
      </w:rPr>
      <w:tblPr/>
      <w:tcPr>
        <w:tcBorders>
          <w:top w:val="double" w:sz="2" w:space="0" w:color="3AE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26FFC6" w:themeColor="accent2" w:themeTint="99"/>
        </w:tcBorders>
      </w:tcPr>
    </w:tblStylePr>
    <w:tblStylePr w:type="lastRow">
      <w:rPr>
        <w:b/>
        <w:bCs/>
      </w:rPr>
      <w:tblPr/>
      <w:tcPr>
        <w:tcBorders>
          <w:top w:val="double" w:sz="2" w:space="0" w:color="26FFC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CE59C1" w:themeColor="accent3" w:themeTint="99"/>
        </w:tcBorders>
      </w:tcPr>
    </w:tblStylePr>
    <w:tblStylePr w:type="lastRow">
      <w:rPr>
        <w:b/>
        <w:bCs/>
      </w:rPr>
      <w:tblPr/>
      <w:tcPr>
        <w:tcBorders>
          <w:top w:val="double" w:sz="2" w:space="0" w:color="CE59C1"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E2E4E4" w:themeColor="accent5" w:themeTint="99"/>
        </w:tcBorders>
      </w:tcPr>
    </w:tblStylePr>
    <w:tblStylePr w:type="lastRow">
      <w:rPr>
        <w:b/>
        <w:bCs/>
      </w:rPr>
      <w:tblPr/>
      <w:tcPr>
        <w:tcBorders>
          <w:top w:val="double" w:sz="2" w:space="0" w:color="E2E4E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52CAFF" w:themeColor="accent6" w:themeTint="99"/>
        </w:tcBorders>
      </w:tcPr>
    </w:tblStylePr>
    <w:tblStylePr w:type="lastRow">
      <w:rPr>
        <w:b/>
        <w:bCs/>
      </w:rPr>
      <w:tblPr/>
      <w:tcPr>
        <w:tcBorders>
          <w:top w:val="double" w:sz="2" w:space="0" w:color="52CA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hemeFill="text1" w:themeFillTint="33"/>
    </w:tcPr>
    <w:tblStylePr w:type="firstRow">
      <w:rPr>
        <w:b/>
        <w:bCs/>
      </w:rPr>
      <w:tblPr/>
      <w:tcPr>
        <w:tcBorders>
          <w:top w:val="nil"/>
          <w:bottom w:val="single" w:sz="12" w:space="0" w:color="768383" w:themeColor="text1" w:themeTint="99"/>
          <w:insideH w:val="nil"/>
          <w:insideV w:val="nil"/>
        </w:tcBorders>
        <w:shd w:val="clear" w:color="auto" w:fill="FFFFFF" w:themeFill="background1"/>
      </w:tcPr>
    </w:tblStylePr>
    <w:tblStylePr w:type="lastRow">
      <w:rPr>
        <w:b/>
        <w:bCs/>
      </w:rPr>
      <w:tblPr/>
      <w:tcPr>
        <w:tcBorders>
          <w:top w:val="double" w:sz="2" w:space="0" w:color="7683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5D5" w:themeFill="text1" w:themeFillTint="33"/>
      </w:tcPr>
    </w:tblStylePr>
  </w:style>
  <w:style w:type="table" w:styleId="GridTable2-Accent1">
    <w:name w:val="Grid Table 2 Accent 1"/>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hemeFill="accent1" w:themeFillTint="33"/>
    </w:tcPr>
    <w:tblStylePr w:type="firstRow">
      <w:rPr>
        <w:b/>
        <w:bCs/>
      </w:rPr>
      <w:tblPr/>
      <w:tcPr>
        <w:tcBorders>
          <w:top w:val="nil"/>
          <w:bottom w:val="single" w:sz="12" w:space="0" w:color="3AEDFF" w:themeColor="accent1" w:themeTint="99"/>
          <w:insideH w:val="nil"/>
          <w:insideV w:val="nil"/>
        </w:tcBorders>
        <w:shd w:val="clear" w:color="auto" w:fill="FFFFFF" w:themeFill="background1"/>
      </w:tcPr>
    </w:tblStylePr>
    <w:tblStylePr w:type="lastRow">
      <w:rPr>
        <w:b/>
        <w:bCs/>
      </w:rPr>
      <w:tblPr/>
      <w:tcPr>
        <w:tcBorders>
          <w:top w:val="double" w:sz="2" w:space="0" w:color="3AE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1" w:themeFillTint="33"/>
      </w:tcPr>
    </w:tblStylePr>
  </w:style>
  <w:style w:type="table" w:styleId="GridTable2-Accent2">
    <w:name w:val="Grid Table 2 Accent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hemeFill="accent2" w:themeFillTint="33"/>
    </w:tcPr>
    <w:tblStylePr w:type="firstRow">
      <w:rPr>
        <w:b/>
        <w:bCs/>
      </w:rPr>
      <w:tblPr/>
      <w:tcPr>
        <w:tcBorders>
          <w:top w:val="nil"/>
          <w:bottom w:val="single" w:sz="12" w:space="0" w:color="26FFC6" w:themeColor="accent2" w:themeTint="99"/>
          <w:insideH w:val="nil"/>
          <w:insideV w:val="nil"/>
        </w:tcBorders>
        <w:shd w:val="clear" w:color="auto" w:fill="FFFFFF" w:themeFill="background1"/>
      </w:tcPr>
    </w:tblStylePr>
    <w:tblStylePr w:type="lastRow">
      <w:rPr>
        <w:b/>
        <w:bCs/>
      </w:rPr>
      <w:tblPr/>
      <w:tcPr>
        <w:tcBorders>
          <w:top w:val="double" w:sz="2" w:space="0" w:color="26FFC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FEB" w:themeFill="accent2" w:themeFillTint="33"/>
      </w:tcPr>
    </w:tblStylePr>
  </w:style>
  <w:style w:type="table" w:styleId="GridTable2-Accent3">
    <w:name w:val="Grid Table 2 Accent 3"/>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EEC7EA" w:themeFill="accent3" w:themeFillTint="33"/>
    </w:tcPr>
    <w:tblStylePr w:type="firstRow">
      <w:rPr>
        <w:b/>
        <w:bCs/>
      </w:rPr>
      <w:tblPr/>
      <w:tcPr>
        <w:tcBorders>
          <w:top w:val="nil"/>
          <w:bottom w:val="single" w:sz="12" w:space="0" w:color="CE59C1" w:themeColor="accent3" w:themeTint="99"/>
          <w:insideH w:val="nil"/>
          <w:insideV w:val="nil"/>
        </w:tcBorders>
        <w:shd w:val="clear" w:color="auto" w:fill="FFFFFF" w:themeFill="background1"/>
      </w:tcPr>
    </w:tblStylePr>
    <w:tblStylePr w:type="lastRow">
      <w:rPr>
        <w:b/>
        <w:bCs/>
      </w:rPr>
      <w:tblPr/>
      <w:tcPr>
        <w:tcBorders>
          <w:top w:val="double" w:sz="2" w:space="0" w:color="CE59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C7EA" w:themeFill="accent3" w:themeFillTint="33"/>
      </w:tcPr>
    </w:tblStylePr>
  </w:style>
  <w:style w:type="table" w:styleId="GridTable2-Accent4">
    <w:name w:val="Grid Table 2 Accent 4"/>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hemeFill="accent4" w:themeFillTint="33"/>
    </w:tcPr>
    <w:tblStylePr w:type="firstRow">
      <w:rPr>
        <w:b/>
        <w:bCs/>
      </w:rPr>
      <w:tblPr/>
      <w:tcPr>
        <w:tcBorders>
          <w:top w:val="nil"/>
          <w:bottom w:val="single" w:sz="12" w:space="0" w:color="FFAA58" w:themeColor="accent4" w:themeTint="99"/>
          <w:insideH w:val="nil"/>
          <w:insideV w:val="nil"/>
        </w:tcBorders>
        <w:shd w:val="clear" w:color="auto" w:fill="FFFFFF" w:themeFill="background1"/>
      </w:tcPr>
    </w:tblStylePr>
    <w:tblStylePr w:type="lastRow">
      <w:rPr>
        <w:b/>
        <w:bCs/>
      </w:rPr>
      <w:tblPr/>
      <w:tcPr>
        <w:tcBorders>
          <w:top w:val="double" w:sz="2" w:space="0" w:color="FFAA5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2C7" w:themeFill="accent4" w:themeFillTint="33"/>
      </w:tcPr>
    </w:tblStylePr>
  </w:style>
  <w:style w:type="table" w:styleId="GridTable2-Accent5">
    <w:name w:val="Grid Table 2 Accent 5"/>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hemeFill="accent5" w:themeFillTint="33"/>
    </w:tcPr>
    <w:tblStylePr w:type="firstRow">
      <w:rPr>
        <w:b/>
        <w:bCs/>
      </w:rPr>
      <w:tblPr/>
      <w:tcPr>
        <w:tcBorders>
          <w:top w:val="nil"/>
          <w:bottom w:val="single" w:sz="12" w:space="0" w:color="E2E4E4" w:themeColor="accent5" w:themeTint="99"/>
          <w:insideH w:val="nil"/>
          <w:insideV w:val="nil"/>
        </w:tcBorders>
        <w:shd w:val="clear" w:color="auto" w:fill="FFFFFF" w:themeFill="background1"/>
      </w:tcPr>
    </w:tblStylePr>
    <w:tblStylePr w:type="lastRow">
      <w:rPr>
        <w:b/>
        <w:bCs/>
      </w:rPr>
      <w:tblPr/>
      <w:tcPr>
        <w:tcBorders>
          <w:top w:val="double" w:sz="2" w:space="0" w:color="E2E4E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6F6" w:themeFill="accent5" w:themeFillTint="33"/>
      </w:tcPr>
    </w:tblStylePr>
  </w:style>
  <w:style w:type="table" w:styleId="GridTable2-Accent6">
    <w:name w:val="Grid Table 2 Accent 6"/>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hemeFill="accent6" w:themeFillTint="33"/>
    </w:tcPr>
    <w:tblStylePr w:type="firstRow">
      <w:rPr>
        <w:b/>
        <w:bCs/>
      </w:rPr>
      <w:tblPr/>
      <w:tcPr>
        <w:tcBorders>
          <w:top w:val="nil"/>
          <w:bottom w:val="single" w:sz="12" w:space="0" w:color="52CAFF" w:themeColor="accent6" w:themeTint="99"/>
          <w:insideH w:val="nil"/>
          <w:insideV w:val="nil"/>
        </w:tcBorders>
        <w:shd w:val="clear" w:color="auto" w:fill="FFFFFF" w:themeFill="background1"/>
      </w:tcPr>
    </w:tblStylePr>
    <w:tblStylePr w:type="lastRow">
      <w:rPr>
        <w:b/>
        <w:bCs/>
      </w:rPr>
      <w:tblPr/>
      <w:tcPr>
        <w:tcBorders>
          <w:top w:val="double" w:sz="2" w:space="0" w:color="52CA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EDFF" w:themeFill="accent6" w:themeFillTint="33"/>
      </w:tcPr>
    </w:tblStylePr>
  </w:style>
  <w:style w:type="table" w:styleId="GridTable3">
    <w:name w:val="Grid Table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D5D5" w:themeFill="text1" w:themeFillTint="33"/>
      </w:tcPr>
    </w:tblStylePr>
    <w:tblStylePr w:type="band1Horz">
      <w:tblPr/>
      <w:tcPr>
        <w:shd w:val="clear" w:color="auto" w:fill="D1D5D5" w:themeFill="text1" w:themeFillTint="33"/>
      </w:tcPr>
    </w:tblStylePr>
    <w:tblStylePr w:type="neCell">
      <w:tblPr/>
      <w:tcPr>
        <w:tcBorders>
          <w:bottom w:val="single" w:sz="4" w:space="0" w:color="768383" w:themeColor="text1" w:themeTint="99"/>
        </w:tcBorders>
      </w:tcPr>
    </w:tblStylePr>
    <w:tblStylePr w:type="nwCell">
      <w:tblPr/>
      <w:tcPr>
        <w:tcBorders>
          <w:bottom w:val="single" w:sz="4" w:space="0" w:color="768383" w:themeColor="text1" w:themeTint="99"/>
        </w:tcBorders>
      </w:tcPr>
    </w:tblStylePr>
    <w:tblStylePr w:type="seCell">
      <w:tblPr/>
      <w:tcPr>
        <w:tcBorders>
          <w:top w:val="single" w:sz="4" w:space="0" w:color="768383" w:themeColor="text1" w:themeTint="99"/>
        </w:tcBorders>
      </w:tcPr>
    </w:tblStylePr>
    <w:tblStylePr w:type="swCell">
      <w:tblPr/>
      <w:tcPr>
        <w:tcBorders>
          <w:top w:val="single" w:sz="4" w:space="0" w:color="768383" w:themeColor="text1" w:themeTint="99"/>
        </w:tcBorders>
      </w:tcPr>
    </w:tblStylePr>
  </w:style>
  <w:style w:type="table" w:styleId="GridTable3-Accent1">
    <w:name w:val="Grid Table 3 Accent 1"/>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AEDFF" w:themeColor="accent1" w:themeTint="99"/>
        </w:tcBorders>
      </w:tcPr>
    </w:tblStylePr>
    <w:tblStylePr w:type="nwCell">
      <w:tblPr/>
      <w:tcPr>
        <w:tcBorders>
          <w:bottom w:val="single" w:sz="4" w:space="0" w:color="3AEDFF" w:themeColor="accent1" w:themeTint="99"/>
        </w:tcBorders>
      </w:tcPr>
    </w:tblStylePr>
    <w:tblStylePr w:type="seCell">
      <w:tblPr/>
      <w:tcPr>
        <w:tcBorders>
          <w:top w:val="single" w:sz="4" w:space="0" w:color="3AEDFF" w:themeColor="accent1" w:themeTint="99"/>
        </w:tcBorders>
      </w:tcPr>
    </w:tblStylePr>
    <w:tblStylePr w:type="swCell">
      <w:tblPr/>
      <w:tcPr>
        <w:tcBorders>
          <w:top w:val="single" w:sz="4" w:space="0" w:color="3AEDFF" w:themeColor="accent1" w:themeTint="99"/>
        </w:tcBorders>
      </w:tcPr>
    </w:tblStylePr>
  </w:style>
  <w:style w:type="table" w:styleId="GridTable3-Accent2">
    <w:name w:val="Grid Table 3 Accent 2"/>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B" w:themeFill="accent2" w:themeFillTint="33"/>
      </w:tcPr>
    </w:tblStylePr>
    <w:tblStylePr w:type="band1Horz">
      <w:tblPr/>
      <w:tcPr>
        <w:shd w:val="clear" w:color="auto" w:fill="B6FFEB" w:themeFill="accent2" w:themeFillTint="33"/>
      </w:tcPr>
    </w:tblStylePr>
    <w:tblStylePr w:type="neCell">
      <w:tblPr/>
      <w:tcPr>
        <w:tcBorders>
          <w:bottom w:val="single" w:sz="4" w:space="0" w:color="26FFC6" w:themeColor="accent2" w:themeTint="99"/>
        </w:tcBorders>
      </w:tcPr>
    </w:tblStylePr>
    <w:tblStylePr w:type="nwCell">
      <w:tblPr/>
      <w:tcPr>
        <w:tcBorders>
          <w:bottom w:val="single" w:sz="4" w:space="0" w:color="26FFC6" w:themeColor="accent2" w:themeTint="99"/>
        </w:tcBorders>
      </w:tcPr>
    </w:tblStylePr>
    <w:tblStylePr w:type="seCell">
      <w:tblPr/>
      <w:tcPr>
        <w:tcBorders>
          <w:top w:val="single" w:sz="4" w:space="0" w:color="26FFC6" w:themeColor="accent2" w:themeTint="99"/>
        </w:tcBorders>
      </w:tcPr>
    </w:tblStylePr>
    <w:tblStylePr w:type="swCell">
      <w:tblPr/>
      <w:tcPr>
        <w:tcBorders>
          <w:top w:val="single" w:sz="4" w:space="0" w:color="26FFC6" w:themeColor="accent2" w:themeTint="99"/>
        </w:tcBorders>
      </w:tcPr>
    </w:tblStylePr>
  </w:style>
  <w:style w:type="table" w:styleId="GridTable3-Accent3">
    <w:name w:val="Grid Table 3 Accent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C7EA" w:themeFill="accent3" w:themeFillTint="33"/>
      </w:tcPr>
    </w:tblStylePr>
    <w:tblStylePr w:type="band1Horz">
      <w:tblPr/>
      <w:tcPr>
        <w:shd w:val="clear" w:color="auto" w:fill="EEC7EA" w:themeFill="accent3" w:themeFillTint="33"/>
      </w:tcPr>
    </w:tblStylePr>
    <w:tblStylePr w:type="neCell">
      <w:tblPr/>
      <w:tcPr>
        <w:tcBorders>
          <w:bottom w:val="single" w:sz="4" w:space="0" w:color="CE59C1" w:themeColor="accent3" w:themeTint="99"/>
        </w:tcBorders>
      </w:tcPr>
    </w:tblStylePr>
    <w:tblStylePr w:type="nwCell">
      <w:tblPr/>
      <w:tcPr>
        <w:tcBorders>
          <w:bottom w:val="single" w:sz="4" w:space="0" w:color="CE59C1" w:themeColor="accent3" w:themeTint="99"/>
        </w:tcBorders>
      </w:tcPr>
    </w:tblStylePr>
    <w:tblStylePr w:type="seCell">
      <w:tblPr/>
      <w:tcPr>
        <w:tcBorders>
          <w:top w:val="single" w:sz="4" w:space="0" w:color="CE59C1" w:themeColor="accent3" w:themeTint="99"/>
        </w:tcBorders>
      </w:tcPr>
    </w:tblStylePr>
    <w:tblStylePr w:type="swCell">
      <w:tblPr/>
      <w:tcPr>
        <w:tcBorders>
          <w:top w:val="single" w:sz="4" w:space="0" w:color="CE59C1" w:themeColor="accent3" w:themeTint="99"/>
        </w:tcBorders>
      </w:tcPr>
    </w:tblStylePr>
  </w:style>
  <w:style w:type="table" w:styleId="GridTable3-Accent4">
    <w:name w:val="Grid Table 3 Accent 4"/>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4" w:themeFillTint="33"/>
      </w:tcPr>
    </w:tblStylePr>
    <w:tblStylePr w:type="band1Horz">
      <w:tblPr/>
      <w:tcPr>
        <w:shd w:val="clear" w:color="auto" w:fill="FFE2C7" w:themeFill="accent4" w:themeFillTint="33"/>
      </w:tcPr>
    </w:tblStylePr>
    <w:tblStylePr w:type="neCell">
      <w:tblPr/>
      <w:tcPr>
        <w:tcBorders>
          <w:bottom w:val="single" w:sz="4" w:space="0" w:color="FFAA58" w:themeColor="accent4" w:themeTint="99"/>
        </w:tcBorders>
      </w:tcPr>
    </w:tblStylePr>
    <w:tblStylePr w:type="nwCell">
      <w:tblPr/>
      <w:tcPr>
        <w:tcBorders>
          <w:bottom w:val="single" w:sz="4" w:space="0" w:color="FFAA58" w:themeColor="accent4" w:themeTint="99"/>
        </w:tcBorders>
      </w:tcPr>
    </w:tblStylePr>
    <w:tblStylePr w:type="seCell">
      <w:tblPr/>
      <w:tcPr>
        <w:tcBorders>
          <w:top w:val="single" w:sz="4" w:space="0" w:color="FFAA58" w:themeColor="accent4" w:themeTint="99"/>
        </w:tcBorders>
      </w:tcPr>
    </w:tblStylePr>
    <w:tblStylePr w:type="swCell">
      <w:tblPr/>
      <w:tcPr>
        <w:tcBorders>
          <w:top w:val="single" w:sz="4" w:space="0" w:color="FFAA58" w:themeColor="accent4" w:themeTint="99"/>
        </w:tcBorders>
      </w:tcPr>
    </w:tblStylePr>
  </w:style>
  <w:style w:type="table" w:styleId="GridTable3-Accent5">
    <w:name w:val="Grid Table 3 Accent 5"/>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5" w:themeFillTint="33"/>
      </w:tcPr>
    </w:tblStylePr>
    <w:tblStylePr w:type="band1Horz">
      <w:tblPr/>
      <w:tcPr>
        <w:shd w:val="clear" w:color="auto" w:fill="F5F6F6" w:themeFill="accent5" w:themeFillTint="33"/>
      </w:tcPr>
    </w:tblStylePr>
    <w:tblStylePr w:type="neCell">
      <w:tblPr/>
      <w:tcPr>
        <w:tcBorders>
          <w:bottom w:val="single" w:sz="4" w:space="0" w:color="E2E4E4" w:themeColor="accent5" w:themeTint="99"/>
        </w:tcBorders>
      </w:tcPr>
    </w:tblStylePr>
    <w:tblStylePr w:type="nwCell">
      <w:tblPr/>
      <w:tcPr>
        <w:tcBorders>
          <w:bottom w:val="single" w:sz="4" w:space="0" w:color="E2E4E4" w:themeColor="accent5" w:themeTint="99"/>
        </w:tcBorders>
      </w:tcPr>
    </w:tblStylePr>
    <w:tblStylePr w:type="seCell">
      <w:tblPr/>
      <w:tcPr>
        <w:tcBorders>
          <w:top w:val="single" w:sz="4" w:space="0" w:color="E2E4E4" w:themeColor="accent5" w:themeTint="99"/>
        </w:tcBorders>
      </w:tcPr>
    </w:tblStylePr>
    <w:tblStylePr w:type="swCell">
      <w:tblPr/>
      <w:tcPr>
        <w:tcBorders>
          <w:top w:val="single" w:sz="4" w:space="0" w:color="E2E4E4" w:themeColor="accent5" w:themeTint="99"/>
        </w:tcBorders>
      </w:tcPr>
    </w:tblStylePr>
  </w:style>
  <w:style w:type="table" w:styleId="GridTable3-Accent6">
    <w:name w:val="Grid Table 3 Accent 6"/>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6" w:themeFillTint="33"/>
      </w:tcPr>
    </w:tblStylePr>
    <w:tblStylePr w:type="band1Horz">
      <w:tblPr/>
      <w:tcPr>
        <w:shd w:val="clear" w:color="auto" w:fill="C5EDFF" w:themeFill="accent6" w:themeFillTint="33"/>
      </w:tcPr>
    </w:tblStylePr>
    <w:tblStylePr w:type="neCell">
      <w:tblPr/>
      <w:tcPr>
        <w:tcBorders>
          <w:bottom w:val="single" w:sz="4" w:space="0" w:color="52CAFF" w:themeColor="accent6" w:themeTint="99"/>
        </w:tcBorders>
      </w:tcPr>
    </w:tblStylePr>
    <w:tblStylePr w:type="nwCell">
      <w:tblPr/>
      <w:tcPr>
        <w:tcBorders>
          <w:bottom w:val="single" w:sz="4" w:space="0" w:color="52CAFF" w:themeColor="accent6" w:themeTint="99"/>
        </w:tcBorders>
      </w:tcPr>
    </w:tblStylePr>
    <w:tblStylePr w:type="seCell">
      <w:tblPr/>
      <w:tcPr>
        <w:tcBorders>
          <w:top w:val="single" w:sz="4" w:space="0" w:color="52CAFF" w:themeColor="accent6" w:themeTint="99"/>
        </w:tcBorders>
      </w:tcPr>
    </w:tblStylePr>
    <w:tblStylePr w:type="swCell">
      <w:tblPr/>
      <w:tcPr>
        <w:tcBorders>
          <w:top w:val="single" w:sz="4" w:space="0" w:color="52CAFF" w:themeColor="accent6" w:themeTint="99"/>
        </w:tcBorders>
      </w:tcPr>
    </w:tblStylePr>
  </w:style>
  <w:style w:type="table" w:styleId="GridTable4">
    <w:name w:val="Grid Table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hemeFill="text1" w:themeFillTint="33"/>
    </w:tcPr>
    <w:tblStylePr w:type="firstRow">
      <w:rPr>
        <w:b/>
        <w:bCs/>
        <w:color w:val="FFFFFF" w:themeColor="background1"/>
      </w:rPr>
      <w:tblPr/>
      <w:tcPr>
        <w:tcBorders>
          <w:top w:val="single" w:sz="4" w:space="0" w:color="242828" w:themeColor="text1"/>
          <w:left w:val="single" w:sz="4" w:space="0" w:color="242828" w:themeColor="text1"/>
          <w:bottom w:val="single" w:sz="4" w:space="0" w:color="242828" w:themeColor="text1"/>
          <w:right w:val="single" w:sz="4" w:space="0" w:color="242828" w:themeColor="text1"/>
          <w:insideH w:val="nil"/>
          <w:insideV w:val="nil"/>
        </w:tcBorders>
        <w:shd w:val="clear" w:color="auto" w:fill="242828" w:themeFill="text1"/>
      </w:tcPr>
    </w:tblStylePr>
    <w:tblStylePr w:type="lastRow">
      <w:rPr>
        <w:b/>
        <w:bCs/>
      </w:rPr>
      <w:tblPr/>
      <w:tcPr>
        <w:tcBorders>
          <w:top w:val="double" w:sz="4" w:space="0" w:color="242828" w:themeColor="text1"/>
        </w:tcBorders>
      </w:tcPr>
    </w:tblStylePr>
    <w:tblStylePr w:type="firstCol">
      <w:rPr>
        <w:b/>
        <w:bCs/>
      </w:rPr>
    </w:tblStylePr>
    <w:tblStylePr w:type="lastCol">
      <w:rPr>
        <w:b/>
        <w:bCs/>
      </w:rPr>
    </w:tblStylePr>
    <w:tblStylePr w:type="band1Vert">
      <w:tblPr/>
      <w:tcPr>
        <w:shd w:val="clear" w:color="auto" w:fill="D1D5D5" w:themeFill="text1" w:themeFillTint="33"/>
      </w:tcPr>
    </w:tblStylePr>
  </w:style>
  <w:style w:type="table" w:styleId="GridTable4-Accent1">
    <w:name w:val="Grid Table 4 Accent 1"/>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hemeFill="accent1" w:themeFillTint="33"/>
    </w:tcPr>
    <w:tblStylePr w:type="firstRow">
      <w:rPr>
        <w:b/>
        <w:bCs/>
        <w:color w:val="FFFFFF" w:themeColor="background1"/>
      </w:rPr>
      <w:tblPr/>
      <w:tcPr>
        <w:tcBorders>
          <w:top w:val="single" w:sz="4" w:space="0" w:color="00A6B6" w:themeColor="accent1"/>
          <w:left w:val="single" w:sz="4" w:space="0" w:color="00A6B6" w:themeColor="accent1"/>
          <w:bottom w:val="single" w:sz="4" w:space="0" w:color="00A6B6" w:themeColor="accent1"/>
          <w:right w:val="single" w:sz="4" w:space="0" w:color="00A6B6" w:themeColor="accent1"/>
          <w:insideH w:val="nil"/>
          <w:insideV w:val="nil"/>
        </w:tcBorders>
        <w:shd w:val="clear" w:color="auto" w:fill="00A6B6" w:themeFill="accent1"/>
      </w:tcPr>
    </w:tblStylePr>
    <w:tblStylePr w:type="lastRow">
      <w:rPr>
        <w:b/>
        <w:bCs/>
      </w:rPr>
      <w:tblPr/>
      <w:tcPr>
        <w:tcBorders>
          <w:top w:val="double" w:sz="4" w:space="0" w:color="00A6B6"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style>
  <w:style w:type="table" w:styleId="GridTable4-Accent2">
    <w:name w:val="Grid Table 4 Accent 2"/>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hemeFill="accent2" w:themeFillTint="33"/>
    </w:tcPr>
    <w:tblStylePr w:type="firstRow">
      <w:rPr>
        <w:b/>
        <w:bCs/>
        <w:color w:val="FFFFFF" w:themeColor="background1"/>
      </w:rPr>
      <w:tblPr/>
      <w:tcPr>
        <w:tcBorders>
          <w:top w:val="single" w:sz="4" w:space="0" w:color="00956E" w:themeColor="accent2"/>
          <w:left w:val="single" w:sz="4" w:space="0" w:color="00956E" w:themeColor="accent2"/>
          <w:bottom w:val="single" w:sz="4" w:space="0" w:color="00956E" w:themeColor="accent2"/>
          <w:right w:val="single" w:sz="4" w:space="0" w:color="00956E" w:themeColor="accent2"/>
          <w:insideH w:val="nil"/>
          <w:insideV w:val="nil"/>
        </w:tcBorders>
        <w:shd w:val="clear" w:color="auto" w:fill="00956E" w:themeFill="accent2"/>
      </w:tcPr>
    </w:tblStylePr>
    <w:tblStylePr w:type="lastRow">
      <w:rPr>
        <w:b/>
        <w:bCs/>
      </w:rPr>
      <w:tblPr/>
      <w:tcPr>
        <w:tcBorders>
          <w:top w:val="double" w:sz="4" w:space="0" w:color="00956E" w:themeColor="accent2"/>
        </w:tcBorders>
      </w:tcPr>
    </w:tblStylePr>
    <w:tblStylePr w:type="firstCol">
      <w:rPr>
        <w:b/>
        <w:bCs/>
      </w:rPr>
    </w:tblStylePr>
    <w:tblStylePr w:type="lastCol">
      <w:rPr>
        <w:b/>
        <w:bCs/>
      </w:rPr>
    </w:tblStylePr>
    <w:tblStylePr w:type="band1Vert">
      <w:tblPr/>
      <w:tcPr>
        <w:shd w:val="clear" w:color="auto" w:fill="B6FFEB" w:themeFill="accent2" w:themeFillTint="33"/>
      </w:tcPr>
    </w:tblStylePr>
  </w:style>
  <w:style w:type="table" w:styleId="GridTable4-Accent3">
    <w:name w:val="Grid Table 4 Accent 3"/>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EEC7EA" w:themeFill="accent3" w:themeFillTint="33"/>
    </w:tcPr>
    <w:tblStylePr w:type="firstRow">
      <w:rPr>
        <w:b/>
        <w:bCs/>
        <w:color w:val="FFFFFF" w:themeColor="background1"/>
      </w:rPr>
      <w:tblPr/>
      <w:tcPr>
        <w:tcBorders>
          <w:top w:val="single" w:sz="4" w:space="0" w:color="76236D" w:themeColor="accent3"/>
          <w:left w:val="single" w:sz="4" w:space="0" w:color="76236D" w:themeColor="accent3"/>
          <w:bottom w:val="single" w:sz="4" w:space="0" w:color="76236D" w:themeColor="accent3"/>
          <w:right w:val="single" w:sz="4" w:space="0" w:color="76236D" w:themeColor="accent3"/>
          <w:insideH w:val="nil"/>
          <w:insideV w:val="nil"/>
        </w:tcBorders>
        <w:shd w:val="clear" w:color="auto" w:fill="76236D" w:themeFill="accent3"/>
      </w:tcPr>
    </w:tblStylePr>
    <w:tblStylePr w:type="lastRow">
      <w:rPr>
        <w:b/>
        <w:bCs/>
      </w:rPr>
      <w:tblPr/>
      <w:tcPr>
        <w:tcBorders>
          <w:top w:val="double" w:sz="4" w:space="0" w:color="76236D" w:themeColor="accent3"/>
        </w:tcBorders>
      </w:tcPr>
    </w:tblStylePr>
    <w:tblStylePr w:type="firstCol">
      <w:rPr>
        <w:b/>
        <w:bCs/>
      </w:rPr>
    </w:tblStylePr>
    <w:tblStylePr w:type="lastCol">
      <w:rPr>
        <w:b/>
        <w:bCs/>
      </w:rPr>
    </w:tblStylePr>
    <w:tblStylePr w:type="band1Vert">
      <w:tblPr/>
      <w:tcPr>
        <w:shd w:val="clear" w:color="auto" w:fill="EEC7EA" w:themeFill="accent3" w:themeFillTint="33"/>
      </w:tcPr>
    </w:tblStylePr>
  </w:style>
  <w:style w:type="table" w:styleId="GridTable4-Accent4">
    <w:name w:val="Grid Table 4 Accent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hemeFill="accent4" w:themeFillTint="33"/>
    </w:tcPr>
    <w:tblStylePr w:type="firstRow">
      <w:rPr>
        <w:b/>
        <w:bCs/>
        <w:color w:val="FFFFFF" w:themeColor="background1"/>
      </w:rPr>
      <w:tblPr/>
      <w:tcPr>
        <w:tcBorders>
          <w:top w:val="single" w:sz="4" w:space="0" w:color="E97300" w:themeColor="accent4"/>
          <w:left w:val="single" w:sz="4" w:space="0" w:color="E97300" w:themeColor="accent4"/>
          <w:bottom w:val="single" w:sz="4" w:space="0" w:color="E97300" w:themeColor="accent4"/>
          <w:right w:val="single" w:sz="4" w:space="0" w:color="E97300" w:themeColor="accent4"/>
          <w:insideH w:val="nil"/>
          <w:insideV w:val="nil"/>
        </w:tcBorders>
        <w:shd w:val="clear" w:color="auto" w:fill="E97300" w:themeFill="accent4"/>
      </w:tcPr>
    </w:tblStylePr>
    <w:tblStylePr w:type="lastRow">
      <w:rPr>
        <w:b/>
        <w:bCs/>
      </w:rPr>
      <w:tblPr/>
      <w:tcPr>
        <w:tcBorders>
          <w:top w:val="double" w:sz="4" w:space="0" w:color="E97300" w:themeColor="accent4"/>
        </w:tcBorders>
      </w:tcPr>
    </w:tblStylePr>
    <w:tblStylePr w:type="firstCol">
      <w:rPr>
        <w:b/>
        <w:bCs/>
      </w:rPr>
    </w:tblStylePr>
    <w:tblStylePr w:type="lastCol">
      <w:rPr>
        <w:b/>
        <w:bCs/>
      </w:rPr>
    </w:tblStylePr>
    <w:tblStylePr w:type="band1Vert">
      <w:tblPr/>
      <w:tcPr>
        <w:shd w:val="clear" w:color="auto" w:fill="FFE2C7" w:themeFill="accent4" w:themeFillTint="33"/>
      </w:tcPr>
    </w:tblStylePr>
  </w:style>
  <w:style w:type="table" w:styleId="GridTable4-Accent5">
    <w:name w:val="Grid Table 4 Accent 5"/>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hemeFill="accent5" w:themeFillTint="33"/>
    </w:tcPr>
    <w:tblStylePr w:type="firstRow">
      <w:rPr>
        <w:b/>
        <w:bCs/>
        <w:color w:val="FFFFFF" w:themeColor="background1"/>
      </w:rPr>
      <w:tblPr/>
      <w:tcPr>
        <w:tcBorders>
          <w:top w:val="single" w:sz="4" w:space="0" w:color="D0D2D2" w:themeColor="accent5"/>
          <w:left w:val="single" w:sz="4" w:space="0" w:color="D0D2D2" w:themeColor="accent5"/>
          <w:bottom w:val="single" w:sz="4" w:space="0" w:color="D0D2D2" w:themeColor="accent5"/>
          <w:right w:val="single" w:sz="4" w:space="0" w:color="D0D2D2" w:themeColor="accent5"/>
          <w:insideH w:val="nil"/>
          <w:insideV w:val="nil"/>
        </w:tcBorders>
        <w:shd w:val="clear" w:color="auto" w:fill="D0D2D2" w:themeFill="accent5"/>
      </w:tcPr>
    </w:tblStylePr>
    <w:tblStylePr w:type="lastRow">
      <w:rPr>
        <w:b/>
        <w:bCs/>
      </w:rPr>
      <w:tblPr/>
      <w:tcPr>
        <w:tcBorders>
          <w:top w:val="double" w:sz="4" w:space="0" w:color="D0D2D2" w:themeColor="accent5"/>
        </w:tcBorders>
      </w:tcPr>
    </w:tblStylePr>
    <w:tblStylePr w:type="firstCol">
      <w:rPr>
        <w:b/>
        <w:bCs/>
      </w:rPr>
    </w:tblStylePr>
    <w:tblStylePr w:type="lastCol">
      <w:rPr>
        <w:b/>
        <w:bCs/>
      </w:rPr>
    </w:tblStylePr>
    <w:tblStylePr w:type="band1Vert">
      <w:tblPr/>
      <w:tcPr>
        <w:shd w:val="clear" w:color="auto" w:fill="F5F6F6" w:themeFill="accent5" w:themeFillTint="33"/>
      </w:tcPr>
    </w:tblStylePr>
  </w:style>
  <w:style w:type="table" w:styleId="GridTable4-Accent6">
    <w:name w:val="Grid Table 4 Accent 6"/>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hemeFill="accent6" w:themeFillTint="33"/>
    </w:tcPr>
    <w:tblStylePr w:type="firstRow">
      <w:rPr>
        <w:b/>
        <w:bCs/>
        <w:color w:val="FFFFFF" w:themeColor="background1"/>
      </w:rPr>
      <w:tblPr/>
      <w:tcPr>
        <w:tcBorders>
          <w:top w:val="single" w:sz="4" w:space="0" w:color="009BDF" w:themeColor="accent6"/>
          <w:left w:val="single" w:sz="4" w:space="0" w:color="009BDF" w:themeColor="accent6"/>
          <w:bottom w:val="single" w:sz="4" w:space="0" w:color="009BDF" w:themeColor="accent6"/>
          <w:right w:val="single" w:sz="4" w:space="0" w:color="009BDF" w:themeColor="accent6"/>
          <w:insideH w:val="nil"/>
          <w:insideV w:val="nil"/>
        </w:tcBorders>
        <w:shd w:val="clear" w:color="auto" w:fill="009BDF" w:themeFill="accent6"/>
      </w:tcPr>
    </w:tblStylePr>
    <w:tblStylePr w:type="lastRow">
      <w:rPr>
        <w:b/>
        <w:bCs/>
      </w:rPr>
      <w:tblPr/>
      <w:tcPr>
        <w:tcBorders>
          <w:top w:val="double" w:sz="4" w:space="0" w:color="009BDF" w:themeColor="accent6"/>
        </w:tcBorders>
      </w:tcPr>
    </w:tblStylePr>
    <w:tblStylePr w:type="firstCol">
      <w:rPr>
        <w:b/>
        <w:bCs/>
      </w:rPr>
    </w:tblStylePr>
    <w:tblStylePr w:type="lastCol">
      <w:rPr>
        <w:b/>
        <w:bCs/>
      </w:rPr>
    </w:tblStylePr>
    <w:tblStylePr w:type="band1Vert">
      <w:tblPr/>
      <w:tcPr>
        <w:shd w:val="clear" w:color="auto" w:fill="C5EDFF" w:themeFill="accent6" w:themeFillTint="33"/>
      </w:tcPr>
    </w:tblStylePr>
  </w:style>
  <w:style w:type="table" w:styleId="GridTable5Dark">
    <w:name w:val="Grid Table 5 Dark"/>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1D5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282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282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2828" w:themeFill="text1"/>
      </w:tcPr>
    </w:tblStylePr>
    <w:tblStylePr w:type="lastCol">
      <w:rPr>
        <w:b/>
        <w:bCs/>
        <w:color w:val="FFFFFF" w:themeColor="background1"/>
      </w:rPr>
    </w:tblStylePr>
  </w:style>
  <w:style w:type="table" w:styleId="GridTable5Dark-Accent1">
    <w:name w:val="Grid Table 5 Dark Accent 1"/>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BDF9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6B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6B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6B6" w:themeFill="accent1"/>
      </w:tcPr>
    </w:tblStylePr>
    <w:tblStylePr w:type="lastCol">
      <w:rPr>
        <w:b/>
        <w:bCs/>
        <w:color w:val="FFFFFF" w:themeColor="background1"/>
      </w:rPr>
    </w:tblStylePr>
  </w:style>
  <w:style w:type="table" w:styleId="GridTable5Dark-Accent2">
    <w:name w:val="Grid Table 5 Dark Accent 2"/>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B6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56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56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56E" w:themeFill="accent2"/>
      </w:tcPr>
    </w:tblStylePr>
    <w:tblStylePr w:type="lastCol">
      <w:rPr>
        <w:b/>
        <w:bCs/>
        <w:color w:val="FFFFFF" w:themeColor="background1"/>
      </w:rPr>
    </w:tblStylePr>
  </w:style>
  <w:style w:type="table" w:styleId="GridTable5Dark-Accent3">
    <w:name w:val="Grid Table 5 Dark Accent 3"/>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EC7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236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236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236D" w:themeFill="accent3"/>
      </w:tcPr>
    </w:tblStylePr>
    <w:tblStylePr w:type="lastCol">
      <w:rPr>
        <w:b/>
        <w:bCs/>
        <w:color w:val="FFFFFF" w:themeColor="background1"/>
      </w:rPr>
    </w:tblStylePr>
  </w:style>
  <w:style w:type="table" w:styleId="GridTable5Dark-Accent4">
    <w:name w:val="Grid Table 5 Dark Accent 4"/>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FE2C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3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3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300" w:themeFill="accent4"/>
      </w:tcPr>
    </w:tblStylePr>
    <w:tblStylePr w:type="lastCol">
      <w:rPr>
        <w:b/>
        <w:bCs/>
        <w:color w:val="FFFFFF" w:themeColor="background1"/>
      </w:rPr>
    </w:tblStylePr>
  </w:style>
  <w:style w:type="table" w:styleId="GridTable5Dark-Accent5">
    <w:name w:val="Grid Table 5 Dark Accent 5"/>
    <w:basedOn w:val="TableNormal"/>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5F6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D2D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D2D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D2D2" w:themeFill="accent5"/>
      </w:tcPr>
    </w:tblStylePr>
    <w:tblStylePr w:type="lastCol">
      <w:rPr>
        <w:b/>
        <w:bCs/>
        <w:color w:val="FFFFFF" w:themeColor="background1"/>
      </w:rPr>
    </w:tblStylePr>
  </w:style>
  <w:style w:type="table" w:styleId="GridTable5Dark-Accent6">
    <w:name w:val="Grid Table 5 Dark Accent 6"/>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5ED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BD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BD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BDF" w:themeFill="accent6"/>
      </w:tcPr>
    </w:tblStylePr>
    <w:tblStylePr w:type="lastCol">
      <w:rPr>
        <w:b/>
        <w:bCs/>
        <w:color w:val="FFFFFF" w:themeColor="background1"/>
      </w:rPr>
    </w:tblStylePr>
  </w:style>
  <w:style w:type="table" w:styleId="GridTable6Colorful">
    <w:name w:val="Grid Table 6 Colorful"/>
    <w:basedOn w:val="TableNormal"/>
    <w:uiPriority w:val="51"/>
    <w:rsid w:val="005A793B"/>
    <w:pPr>
      <w:spacing w:before="60" w:after="0" w:line="240" w:lineRule="auto"/>
      <w:jc w:val="left"/>
    </w:pPr>
    <w:rPr>
      <w:rFonts w:asciiTheme="minorHAnsi" w:eastAsia="Times New Roman" w:hAnsiTheme="minorHAnsi" w:cs="Times New Roman"/>
      <w:sz w:val="22"/>
      <w:szCs w:val="22"/>
      <w:lang w:val="en-US"/>
    </w:rPr>
    <w:tblPr>
      <w:tblStyleRowBandSize w:val="1"/>
      <w:tblStyleColBandSize w:val="1"/>
      <w:tblBorders>
        <w:top w:val="single" w:sz="4" w:space="0" w:color="768383" w:themeColor="text1" w:themeTint="99"/>
        <w:left w:val="single" w:sz="4" w:space="0" w:color="768383" w:themeColor="text1" w:themeTint="99"/>
        <w:bottom w:val="single" w:sz="4" w:space="0" w:color="768383" w:themeColor="text1" w:themeTint="99"/>
        <w:right w:val="single" w:sz="4" w:space="0" w:color="768383" w:themeColor="text1" w:themeTint="99"/>
        <w:insideH w:val="single" w:sz="4" w:space="0" w:color="768383" w:themeColor="text1" w:themeTint="99"/>
        <w:insideV w:val="single" w:sz="4" w:space="0" w:color="768383" w:themeColor="text1" w:themeTint="99"/>
      </w:tblBorders>
    </w:tblPr>
    <w:tblStylePr w:type="firstRow">
      <w:rPr>
        <w:b/>
        <w:bCs/>
      </w:rPr>
      <w:tblPr/>
      <w:tcPr>
        <w:tcBorders>
          <w:bottom w:val="single" w:sz="12" w:space="0" w:color="768383" w:themeColor="text1" w:themeTint="99"/>
        </w:tcBorders>
      </w:tcPr>
    </w:tblStylePr>
    <w:tblStylePr w:type="lastRow">
      <w:rPr>
        <w:b/>
        <w:bCs/>
      </w:rPr>
      <w:tblPr/>
      <w:tcPr>
        <w:tcBorders>
          <w:top w:val="double" w:sz="4" w:space="0" w:color="768383" w:themeColor="text1" w:themeTint="99"/>
        </w:tcBorders>
      </w:tcPr>
    </w:tblStylePr>
    <w:tblStylePr w:type="firstCol">
      <w:rPr>
        <w:b/>
        <w:bCs/>
      </w:rPr>
    </w:tblStylePr>
    <w:tblStylePr w:type="lastCol">
      <w:rPr>
        <w:b/>
        <w:bCs/>
      </w:rPr>
    </w:tblStylePr>
    <w:tblStylePr w:type="band1Vert">
      <w:tblPr/>
      <w:tcPr>
        <w:shd w:val="clear" w:color="auto" w:fill="D1D5D5" w:themeFill="text1" w:themeFillTint="33"/>
      </w:tcPr>
    </w:tblStylePr>
    <w:tblStylePr w:type="band1Horz">
      <w:tblPr/>
      <w:tcPr>
        <w:shd w:val="clear" w:color="auto" w:fill="D1D5D5" w:themeFill="text1" w:themeFillTint="33"/>
      </w:tcPr>
    </w:tblStylePr>
  </w:style>
  <w:style w:type="table" w:styleId="GridTable6Colorful-Accent1">
    <w:name w:val="Grid Table 6 Colorful Accent 1"/>
    <w:basedOn w:val="TableNormal"/>
    <w:uiPriority w:val="51"/>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4" w:space="0" w:color="3AEDFF" w:themeColor="accent1" w:themeTint="99"/>
        <w:left w:val="single" w:sz="4" w:space="0" w:color="3AEDFF" w:themeColor="accent1" w:themeTint="99"/>
        <w:bottom w:val="single" w:sz="4" w:space="0" w:color="3AEDFF" w:themeColor="accent1" w:themeTint="99"/>
        <w:right w:val="single" w:sz="4" w:space="0" w:color="3AEDFF" w:themeColor="accent1" w:themeTint="99"/>
        <w:insideH w:val="single" w:sz="4" w:space="0" w:color="3AEDFF" w:themeColor="accent1" w:themeTint="99"/>
        <w:insideV w:val="single" w:sz="4" w:space="0" w:color="3AEDFF" w:themeColor="accent1" w:themeTint="99"/>
      </w:tblBorders>
    </w:tblPr>
    <w:tblStylePr w:type="firstRow">
      <w:rPr>
        <w:b/>
        <w:bCs/>
      </w:rPr>
      <w:tblPr/>
      <w:tcPr>
        <w:tcBorders>
          <w:bottom w:val="single" w:sz="12" w:space="0" w:color="3AEDFF" w:themeColor="accent1" w:themeTint="99"/>
        </w:tcBorders>
      </w:tcPr>
    </w:tblStylePr>
    <w:tblStylePr w:type="lastRow">
      <w:rPr>
        <w:b/>
        <w:bCs/>
      </w:rPr>
      <w:tblPr/>
      <w:tcPr>
        <w:tcBorders>
          <w:top w:val="double" w:sz="4" w:space="0" w:color="3AED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styleId="GridTable6Colorful-Accent2">
    <w:name w:val="Grid Table 6 Colorful Accent 2"/>
    <w:basedOn w:val="TableNormal"/>
    <w:uiPriority w:val="51"/>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4" w:space="0" w:color="26FFC6" w:themeColor="accent2" w:themeTint="99"/>
        <w:left w:val="single" w:sz="4" w:space="0" w:color="26FFC6" w:themeColor="accent2" w:themeTint="99"/>
        <w:bottom w:val="single" w:sz="4" w:space="0" w:color="26FFC6" w:themeColor="accent2" w:themeTint="99"/>
        <w:right w:val="single" w:sz="4" w:space="0" w:color="26FFC6" w:themeColor="accent2" w:themeTint="99"/>
        <w:insideH w:val="single" w:sz="4" w:space="0" w:color="26FFC6" w:themeColor="accent2" w:themeTint="99"/>
        <w:insideV w:val="single" w:sz="4" w:space="0" w:color="26FFC6" w:themeColor="accent2" w:themeTint="99"/>
      </w:tblBorders>
    </w:tblPr>
    <w:tblStylePr w:type="firstRow">
      <w:rPr>
        <w:b/>
        <w:bCs/>
      </w:rPr>
      <w:tblPr/>
      <w:tcPr>
        <w:tcBorders>
          <w:bottom w:val="single" w:sz="12" w:space="0" w:color="26FFC6" w:themeColor="accent2" w:themeTint="99"/>
        </w:tcBorders>
      </w:tcPr>
    </w:tblStylePr>
    <w:tblStylePr w:type="lastRow">
      <w:rPr>
        <w:b/>
        <w:bCs/>
      </w:rPr>
      <w:tblPr/>
      <w:tcPr>
        <w:tcBorders>
          <w:top w:val="double" w:sz="4" w:space="0" w:color="26FFC6" w:themeColor="accent2" w:themeTint="99"/>
        </w:tcBorders>
      </w:tcPr>
    </w:tblStylePr>
    <w:tblStylePr w:type="firstCol">
      <w:rPr>
        <w:b/>
        <w:bCs/>
      </w:rPr>
    </w:tblStylePr>
    <w:tblStylePr w:type="lastCol">
      <w:rPr>
        <w:b/>
        <w:bCs/>
      </w:rPr>
    </w:tblStylePr>
    <w:tblStylePr w:type="band1Vert">
      <w:tblPr/>
      <w:tcPr>
        <w:shd w:val="clear" w:color="auto" w:fill="B6FFEB" w:themeFill="accent2" w:themeFillTint="33"/>
      </w:tcPr>
    </w:tblStylePr>
    <w:tblStylePr w:type="band1Horz">
      <w:tblPr/>
      <w:tcPr>
        <w:shd w:val="clear" w:color="auto" w:fill="B6FFEB" w:themeFill="accent2" w:themeFillTint="33"/>
      </w:tcPr>
    </w:tblStylePr>
  </w:style>
  <w:style w:type="table" w:styleId="GridTable6Colorful-Accent3">
    <w:name w:val="Grid Table 6 Colorful Accent 3"/>
    <w:basedOn w:val="TableNormal"/>
    <w:uiPriority w:val="51"/>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4" w:space="0" w:color="CE59C1" w:themeColor="accent3" w:themeTint="99"/>
        <w:left w:val="single" w:sz="4" w:space="0" w:color="CE59C1" w:themeColor="accent3" w:themeTint="99"/>
        <w:bottom w:val="single" w:sz="4" w:space="0" w:color="CE59C1" w:themeColor="accent3" w:themeTint="99"/>
        <w:right w:val="single" w:sz="4" w:space="0" w:color="CE59C1" w:themeColor="accent3" w:themeTint="99"/>
        <w:insideH w:val="single" w:sz="4" w:space="0" w:color="CE59C1" w:themeColor="accent3" w:themeTint="99"/>
        <w:insideV w:val="single" w:sz="4" w:space="0" w:color="CE59C1" w:themeColor="accent3" w:themeTint="99"/>
      </w:tblBorders>
    </w:tblPr>
    <w:tblStylePr w:type="firstRow">
      <w:rPr>
        <w:b/>
        <w:bCs/>
      </w:rPr>
      <w:tblPr/>
      <w:tcPr>
        <w:tcBorders>
          <w:bottom w:val="single" w:sz="12" w:space="0" w:color="CE59C1" w:themeColor="accent3" w:themeTint="99"/>
        </w:tcBorders>
      </w:tcPr>
    </w:tblStylePr>
    <w:tblStylePr w:type="lastRow">
      <w:rPr>
        <w:b/>
        <w:bCs/>
      </w:rPr>
      <w:tblPr/>
      <w:tcPr>
        <w:tcBorders>
          <w:top w:val="double" w:sz="4" w:space="0" w:color="CE59C1" w:themeColor="accent3" w:themeTint="99"/>
        </w:tcBorders>
      </w:tcPr>
    </w:tblStylePr>
    <w:tblStylePr w:type="firstCol">
      <w:rPr>
        <w:b/>
        <w:bCs/>
      </w:rPr>
    </w:tblStylePr>
    <w:tblStylePr w:type="lastCol">
      <w:rPr>
        <w:b/>
        <w:bCs/>
      </w:rPr>
    </w:tblStylePr>
    <w:tblStylePr w:type="band1Vert">
      <w:tblPr/>
      <w:tcPr>
        <w:shd w:val="clear" w:color="auto" w:fill="EEC7EA" w:themeFill="accent3" w:themeFillTint="33"/>
      </w:tcPr>
    </w:tblStylePr>
    <w:tblStylePr w:type="band1Horz">
      <w:tblPr/>
      <w:tcPr>
        <w:shd w:val="clear" w:color="auto" w:fill="EEC7EA" w:themeFill="accent3" w:themeFillTint="33"/>
      </w:tcPr>
    </w:tblStylePr>
  </w:style>
  <w:style w:type="table" w:styleId="GridTable6Colorful-Accent4">
    <w:name w:val="Grid Table 6 Colorful Accent 4"/>
    <w:basedOn w:val="TableNormal"/>
    <w:uiPriority w:val="51"/>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4" w:space="0" w:color="FFAA58" w:themeColor="accent4" w:themeTint="99"/>
        <w:left w:val="single" w:sz="4" w:space="0" w:color="FFAA58" w:themeColor="accent4" w:themeTint="99"/>
        <w:bottom w:val="single" w:sz="4" w:space="0" w:color="FFAA58" w:themeColor="accent4" w:themeTint="99"/>
        <w:right w:val="single" w:sz="4" w:space="0" w:color="FFAA58" w:themeColor="accent4" w:themeTint="99"/>
        <w:insideH w:val="single" w:sz="4" w:space="0" w:color="FFAA58" w:themeColor="accent4" w:themeTint="99"/>
        <w:insideV w:val="single" w:sz="4" w:space="0" w:color="FFAA58" w:themeColor="accent4" w:themeTint="99"/>
      </w:tblBorders>
    </w:tblPr>
    <w:tblStylePr w:type="firstRow">
      <w:rPr>
        <w:b/>
        <w:bCs/>
      </w:rPr>
      <w:tblPr/>
      <w:tcPr>
        <w:tcBorders>
          <w:bottom w:val="single" w:sz="12" w:space="0" w:color="FFAA58" w:themeColor="accent4" w:themeTint="99"/>
        </w:tcBorders>
      </w:tcPr>
    </w:tblStylePr>
    <w:tblStylePr w:type="lastRow">
      <w:rPr>
        <w:b/>
        <w:bCs/>
      </w:rPr>
      <w:tblPr/>
      <w:tcPr>
        <w:tcBorders>
          <w:top w:val="double" w:sz="4" w:space="0" w:color="FFAA58" w:themeColor="accent4" w:themeTint="99"/>
        </w:tcBorders>
      </w:tcPr>
    </w:tblStylePr>
    <w:tblStylePr w:type="firstCol">
      <w:rPr>
        <w:b/>
        <w:bCs/>
      </w:rPr>
    </w:tblStylePr>
    <w:tblStylePr w:type="lastCol">
      <w:rPr>
        <w:b/>
        <w:bCs/>
      </w:rPr>
    </w:tblStylePr>
    <w:tblStylePr w:type="band1Vert">
      <w:tblPr/>
      <w:tcPr>
        <w:shd w:val="clear" w:color="auto" w:fill="FFE2C7" w:themeFill="accent4" w:themeFillTint="33"/>
      </w:tcPr>
    </w:tblStylePr>
    <w:tblStylePr w:type="band1Horz">
      <w:tblPr/>
      <w:tcPr>
        <w:shd w:val="clear" w:color="auto" w:fill="FFE2C7" w:themeFill="accent4" w:themeFillTint="33"/>
      </w:tcPr>
    </w:tblStylePr>
  </w:style>
  <w:style w:type="table" w:styleId="GridTable6Colorful-Accent5">
    <w:name w:val="Grid Table 6 Colorful Accent 5"/>
    <w:basedOn w:val="TableNormal"/>
    <w:uiPriority w:val="51"/>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4" w:space="0" w:color="E2E4E4" w:themeColor="accent5" w:themeTint="99"/>
        <w:left w:val="single" w:sz="4" w:space="0" w:color="E2E4E4" w:themeColor="accent5" w:themeTint="99"/>
        <w:bottom w:val="single" w:sz="4" w:space="0" w:color="E2E4E4" w:themeColor="accent5" w:themeTint="99"/>
        <w:right w:val="single" w:sz="4" w:space="0" w:color="E2E4E4" w:themeColor="accent5" w:themeTint="99"/>
        <w:insideH w:val="single" w:sz="4" w:space="0" w:color="E2E4E4" w:themeColor="accent5" w:themeTint="99"/>
        <w:insideV w:val="single" w:sz="4" w:space="0" w:color="E2E4E4" w:themeColor="accent5" w:themeTint="99"/>
      </w:tblBorders>
    </w:tblPr>
    <w:tblStylePr w:type="firstRow">
      <w:rPr>
        <w:b/>
        <w:bCs/>
      </w:rPr>
      <w:tblPr/>
      <w:tcPr>
        <w:tcBorders>
          <w:bottom w:val="single" w:sz="12" w:space="0" w:color="E2E4E4" w:themeColor="accent5" w:themeTint="99"/>
        </w:tcBorders>
      </w:tcPr>
    </w:tblStylePr>
    <w:tblStylePr w:type="lastRow">
      <w:rPr>
        <w:b/>
        <w:bCs/>
      </w:rPr>
      <w:tblPr/>
      <w:tcPr>
        <w:tcBorders>
          <w:top w:val="double" w:sz="4" w:space="0" w:color="E2E4E4" w:themeColor="accent5" w:themeTint="99"/>
        </w:tcBorders>
      </w:tcPr>
    </w:tblStylePr>
    <w:tblStylePr w:type="firstCol">
      <w:rPr>
        <w:b/>
        <w:bCs/>
      </w:rPr>
    </w:tblStylePr>
    <w:tblStylePr w:type="lastCol">
      <w:rPr>
        <w:b/>
        <w:bCs/>
      </w:rPr>
    </w:tblStylePr>
    <w:tblStylePr w:type="band1Vert">
      <w:tblPr/>
      <w:tcPr>
        <w:shd w:val="clear" w:color="auto" w:fill="F5F6F6" w:themeFill="accent5" w:themeFillTint="33"/>
      </w:tcPr>
    </w:tblStylePr>
    <w:tblStylePr w:type="band1Horz">
      <w:tblPr/>
      <w:tcPr>
        <w:shd w:val="clear" w:color="auto" w:fill="F5F6F6" w:themeFill="accent5" w:themeFillTint="33"/>
      </w:tcPr>
    </w:tblStylePr>
  </w:style>
  <w:style w:type="table" w:styleId="GridTable6Colorful-Accent6">
    <w:name w:val="Grid Table 6 Colorful Accent 6"/>
    <w:basedOn w:val="TableNormal"/>
    <w:uiPriority w:val="51"/>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4" w:space="0" w:color="52CAFF" w:themeColor="accent6" w:themeTint="99"/>
        <w:left w:val="single" w:sz="4" w:space="0" w:color="52CAFF" w:themeColor="accent6" w:themeTint="99"/>
        <w:bottom w:val="single" w:sz="4" w:space="0" w:color="52CAFF" w:themeColor="accent6" w:themeTint="99"/>
        <w:right w:val="single" w:sz="4" w:space="0" w:color="52CAFF" w:themeColor="accent6" w:themeTint="99"/>
        <w:insideH w:val="single" w:sz="4" w:space="0" w:color="52CAFF" w:themeColor="accent6" w:themeTint="99"/>
        <w:insideV w:val="single" w:sz="4" w:space="0" w:color="52CAFF" w:themeColor="accent6" w:themeTint="99"/>
      </w:tblBorders>
    </w:tblPr>
    <w:tblStylePr w:type="firstRow">
      <w:rPr>
        <w:b/>
        <w:bCs/>
      </w:rPr>
      <w:tblPr/>
      <w:tcPr>
        <w:tcBorders>
          <w:bottom w:val="single" w:sz="12" w:space="0" w:color="52CAFF" w:themeColor="accent6" w:themeTint="99"/>
        </w:tcBorders>
      </w:tcPr>
    </w:tblStylePr>
    <w:tblStylePr w:type="lastRow">
      <w:rPr>
        <w:b/>
        <w:bCs/>
      </w:rPr>
      <w:tblPr/>
      <w:tcPr>
        <w:tcBorders>
          <w:top w:val="double" w:sz="4" w:space="0" w:color="52CAFF" w:themeColor="accent6" w:themeTint="99"/>
        </w:tcBorders>
      </w:tcPr>
    </w:tblStylePr>
    <w:tblStylePr w:type="firstCol">
      <w:rPr>
        <w:b/>
        <w:bCs/>
      </w:rPr>
    </w:tblStylePr>
    <w:tblStylePr w:type="lastCol">
      <w:rPr>
        <w:b/>
        <w:bCs/>
      </w:rPr>
    </w:tblStylePr>
    <w:tblStylePr w:type="band1Vert">
      <w:tblPr/>
      <w:tcPr>
        <w:shd w:val="clear" w:color="auto" w:fill="C5EDFF" w:themeFill="accent6" w:themeFillTint="33"/>
      </w:tcPr>
    </w:tblStylePr>
    <w:tblStylePr w:type="band1Horz">
      <w:tblPr/>
      <w:tcPr>
        <w:shd w:val="clear" w:color="auto" w:fill="C5EDFF" w:themeFill="accent6" w:themeFillTint="33"/>
      </w:tcPr>
    </w:tblStylePr>
  </w:style>
  <w:style w:type="table" w:styleId="GridTable7Colorful">
    <w:name w:val="Grid Table 7 Colorful"/>
    <w:basedOn w:val="TableNormal"/>
    <w:uiPriority w:val="52"/>
    <w:rsid w:val="005A793B"/>
    <w:pPr>
      <w:spacing w:before="60" w:after="0" w:line="240" w:lineRule="auto"/>
      <w:jc w:val="left"/>
    </w:pPr>
    <w:rPr>
      <w:rFonts w:asciiTheme="minorHAnsi" w:eastAsia="Times New Roman" w:hAnsiTheme="minorHAnsi" w:cs="Times New Roman"/>
      <w:sz w:val="22"/>
      <w:szCs w:val="22"/>
      <w:lang w:val="en-US"/>
    </w:rPr>
    <w:tblPr>
      <w:tblStyleRowBandSize w:val="1"/>
      <w:tblStyleColBandSize w:val="1"/>
      <w:tblBorders>
        <w:top w:val="single" w:sz="4" w:space="0" w:color="768383" w:themeColor="text1" w:themeTint="99"/>
        <w:left w:val="single" w:sz="4" w:space="0" w:color="768383" w:themeColor="text1" w:themeTint="99"/>
        <w:bottom w:val="single" w:sz="4" w:space="0" w:color="768383" w:themeColor="text1" w:themeTint="99"/>
        <w:right w:val="single" w:sz="4" w:space="0" w:color="768383" w:themeColor="text1" w:themeTint="99"/>
        <w:insideH w:val="single" w:sz="4" w:space="0" w:color="768383" w:themeColor="text1" w:themeTint="99"/>
        <w:insideV w:val="single" w:sz="4" w:space="0" w:color="7683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D5D5" w:themeFill="text1" w:themeFillTint="33"/>
      </w:tcPr>
    </w:tblStylePr>
    <w:tblStylePr w:type="band1Horz">
      <w:tblPr/>
      <w:tcPr>
        <w:shd w:val="clear" w:color="auto" w:fill="D1D5D5" w:themeFill="text1" w:themeFillTint="33"/>
      </w:tcPr>
    </w:tblStylePr>
    <w:tblStylePr w:type="neCell">
      <w:tblPr/>
      <w:tcPr>
        <w:tcBorders>
          <w:bottom w:val="single" w:sz="4" w:space="0" w:color="768383" w:themeColor="text1" w:themeTint="99"/>
        </w:tcBorders>
      </w:tcPr>
    </w:tblStylePr>
    <w:tblStylePr w:type="nwCell">
      <w:tblPr/>
      <w:tcPr>
        <w:tcBorders>
          <w:bottom w:val="single" w:sz="4" w:space="0" w:color="768383" w:themeColor="text1" w:themeTint="99"/>
        </w:tcBorders>
      </w:tcPr>
    </w:tblStylePr>
    <w:tblStylePr w:type="seCell">
      <w:tblPr/>
      <w:tcPr>
        <w:tcBorders>
          <w:top w:val="single" w:sz="4" w:space="0" w:color="768383" w:themeColor="text1" w:themeTint="99"/>
        </w:tcBorders>
      </w:tcPr>
    </w:tblStylePr>
    <w:tblStylePr w:type="swCell">
      <w:tblPr/>
      <w:tcPr>
        <w:tcBorders>
          <w:top w:val="single" w:sz="4" w:space="0" w:color="768383" w:themeColor="text1" w:themeTint="99"/>
        </w:tcBorders>
      </w:tcPr>
    </w:tblStylePr>
  </w:style>
  <w:style w:type="table" w:styleId="GridTable7Colorful-Accent1">
    <w:name w:val="Grid Table 7 Colorful Accent 1"/>
    <w:basedOn w:val="TableNormal"/>
    <w:uiPriority w:val="52"/>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4" w:space="0" w:color="3AEDFF" w:themeColor="accent1" w:themeTint="99"/>
        <w:left w:val="single" w:sz="4" w:space="0" w:color="3AEDFF" w:themeColor="accent1" w:themeTint="99"/>
        <w:bottom w:val="single" w:sz="4" w:space="0" w:color="3AEDFF" w:themeColor="accent1" w:themeTint="99"/>
        <w:right w:val="single" w:sz="4" w:space="0" w:color="3AEDFF" w:themeColor="accent1" w:themeTint="99"/>
        <w:insideH w:val="single" w:sz="4" w:space="0" w:color="3AEDFF" w:themeColor="accent1" w:themeTint="99"/>
        <w:insideV w:val="single" w:sz="4" w:space="0" w:color="3AE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AEDFF" w:themeColor="accent1" w:themeTint="99"/>
        </w:tcBorders>
      </w:tcPr>
    </w:tblStylePr>
    <w:tblStylePr w:type="nwCell">
      <w:tblPr/>
      <w:tcPr>
        <w:tcBorders>
          <w:bottom w:val="single" w:sz="4" w:space="0" w:color="3AEDFF" w:themeColor="accent1" w:themeTint="99"/>
        </w:tcBorders>
      </w:tcPr>
    </w:tblStylePr>
    <w:tblStylePr w:type="seCell">
      <w:tblPr/>
      <w:tcPr>
        <w:tcBorders>
          <w:top w:val="single" w:sz="4" w:space="0" w:color="3AEDFF" w:themeColor="accent1" w:themeTint="99"/>
        </w:tcBorders>
      </w:tcPr>
    </w:tblStylePr>
    <w:tblStylePr w:type="swCell">
      <w:tblPr/>
      <w:tcPr>
        <w:tcBorders>
          <w:top w:val="single" w:sz="4" w:space="0" w:color="3AEDFF" w:themeColor="accent1" w:themeTint="99"/>
        </w:tcBorders>
      </w:tcPr>
    </w:tblStylePr>
  </w:style>
  <w:style w:type="table" w:styleId="GridTable7Colorful-Accent2">
    <w:name w:val="Grid Table 7 Colorful Accent 2"/>
    <w:basedOn w:val="TableNormal"/>
    <w:uiPriority w:val="52"/>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4" w:space="0" w:color="26FFC6" w:themeColor="accent2" w:themeTint="99"/>
        <w:left w:val="single" w:sz="4" w:space="0" w:color="26FFC6" w:themeColor="accent2" w:themeTint="99"/>
        <w:bottom w:val="single" w:sz="4" w:space="0" w:color="26FFC6" w:themeColor="accent2" w:themeTint="99"/>
        <w:right w:val="single" w:sz="4" w:space="0" w:color="26FFC6" w:themeColor="accent2" w:themeTint="99"/>
        <w:insideH w:val="single" w:sz="4" w:space="0" w:color="26FFC6" w:themeColor="accent2" w:themeTint="99"/>
        <w:insideV w:val="single" w:sz="4" w:space="0" w:color="26FFC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B" w:themeFill="accent2" w:themeFillTint="33"/>
      </w:tcPr>
    </w:tblStylePr>
    <w:tblStylePr w:type="band1Horz">
      <w:tblPr/>
      <w:tcPr>
        <w:shd w:val="clear" w:color="auto" w:fill="B6FFEB" w:themeFill="accent2" w:themeFillTint="33"/>
      </w:tcPr>
    </w:tblStylePr>
    <w:tblStylePr w:type="neCell">
      <w:tblPr/>
      <w:tcPr>
        <w:tcBorders>
          <w:bottom w:val="single" w:sz="4" w:space="0" w:color="26FFC6" w:themeColor="accent2" w:themeTint="99"/>
        </w:tcBorders>
      </w:tcPr>
    </w:tblStylePr>
    <w:tblStylePr w:type="nwCell">
      <w:tblPr/>
      <w:tcPr>
        <w:tcBorders>
          <w:bottom w:val="single" w:sz="4" w:space="0" w:color="26FFC6" w:themeColor="accent2" w:themeTint="99"/>
        </w:tcBorders>
      </w:tcPr>
    </w:tblStylePr>
    <w:tblStylePr w:type="seCell">
      <w:tblPr/>
      <w:tcPr>
        <w:tcBorders>
          <w:top w:val="single" w:sz="4" w:space="0" w:color="26FFC6" w:themeColor="accent2" w:themeTint="99"/>
        </w:tcBorders>
      </w:tcPr>
    </w:tblStylePr>
    <w:tblStylePr w:type="swCell">
      <w:tblPr/>
      <w:tcPr>
        <w:tcBorders>
          <w:top w:val="single" w:sz="4" w:space="0" w:color="26FFC6" w:themeColor="accent2" w:themeTint="99"/>
        </w:tcBorders>
      </w:tcPr>
    </w:tblStylePr>
  </w:style>
  <w:style w:type="table" w:styleId="GridTable7Colorful-Accent3">
    <w:name w:val="Grid Table 7 Colorful Accent 3"/>
    <w:basedOn w:val="TableNormal"/>
    <w:uiPriority w:val="52"/>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4" w:space="0" w:color="CE59C1" w:themeColor="accent3" w:themeTint="99"/>
        <w:left w:val="single" w:sz="4" w:space="0" w:color="CE59C1" w:themeColor="accent3" w:themeTint="99"/>
        <w:bottom w:val="single" w:sz="4" w:space="0" w:color="CE59C1" w:themeColor="accent3" w:themeTint="99"/>
        <w:right w:val="single" w:sz="4" w:space="0" w:color="CE59C1" w:themeColor="accent3" w:themeTint="99"/>
        <w:insideH w:val="single" w:sz="4" w:space="0" w:color="CE59C1" w:themeColor="accent3" w:themeTint="99"/>
        <w:insideV w:val="single" w:sz="4" w:space="0" w:color="CE59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C7EA" w:themeFill="accent3" w:themeFillTint="33"/>
      </w:tcPr>
    </w:tblStylePr>
    <w:tblStylePr w:type="band1Horz">
      <w:tblPr/>
      <w:tcPr>
        <w:shd w:val="clear" w:color="auto" w:fill="EEC7EA" w:themeFill="accent3" w:themeFillTint="33"/>
      </w:tcPr>
    </w:tblStylePr>
    <w:tblStylePr w:type="neCell">
      <w:tblPr/>
      <w:tcPr>
        <w:tcBorders>
          <w:bottom w:val="single" w:sz="4" w:space="0" w:color="CE59C1" w:themeColor="accent3" w:themeTint="99"/>
        </w:tcBorders>
      </w:tcPr>
    </w:tblStylePr>
    <w:tblStylePr w:type="nwCell">
      <w:tblPr/>
      <w:tcPr>
        <w:tcBorders>
          <w:bottom w:val="single" w:sz="4" w:space="0" w:color="CE59C1" w:themeColor="accent3" w:themeTint="99"/>
        </w:tcBorders>
      </w:tcPr>
    </w:tblStylePr>
    <w:tblStylePr w:type="seCell">
      <w:tblPr/>
      <w:tcPr>
        <w:tcBorders>
          <w:top w:val="single" w:sz="4" w:space="0" w:color="CE59C1" w:themeColor="accent3" w:themeTint="99"/>
        </w:tcBorders>
      </w:tcPr>
    </w:tblStylePr>
    <w:tblStylePr w:type="swCell">
      <w:tblPr/>
      <w:tcPr>
        <w:tcBorders>
          <w:top w:val="single" w:sz="4" w:space="0" w:color="CE59C1" w:themeColor="accent3" w:themeTint="99"/>
        </w:tcBorders>
      </w:tcPr>
    </w:tblStylePr>
  </w:style>
  <w:style w:type="table" w:styleId="GridTable7Colorful-Accent4">
    <w:name w:val="Grid Table 7 Colorful Accent 4"/>
    <w:basedOn w:val="TableNormal"/>
    <w:uiPriority w:val="52"/>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4" w:space="0" w:color="FFAA58" w:themeColor="accent4" w:themeTint="99"/>
        <w:left w:val="single" w:sz="4" w:space="0" w:color="FFAA58" w:themeColor="accent4" w:themeTint="99"/>
        <w:bottom w:val="single" w:sz="4" w:space="0" w:color="FFAA58" w:themeColor="accent4" w:themeTint="99"/>
        <w:right w:val="single" w:sz="4" w:space="0" w:color="FFAA58" w:themeColor="accent4" w:themeTint="99"/>
        <w:insideH w:val="single" w:sz="4" w:space="0" w:color="FFAA58" w:themeColor="accent4" w:themeTint="99"/>
        <w:insideV w:val="single" w:sz="4" w:space="0" w:color="FFAA5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4" w:themeFillTint="33"/>
      </w:tcPr>
    </w:tblStylePr>
    <w:tblStylePr w:type="band1Horz">
      <w:tblPr/>
      <w:tcPr>
        <w:shd w:val="clear" w:color="auto" w:fill="FFE2C7" w:themeFill="accent4" w:themeFillTint="33"/>
      </w:tcPr>
    </w:tblStylePr>
    <w:tblStylePr w:type="neCell">
      <w:tblPr/>
      <w:tcPr>
        <w:tcBorders>
          <w:bottom w:val="single" w:sz="4" w:space="0" w:color="FFAA58" w:themeColor="accent4" w:themeTint="99"/>
        </w:tcBorders>
      </w:tcPr>
    </w:tblStylePr>
    <w:tblStylePr w:type="nwCell">
      <w:tblPr/>
      <w:tcPr>
        <w:tcBorders>
          <w:bottom w:val="single" w:sz="4" w:space="0" w:color="FFAA58" w:themeColor="accent4" w:themeTint="99"/>
        </w:tcBorders>
      </w:tcPr>
    </w:tblStylePr>
    <w:tblStylePr w:type="seCell">
      <w:tblPr/>
      <w:tcPr>
        <w:tcBorders>
          <w:top w:val="single" w:sz="4" w:space="0" w:color="FFAA58" w:themeColor="accent4" w:themeTint="99"/>
        </w:tcBorders>
      </w:tcPr>
    </w:tblStylePr>
    <w:tblStylePr w:type="swCell">
      <w:tblPr/>
      <w:tcPr>
        <w:tcBorders>
          <w:top w:val="single" w:sz="4" w:space="0" w:color="FFAA58" w:themeColor="accent4" w:themeTint="99"/>
        </w:tcBorders>
      </w:tcPr>
    </w:tblStylePr>
  </w:style>
  <w:style w:type="table" w:styleId="GridTable7Colorful-Accent5">
    <w:name w:val="Grid Table 7 Colorful Accent 5"/>
    <w:basedOn w:val="TableNormal"/>
    <w:uiPriority w:val="52"/>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4" w:space="0" w:color="E2E4E4" w:themeColor="accent5" w:themeTint="99"/>
        <w:left w:val="single" w:sz="4" w:space="0" w:color="E2E4E4" w:themeColor="accent5" w:themeTint="99"/>
        <w:bottom w:val="single" w:sz="4" w:space="0" w:color="E2E4E4" w:themeColor="accent5" w:themeTint="99"/>
        <w:right w:val="single" w:sz="4" w:space="0" w:color="E2E4E4" w:themeColor="accent5" w:themeTint="99"/>
        <w:insideH w:val="single" w:sz="4" w:space="0" w:color="E2E4E4" w:themeColor="accent5" w:themeTint="99"/>
        <w:insideV w:val="single" w:sz="4" w:space="0" w:color="E2E4E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5" w:themeFillTint="33"/>
      </w:tcPr>
    </w:tblStylePr>
    <w:tblStylePr w:type="band1Horz">
      <w:tblPr/>
      <w:tcPr>
        <w:shd w:val="clear" w:color="auto" w:fill="F5F6F6" w:themeFill="accent5" w:themeFillTint="33"/>
      </w:tcPr>
    </w:tblStylePr>
    <w:tblStylePr w:type="neCell">
      <w:tblPr/>
      <w:tcPr>
        <w:tcBorders>
          <w:bottom w:val="single" w:sz="4" w:space="0" w:color="E2E4E4" w:themeColor="accent5" w:themeTint="99"/>
        </w:tcBorders>
      </w:tcPr>
    </w:tblStylePr>
    <w:tblStylePr w:type="nwCell">
      <w:tblPr/>
      <w:tcPr>
        <w:tcBorders>
          <w:bottom w:val="single" w:sz="4" w:space="0" w:color="E2E4E4" w:themeColor="accent5" w:themeTint="99"/>
        </w:tcBorders>
      </w:tcPr>
    </w:tblStylePr>
    <w:tblStylePr w:type="seCell">
      <w:tblPr/>
      <w:tcPr>
        <w:tcBorders>
          <w:top w:val="single" w:sz="4" w:space="0" w:color="E2E4E4" w:themeColor="accent5" w:themeTint="99"/>
        </w:tcBorders>
      </w:tcPr>
    </w:tblStylePr>
    <w:tblStylePr w:type="swCell">
      <w:tblPr/>
      <w:tcPr>
        <w:tcBorders>
          <w:top w:val="single" w:sz="4" w:space="0" w:color="E2E4E4" w:themeColor="accent5" w:themeTint="99"/>
        </w:tcBorders>
      </w:tcPr>
    </w:tblStylePr>
  </w:style>
  <w:style w:type="table" w:styleId="GridTable7Colorful-Accent6">
    <w:name w:val="Grid Table 7 Colorful Accent 6"/>
    <w:basedOn w:val="TableNormal"/>
    <w:uiPriority w:val="52"/>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4" w:space="0" w:color="52CAFF" w:themeColor="accent6" w:themeTint="99"/>
        <w:left w:val="single" w:sz="4" w:space="0" w:color="52CAFF" w:themeColor="accent6" w:themeTint="99"/>
        <w:bottom w:val="single" w:sz="4" w:space="0" w:color="52CAFF" w:themeColor="accent6" w:themeTint="99"/>
        <w:right w:val="single" w:sz="4" w:space="0" w:color="52CAFF" w:themeColor="accent6" w:themeTint="99"/>
        <w:insideH w:val="single" w:sz="4" w:space="0" w:color="52CAFF" w:themeColor="accent6" w:themeTint="99"/>
        <w:insideV w:val="single" w:sz="4" w:space="0" w:color="52C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6" w:themeFillTint="33"/>
      </w:tcPr>
    </w:tblStylePr>
    <w:tblStylePr w:type="band1Horz">
      <w:tblPr/>
      <w:tcPr>
        <w:shd w:val="clear" w:color="auto" w:fill="C5EDFF" w:themeFill="accent6" w:themeFillTint="33"/>
      </w:tcPr>
    </w:tblStylePr>
    <w:tblStylePr w:type="neCell">
      <w:tblPr/>
      <w:tcPr>
        <w:tcBorders>
          <w:bottom w:val="single" w:sz="4" w:space="0" w:color="52CAFF" w:themeColor="accent6" w:themeTint="99"/>
        </w:tcBorders>
      </w:tcPr>
    </w:tblStylePr>
    <w:tblStylePr w:type="nwCell">
      <w:tblPr/>
      <w:tcPr>
        <w:tcBorders>
          <w:bottom w:val="single" w:sz="4" w:space="0" w:color="52CAFF" w:themeColor="accent6" w:themeTint="99"/>
        </w:tcBorders>
      </w:tcPr>
    </w:tblStylePr>
    <w:tblStylePr w:type="seCell">
      <w:tblPr/>
      <w:tcPr>
        <w:tcBorders>
          <w:top w:val="single" w:sz="4" w:space="0" w:color="52CAFF" w:themeColor="accent6" w:themeTint="99"/>
        </w:tcBorders>
      </w:tcPr>
    </w:tblStylePr>
    <w:tblStylePr w:type="swCell">
      <w:tblPr/>
      <w:tcPr>
        <w:tcBorders>
          <w:top w:val="single" w:sz="4" w:space="0" w:color="52CAFF" w:themeColor="accent6" w:themeTint="99"/>
        </w:tcBorders>
      </w:tcPr>
    </w:tblStylePr>
  </w:style>
  <w:style w:type="character" w:customStyle="1" w:styleId="Hashtag1">
    <w:name w:val="Hashtag1"/>
    <w:basedOn w:val="DefaultParagraphFont"/>
    <w:uiPriority w:val="99"/>
    <w:semiHidden/>
    <w:unhideWhenUsed/>
    <w:rsid w:val="005A793B"/>
    <w:rPr>
      <w:rFonts w:ascii="Arial" w:hAnsi="Arial" w:cs="Arial"/>
      <w:color w:val="2B579A"/>
      <w:shd w:val="clear" w:color="auto" w:fill="E6E6E6"/>
    </w:rPr>
  </w:style>
  <w:style w:type="character" w:styleId="HTMLAcronym">
    <w:name w:val="HTML Acronym"/>
    <w:basedOn w:val="DefaultParagraphFont"/>
    <w:uiPriority w:val="99"/>
    <w:semiHidden/>
    <w:unhideWhenUsed/>
    <w:rsid w:val="005A793B"/>
    <w:rPr>
      <w:rFonts w:ascii="Arial" w:hAnsi="Arial" w:cs="Arial"/>
    </w:rPr>
  </w:style>
  <w:style w:type="paragraph" w:styleId="HTMLAddress">
    <w:name w:val="HTML Address"/>
    <w:basedOn w:val="Normal"/>
    <w:link w:val="HTMLAddressChar"/>
    <w:uiPriority w:val="99"/>
    <w:semiHidden/>
    <w:unhideWhenUsed/>
    <w:rsid w:val="1FC5E705"/>
    <w:pPr>
      <w:spacing w:after="0"/>
      <w:jc w:val="left"/>
    </w:pPr>
    <w:rPr>
      <w:rFonts w:eastAsia="Times New Roman" w:cs="Arial"/>
      <w:i/>
      <w:iCs/>
      <w:color w:val="auto"/>
      <w:sz w:val="22"/>
      <w:szCs w:val="22"/>
      <w:lang w:val="en-US"/>
    </w:rPr>
  </w:style>
  <w:style w:type="character" w:customStyle="1" w:styleId="HTMLAddressChar">
    <w:name w:val="HTML Address Char"/>
    <w:basedOn w:val="DefaultParagraphFont"/>
    <w:link w:val="HTMLAddress"/>
    <w:uiPriority w:val="99"/>
    <w:semiHidden/>
    <w:rsid w:val="005A793B"/>
    <w:rPr>
      <w:rFonts w:ascii="Times New Roman" w:eastAsia="Times New Roman" w:hAnsi="Times New Roman" w:cs="Arial"/>
      <w:i/>
      <w:iCs/>
      <w:color w:val="auto"/>
      <w:sz w:val="22"/>
      <w:szCs w:val="22"/>
      <w:lang w:val="en-US"/>
    </w:rPr>
  </w:style>
  <w:style w:type="character" w:styleId="HTMLCite">
    <w:name w:val="HTML Cite"/>
    <w:basedOn w:val="DefaultParagraphFont"/>
    <w:uiPriority w:val="99"/>
    <w:semiHidden/>
    <w:unhideWhenUsed/>
    <w:rsid w:val="005A793B"/>
    <w:rPr>
      <w:rFonts w:ascii="Arial" w:hAnsi="Arial" w:cs="Arial"/>
      <w:i/>
      <w:iCs/>
    </w:rPr>
  </w:style>
  <w:style w:type="paragraph" w:styleId="Index2">
    <w:name w:val="index 2"/>
    <w:basedOn w:val="Normal"/>
    <w:next w:val="Normal"/>
    <w:uiPriority w:val="99"/>
    <w:semiHidden/>
    <w:unhideWhenUsed/>
    <w:rsid w:val="1FC5E705"/>
    <w:pPr>
      <w:spacing w:after="0"/>
      <w:ind w:left="440" w:hanging="220"/>
      <w:jc w:val="left"/>
    </w:pPr>
    <w:rPr>
      <w:rFonts w:eastAsia="Times New Roman" w:cs="Arial"/>
      <w:color w:val="auto"/>
      <w:sz w:val="22"/>
      <w:szCs w:val="22"/>
      <w:lang w:val="en-US"/>
    </w:rPr>
  </w:style>
  <w:style w:type="paragraph" w:styleId="Index3">
    <w:name w:val="index 3"/>
    <w:basedOn w:val="Normal"/>
    <w:next w:val="Normal"/>
    <w:uiPriority w:val="99"/>
    <w:semiHidden/>
    <w:unhideWhenUsed/>
    <w:rsid w:val="1FC5E705"/>
    <w:pPr>
      <w:spacing w:after="0"/>
      <w:ind w:left="660" w:hanging="220"/>
      <w:jc w:val="left"/>
    </w:pPr>
    <w:rPr>
      <w:rFonts w:eastAsia="Times New Roman" w:cs="Arial"/>
      <w:color w:val="auto"/>
      <w:sz w:val="22"/>
      <w:szCs w:val="22"/>
      <w:lang w:val="en-US"/>
    </w:rPr>
  </w:style>
  <w:style w:type="paragraph" w:styleId="Index4">
    <w:name w:val="index 4"/>
    <w:basedOn w:val="Normal"/>
    <w:next w:val="Normal"/>
    <w:uiPriority w:val="99"/>
    <w:semiHidden/>
    <w:unhideWhenUsed/>
    <w:rsid w:val="1FC5E705"/>
    <w:pPr>
      <w:spacing w:after="0"/>
      <w:ind w:left="880" w:hanging="220"/>
      <w:jc w:val="left"/>
    </w:pPr>
    <w:rPr>
      <w:rFonts w:eastAsia="Times New Roman" w:cs="Arial"/>
      <w:color w:val="auto"/>
      <w:sz w:val="22"/>
      <w:szCs w:val="22"/>
      <w:lang w:val="en-US"/>
    </w:rPr>
  </w:style>
  <w:style w:type="paragraph" w:styleId="Index5">
    <w:name w:val="index 5"/>
    <w:basedOn w:val="Normal"/>
    <w:next w:val="Normal"/>
    <w:uiPriority w:val="99"/>
    <w:semiHidden/>
    <w:unhideWhenUsed/>
    <w:rsid w:val="1FC5E705"/>
    <w:pPr>
      <w:spacing w:after="0"/>
      <w:ind w:left="1100" w:hanging="220"/>
      <w:jc w:val="left"/>
    </w:pPr>
    <w:rPr>
      <w:rFonts w:eastAsia="Times New Roman" w:cs="Arial"/>
      <w:color w:val="auto"/>
      <w:sz w:val="22"/>
      <w:szCs w:val="22"/>
      <w:lang w:val="en-US"/>
    </w:rPr>
  </w:style>
  <w:style w:type="paragraph" w:styleId="Index6">
    <w:name w:val="index 6"/>
    <w:basedOn w:val="Normal"/>
    <w:next w:val="Normal"/>
    <w:uiPriority w:val="99"/>
    <w:semiHidden/>
    <w:unhideWhenUsed/>
    <w:rsid w:val="1FC5E705"/>
    <w:pPr>
      <w:spacing w:after="0"/>
      <w:ind w:left="1320" w:hanging="220"/>
      <w:jc w:val="left"/>
    </w:pPr>
    <w:rPr>
      <w:rFonts w:eastAsia="Times New Roman" w:cs="Arial"/>
      <w:color w:val="auto"/>
      <w:sz w:val="22"/>
      <w:szCs w:val="22"/>
      <w:lang w:val="en-US"/>
    </w:rPr>
  </w:style>
  <w:style w:type="paragraph" w:styleId="Index7">
    <w:name w:val="index 7"/>
    <w:basedOn w:val="Normal"/>
    <w:next w:val="Normal"/>
    <w:uiPriority w:val="99"/>
    <w:semiHidden/>
    <w:unhideWhenUsed/>
    <w:rsid w:val="1FC5E705"/>
    <w:pPr>
      <w:spacing w:after="0"/>
      <w:ind w:left="1540" w:hanging="220"/>
      <w:jc w:val="left"/>
    </w:pPr>
    <w:rPr>
      <w:rFonts w:eastAsia="Times New Roman" w:cs="Arial"/>
      <w:color w:val="auto"/>
      <w:sz w:val="22"/>
      <w:szCs w:val="22"/>
      <w:lang w:val="en-US"/>
    </w:rPr>
  </w:style>
  <w:style w:type="paragraph" w:styleId="Index8">
    <w:name w:val="index 8"/>
    <w:basedOn w:val="Normal"/>
    <w:next w:val="Normal"/>
    <w:uiPriority w:val="99"/>
    <w:semiHidden/>
    <w:unhideWhenUsed/>
    <w:rsid w:val="1FC5E705"/>
    <w:pPr>
      <w:spacing w:after="0"/>
      <w:ind w:left="1760" w:hanging="220"/>
      <w:jc w:val="left"/>
    </w:pPr>
    <w:rPr>
      <w:rFonts w:eastAsia="Times New Roman" w:cs="Arial"/>
      <w:color w:val="auto"/>
      <w:sz w:val="22"/>
      <w:szCs w:val="22"/>
      <w:lang w:val="en-US"/>
    </w:rPr>
  </w:style>
  <w:style w:type="paragraph" w:styleId="IndexHeading">
    <w:name w:val="index heading"/>
    <w:basedOn w:val="Normal"/>
    <w:next w:val="Index1"/>
    <w:uiPriority w:val="99"/>
    <w:semiHidden/>
    <w:unhideWhenUsed/>
    <w:rsid w:val="1FC5E705"/>
    <w:pPr>
      <w:spacing w:before="60" w:after="60"/>
      <w:jc w:val="left"/>
    </w:pPr>
    <w:rPr>
      <w:rFonts w:eastAsiaTheme="majorEastAsia" w:cs="Arial"/>
      <w:b/>
      <w:bCs/>
      <w:color w:val="auto"/>
      <w:sz w:val="22"/>
      <w:szCs w:val="22"/>
      <w:lang w:val="en-US"/>
    </w:rPr>
  </w:style>
  <w:style w:type="table" w:styleId="LightGrid">
    <w:name w:val="Light Grid"/>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2828" w:themeColor="text1"/>
          <w:left w:val="single" w:sz="8" w:space="0" w:color="242828" w:themeColor="text1"/>
          <w:bottom w:val="single" w:sz="18" w:space="0" w:color="242828" w:themeColor="text1"/>
          <w:right w:val="single" w:sz="8" w:space="0" w:color="242828" w:themeColor="text1"/>
          <w:insideH w:val="nil"/>
          <w:insideV w:val="single" w:sz="8" w:space="0" w:color="24282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2828" w:themeColor="text1"/>
          <w:left w:val="single" w:sz="8" w:space="0" w:color="242828" w:themeColor="text1"/>
          <w:bottom w:val="single" w:sz="8" w:space="0" w:color="242828" w:themeColor="text1"/>
          <w:right w:val="single" w:sz="8" w:space="0" w:color="242828" w:themeColor="text1"/>
          <w:insideH w:val="nil"/>
          <w:insideV w:val="single" w:sz="8" w:space="0" w:color="24282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2828" w:themeColor="text1"/>
          <w:left w:val="single" w:sz="8" w:space="0" w:color="242828" w:themeColor="text1"/>
          <w:bottom w:val="single" w:sz="8" w:space="0" w:color="242828" w:themeColor="text1"/>
          <w:right w:val="single" w:sz="8" w:space="0" w:color="242828" w:themeColor="text1"/>
        </w:tcBorders>
      </w:tcPr>
    </w:tblStylePr>
    <w:tblStylePr w:type="band1Vert">
      <w:tblPr/>
      <w:tcPr>
        <w:tcBorders>
          <w:top w:val="single" w:sz="8" w:space="0" w:color="242828" w:themeColor="text1"/>
          <w:left w:val="single" w:sz="8" w:space="0" w:color="242828" w:themeColor="text1"/>
          <w:bottom w:val="single" w:sz="8" w:space="0" w:color="242828" w:themeColor="text1"/>
          <w:right w:val="single" w:sz="8" w:space="0" w:color="242828" w:themeColor="text1"/>
        </w:tcBorders>
        <w:shd w:val="clear" w:color="auto" w:fill="C6CCCC" w:themeFill="text1" w:themeFillTint="3F"/>
      </w:tcPr>
    </w:tblStylePr>
    <w:tblStylePr w:type="band1Horz">
      <w:tblPr/>
      <w:tcPr>
        <w:tcBorders>
          <w:top w:val="single" w:sz="8" w:space="0" w:color="242828" w:themeColor="text1"/>
          <w:left w:val="single" w:sz="8" w:space="0" w:color="242828" w:themeColor="text1"/>
          <w:bottom w:val="single" w:sz="8" w:space="0" w:color="242828" w:themeColor="text1"/>
          <w:right w:val="single" w:sz="8" w:space="0" w:color="242828" w:themeColor="text1"/>
          <w:insideV w:val="single" w:sz="8" w:space="0" w:color="242828" w:themeColor="text1"/>
        </w:tcBorders>
        <w:shd w:val="clear" w:color="auto" w:fill="C6CCCC" w:themeFill="text1" w:themeFillTint="3F"/>
      </w:tcPr>
    </w:tblStylePr>
    <w:tblStylePr w:type="band2Horz">
      <w:tblPr/>
      <w:tcPr>
        <w:tcBorders>
          <w:top w:val="single" w:sz="8" w:space="0" w:color="242828" w:themeColor="text1"/>
          <w:left w:val="single" w:sz="8" w:space="0" w:color="242828" w:themeColor="text1"/>
          <w:bottom w:val="single" w:sz="8" w:space="0" w:color="242828" w:themeColor="text1"/>
          <w:right w:val="single" w:sz="8" w:space="0" w:color="242828" w:themeColor="text1"/>
          <w:insideV w:val="single" w:sz="8" w:space="0" w:color="242828" w:themeColor="text1"/>
        </w:tcBorders>
      </w:tcPr>
    </w:tblStylePr>
  </w:style>
  <w:style w:type="table" w:styleId="LightGrid-Accent1">
    <w:name w:val="Light Grid Accent 1"/>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A6B6" w:themeColor="accent1"/>
        <w:left w:val="single" w:sz="8" w:space="0" w:color="00A6B6" w:themeColor="accent1"/>
        <w:bottom w:val="single" w:sz="8" w:space="0" w:color="00A6B6" w:themeColor="accent1"/>
        <w:right w:val="single" w:sz="8" w:space="0" w:color="00A6B6" w:themeColor="accent1"/>
        <w:insideH w:val="single" w:sz="8" w:space="0" w:color="00A6B6" w:themeColor="accent1"/>
        <w:insideV w:val="single" w:sz="8" w:space="0" w:color="00A6B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6B6" w:themeColor="accent1"/>
          <w:left w:val="single" w:sz="8" w:space="0" w:color="00A6B6" w:themeColor="accent1"/>
          <w:bottom w:val="single" w:sz="18" w:space="0" w:color="00A6B6" w:themeColor="accent1"/>
          <w:right w:val="single" w:sz="8" w:space="0" w:color="00A6B6" w:themeColor="accent1"/>
          <w:insideH w:val="nil"/>
          <w:insideV w:val="single" w:sz="8" w:space="0" w:color="00A6B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B6" w:themeColor="accent1"/>
          <w:left w:val="single" w:sz="8" w:space="0" w:color="00A6B6" w:themeColor="accent1"/>
          <w:bottom w:val="single" w:sz="8" w:space="0" w:color="00A6B6" w:themeColor="accent1"/>
          <w:right w:val="single" w:sz="8" w:space="0" w:color="00A6B6" w:themeColor="accent1"/>
          <w:insideH w:val="nil"/>
          <w:insideV w:val="single" w:sz="8" w:space="0" w:color="00A6B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tcPr>
    </w:tblStylePr>
    <w:tblStylePr w:type="band1Vert">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shd w:val="clear" w:color="auto" w:fill="ADF7FF" w:themeFill="accent1" w:themeFillTint="3F"/>
      </w:tcPr>
    </w:tblStylePr>
    <w:tblStylePr w:type="band1Horz">
      <w:tblPr/>
      <w:tcPr>
        <w:tcBorders>
          <w:top w:val="single" w:sz="8" w:space="0" w:color="00A6B6" w:themeColor="accent1"/>
          <w:left w:val="single" w:sz="8" w:space="0" w:color="00A6B6" w:themeColor="accent1"/>
          <w:bottom w:val="single" w:sz="8" w:space="0" w:color="00A6B6" w:themeColor="accent1"/>
          <w:right w:val="single" w:sz="8" w:space="0" w:color="00A6B6" w:themeColor="accent1"/>
          <w:insideV w:val="single" w:sz="8" w:space="0" w:color="00A6B6" w:themeColor="accent1"/>
        </w:tcBorders>
        <w:shd w:val="clear" w:color="auto" w:fill="ADF7FF" w:themeFill="accent1" w:themeFillTint="3F"/>
      </w:tcPr>
    </w:tblStylePr>
    <w:tblStylePr w:type="band2Horz">
      <w:tblPr/>
      <w:tcPr>
        <w:tcBorders>
          <w:top w:val="single" w:sz="8" w:space="0" w:color="00A6B6" w:themeColor="accent1"/>
          <w:left w:val="single" w:sz="8" w:space="0" w:color="00A6B6" w:themeColor="accent1"/>
          <w:bottom w:val="single" w:sz="8" w:space="0" w:color="00A6B6" w:themeColor="accent1"/>
          <w:right w:val="single" w:sz="8" w:space="0" w:color="00A6B6" w:themeColor="accent1"/>
          <w:insideV w:val="single" w:sz="8" w:space="0" w:color="00A6B6" w:themeColor="accent1"/>
        </w:tcBorders>
      </w:tcPr>
    </w:tblStylePr>
  </w:style>
  <w:style w:type="table" w:styleId="LightGrid-Accent2">
    <w:name w:val="Light Grid Accent 2"/>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56E" w:themeColor="accent2"/>
        <w:left w:val="single" w:sz="8" w:space="0" w:color="00956E" w:themeColor="accent2"/>
        <w:bottom w:val="single" w:sz="8" w:space="0" w:color="00956E" w:themeColor="accent2"/>
        <w:right w:val="single" w:sz="8" w:space="0" w:color="00956E" w:themeColor="accent2"/>
        <w:insideH w:val="single" w:sz="8" w:space="0" w:color="00956E" w:themeColor="accent2"/>
        <w:insideV w:val="single" w:sz="8" w:space="0" w:color="00956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56E" w:themeColor="accent2"/>
          <w:left w:val="single" w:sz="8" w:space="0" w:color="00956E" w:themeColor="accent2"/>
          <w:bottom w:val="single" w:sz="18" w:space="0" w:color="00956E" w:themeColor="accent2"/>
          <w:right w:val="single" w:sz="8" w:space="0" w:color="00956E" w:themeColor="accent2"/>
          <w:insideH w:val="nil"/>
          <w:insideV w:val="single" w:sz="8" w:space="0" w:color="00956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56E" w:themeColor="accent2"/>
          <w:left w:val="single" w:sz="8" w:space="0" w:color="00956E" w:themeColor="accent2"/>
          <w:bottom w:val="single" w:sz="8" w:space="0" w:color="00956E" w:themeColor="accent2"/>
          <w:right w:val="single" w:sz="8" w:space="0" w:color="00956E" w:themeColor="accent2"/>
          <w:insideH w:val="nil"/>
          <w:insideV w:val="single" w:sz="8" w:space="0" w:color="00956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tcPr>
    </w:tblStylePr>
    <w:tblStylePr w:type="band1Vert">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shd w:val="clear" w:color="auto" w:fill="A5FFE7" w:themeFill="accent2" w:themeFillTint="3F"/>
      </w:tcPr>
    </w:tblStylePr>
    <w:tblStylePr w:type="band1Horz">
      <w:tblPr/>
      <w:tcPr>
        <w:tcBorders>
          <w:top w:val="single" w:sz="8" w:space="0" w:color="00956E" w:themeColor="accent2"/>
          <w:left w:val="single" w:sz="8" w:space="0" w:color="00956E" w:themeColor="accent2"/>
          <w:bottom w:val="single" w:sz="8" w:space="0" w:color="00956E" w:themeColor="accent2"/>
          <w:right w:val="single" w:sz="8" w:space="0" w:color="00956E" w:themeColor="accent2"/>
          <w:insideV w:val="single" w:sz="8" w:space="0" w:color="00956E" w:themeColor="accent2"/>
        </w:tcBorders>
        <w:shd w:val="clear" w:color="auto" w:fill="A5FFE7" w:themeFill="accent2" w:themeFillTint="3F"/>
      </w:tcPr>
    </w:tblStylePr>
    <w:tblStylePr w:type="band2Horz">
      <w:tblPr/>
      <w:tcPr>
        <w:tcBorders>
          <w:top w:val="single" w:sz="8" w:space="0" w:color="00956E" w:themeColor="accent2"/>
          <w:left w:val="single" w:sz="8" w:space="0" w:color="00956E" w:themeColor="accent2"/>
          <w:bottom w:val="single" w:sz="8" w:space="0" w:color="00956E" w:themeColor="accent2"/>
          <w:right w:val="single" w:sz="8" w:space="0" w:color="00956E" w:themeColor="accent2"/>
          <w:insideV w:val="single" w:sz="8" w:space="0" w:color="00956E" w:themeColor="accent2"/>
        </w:tcBorders>
      </w:tcPr>
    </w:tblStylePr>
  </w:style>
  <w:style w:type="table" w:styleId="LightGrid-Accent3">
    <w:name w:val="Light Grid Accent 3"/>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76236D" w:themeColor="accent3"/>
        <w:left w:val="single" w:sz="8" w:space="0" w:color="76236D" w:themeColor="accent3"/>
        <w:bottom w:val="single" w:sz="8" w:space="0" w:color="76236D" w:themeColor="accent3"/>
        <w:right w:val="single" w:sz="8" w:space="0" w:color="76236D" w:themeColor="accent3"/>
        <w:insideH w:val="single" w:sz="8" w:space="0" w:color="76236D" w:themeColor="accent3"/>
        <w:insideV w:val="single" w:sz="8" w:space="0" w:color="76236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236D" w:themeColor="accent3"/>
          <w:left w:val="single" w:sz="8" w:space="0" w:color="76236D" w:themeColor="accent3"/>
          <w:bottom w:val="single" w:sz="18" w:space="0" w:color="76236D" w:themeColor="accent3"/>
          <w:right w:val="single" w:sz="8" w:space="0" w:color="76236D" w:themeColor="accent3"/>
          <w:insideH w:val="nil"/>
          <w:insideV w:val="single" w:sz="8" w:space="0" w:color="76236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236D" w:themeColor="accent3"/>
          <w:left w:val="single" w:sz="8" w:space="0" w:color="76236D" w:themeColor="accent3"/>
          <w:bottom w:val="single" w:sz="8" w:space="0" w:color="76236D" w:themeColor="accent3"/>
          <w:right w:val="single" w:sz="8" w:space="0" w:color="76236D" w:themeColor="accent3"/>
          <w:insideH w:val="nil"/>
          <w:insideV w:val="single" w:sz="8" w:space="0" w:color="76236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tcPr>
    </w:tblStylePr>
    <w:tblStylePr w:type="band1Vert">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shd w:val="clear" w:color="auto" w:fill="EABAE5" w:themeFill="accent3" w:themeFillTint="3F"/>
      </w:tcPr>
    </w:tblStylePr>
    <w:tblStylePr w:type="band1Horz">
      <w:tblPr/>
      <w:tcPr>
        <w:tcBorders>
          <w:top w:val="single" w:sz="8" w:space="0" w:color="76236D" w:themeColor="accent3"/>
          <w:left w:val="single" w:sz="8" w:space="0" w:color="76236D" w:themeColor="accent3"/>
          <w:bottom w:val="single" w:sz="8" w:space="0" w:color="76236D" w:themeColor="accent3"/>
          <w:right w:val="single" w:sz="8" w:space="0" w:color="76236D" w:themeColor="accent3"/>
          <w:insideV w:val="single" w:sz="8" w:space="0" w:color="76236D" w:themeColor="accent3"/>
        </w:tcBorders>
        <w:shd w:val="clear" w:color="auto" w:fill="EABAE5" w:themeFill="accent3" w:themeFillTint="3F"/>
      </w:tcPr>
    </w:tblStylePr>
    <w:tblStylePr w:type="band2Horz">
      <w:tblPr/>
      <w:tcPr>
        <w:tcBorders>
          <w:top w:val="single" w:sz="8" w:space="0" w:color="76236D" w:themeColor="accent3"/>
          <w:left w:val="single" w:sz="8" w:space="0" w:color="76236D" w:themeColor="accent3"/>
          <w:bottom w:val="single" w:sz="8" w:space="0" w:color="76236D" w:themeColor="accent3"/>
          <w:right w:val="single" w:sz="8" w:space="0" w:color="76236D" w:themeColor="accent3"/>
          <w:insideV w:val="single" w:sz="8" w:space="0" w:color="76236D" w:themeColor="accent3"/>
        </w:tcBorders>
      </w:tcPr>
    </w:tblStylePr>
  </w:style>
  <w:style w:type="table" w:styleId="LightGrid-Accent4">
    <w:name w:val="Light Grid Accent 4"/>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E97300" w:themeColor="accent4"/>
        <w:left w:val="single" w:sz="8" w:space="0" w:color="E97300" w:themeColor="accent4"/>
        <w:bottom w:val="single" w:sz="8" w:space="0" w:color="E97300" w:themeColor="accent4"/>
        <w:right w:val="single" w:sz="8" w:space="0" w:color="E97300" w:themeColor="accent4"/>
        <w:insideH w:val="single" w:sz="8" w:space="0" w:color="E97300" w:themeColor="accent4"/>
        <w:insideV w:val="single" w:sz="8" w:space="0" w:color="E973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300" w:themeColor="accent4"/>
          <w:left w:val="single" w:sz="8" w:space="0" w:color="E97300" w:themeColor="accent4"/>
          <w:bottom w:val="single" w:sz="18" w:space="0" w:color="E97300" w:themeColor="accent4"/>
          <w:right w:val="single" w:sz="8" w:space="0" w:color="E97300" w:themeColor="accent4"/>
          <w:insideH w:val="nil"/>
          <w:insideV w:val="single" w:sz="8" w:space="0" w:color="E973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300" w:themeColor="accent4"/>
          <w:left w:val="single" w:sz="8" w:space="0" w:color="E97300" w:themeColor="accent4"/>
          <w:bottom w:val="single" w:sz="8" w:space="0" w:color="E97300" w:themeColor="accent4"/>
          <w:right w:val="single" w:sz="8" w:space="0" w:color="E97300" w:themeColor="accent4"/>
          <w:insideH w:val="nil"/>
          <w:insideV w:val="single" w:sz="8" w:space="0" w:color="E973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tcPr>
    </w:tblStylePr>
    <w:tblStylePr w:type="band1Vert">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shd w:val="clear" w:color="auto" w:fill="FFDBBA" w:themeFill="accent4" w:themeFillTint="3F"/>
      </w:tcPr>
    </w:tblStylePr>
    <w:tblStylePr w:type="band1Horz">
      <w:tblPr/>
      <w:tcPr>
        <w:tcBorders>
          <w:top w:val="single" w:sz="8" w:space="0" w:color="E97300" w:themeColor="accent4"/>
          <w:left w:val="single" w:sz="8" w:space="0" w:color="E97300" w:themeColor="accent4"/>
          <w:bottom w:val="single" w:sz="8" w:space="0" w:color="E97300" w:themeColor="accent4"/>
          <w:right w:val="single" w:sz="8" w:space="0" w:color="E97300" w:themeColor="accent4"/>
          <w:insideV w:val="single" w:sz="8" w:space="0" w:color="E97300" w:themeColor="accent4"/>
        </w:tcBorders>
        <w:shd w:val="clear" w:color="auto" w:fill="FFDBBA" w:themeFill="accent4" w:themeFillTint="3F"/>
      </w:tcPr>
    </w:tblStylePr>
    <w:tblStylePr w:type="band2Horz">
      <w:tblPr/>
      <w:tcPr>
        <w:tcBorders>
          <w:top w:val="single" w:sz="8" w:space="0" w:color="E97300" w:themeColor="accent4"/>
          <w:left w:val="single" w:sz="8" w:space="0" w:color="E97300" w:themeColor="accent4"/>
          <w:bottom w:val="single" w:sz="8" w:space="0" w:color="E97300" w:themeColor="accent4"/>
          <w:right w:val="single" w:sz="8" w:space="0" w:color="E97300" w:themeColor="accent4"/>
          <w:insideV w:val="single" w:sz="8" w:space="0" w:color="E97300" w:themeColor="accent4"/>
        </w:tcBorders>
      </w:tcPr>
    </w:tblStylePr>
  </w:style>
  <w:style w:type="table" w:styleId="LightGrid-Accent5">
    <w:name w:val="Light Grid Accent 5"/>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0D2D2" w:themeColor="accent5"/>
        <w:left w:val="single" w:sz="8" w:space="0" w:color="D0D2D2" w:themeColor="accent5"/>
        <w:bottom w:val="single" w:sz="8" w:space="0" w:color="D0D2D2" w:themeColor="accent5"/>
        <w:right w:val="single" w:sz="8" w:space="0" w:color="D0D2D2" w:themeColor="accent5"/>
        <w:insideH w:val="single" w:sz="8" w:space="0" w:color="D0D2D2" w:themeColor="accent5"/>
        <w:insideV w:val="single" w:sz="8" w:space="0" w:color="D0D2D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D2D2" w:themeColor="accent5"/>
          <w:left w:val="single" w:sz="8" w:space="0" w:color="D0D2D2" w:themeColor="accent5"/>
          <w:bottom w:val="single" w:sz="18" w:space="0" w:color="D0D2D2" w:themeColor="accent5"/>
          <w:right w:val="single" w:sz="8" w:space="0" w:color="D0D2D2" w:themeColor="accent5"/>
          <w:insideH w:val="nil"/>
          <w:insideV w:val="single" w:sz="8" w:space="0" w:color="D0D2D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D2D2" w:themeColor="accent5"/>
          <w:left w:val="single" w:sz="8" w:space="0" w:color="D0D2D2" w:themeColor="accent5"/>
          <w:bottom w:val="single" w:sz="8" w:space="0" w:color="D0D2D2" w:themeColor="accent5"/>
          <w:right w:val="single" w:sz="8" w:space="0" w:color="D0D2D2" w:themeColor="accent5"/>
          <w:insideH w:val="nil"/>
          <w:insideV w:val="single" w:sz="8" w:space="0" w:color="D0D2D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tcPr>
    </w:tblStylePr>
    <w:tblStylePr w:type="band1Vert">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shd w:val="clear" w:color="auto" w:fill="F3F3F3" w:themeFill="accent5" w:themeFillTint="3F"/>
      </w:tcPr>
    </w:tblStylePr>
    <w:tblStylePr w:type="band1Horz">
      <w:tblPr/>
      <w:tcPr>
        <w:tcBorders>
          <w:top w:val="single" w:sz="8" w:space="0" w:color="D0D2D2" w:themeColor="accent5"/>
          <w:left w:val="single" w:sz="8" w:space="0" w:color="D0D2D2" w:themeColor="accent5"/>
          <w:bottom w:val="single" w:sz="8" w:space="0" w:color="D0D2D2" w:themeColor="accent5"/>
          <w:right w:val="single" w:sz="8" w:space="0" w:color="D0D2D2" w:themeColor="accent5"/>
          <w:insideV w:val="single" w:sz="8" w:space="0" w:color="D0D2D2" w:themeColor="accent5"/>
        </w:tcBorders>
        <w:shd w:val="clear" w:color="auto" w:fill="F3F3F3" w:themeFill="accent5" w:themeFillTint="3F"/>
      </w:tcPr>
    </w:tblStylePr>
    <w:tblStylePr w:type="band2Horz">
      <w:tblPr/>
      <w:tcPr>
        <w:tcBorders>
          <w:top w:val="single" w:sz="8" w:space="0" w:color="D0D2D2" w:themeColor="accent5"/>
          <w:left w:val="single" w:sz="8" w:space="0" w:color="D0D2D2" w:themeColor="accent5"/>
          <w:bottom w:val="single" w:sz="8" w:space="0" w:color="D0D2D2" w:themeColor="accent5"/>
          <w:right w:val="single" w:sz="8" w:space="0" w:color="D0D2D2" w:themeColor="accent5"/>
          <w:insideV w:val="single" w:sz="8" w:space="0" w:color="D0D2D2" w:themeColor="accent5"/>
        </w:tcBorders>
      </w:tcPr>
    </w:tblStylePr>
  </w:style>
  <w:style w:type="table" w:styleId="LightGrid-Accent6">
    <w:name w:val="Light Grid Accent 6"/>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BDF" w:themeColor="accent6"/>
        <w:left w:val="single" w:sz="8" w:space="0" w:color="009BDF" w:themeColor="accent6"/>
        <w:bottom w:val="single" w:sz="8" w:space="0" w:color="009BDF" w:themeColor="accent6"/>
        <w:right w:val="single" w:sz="8" w:space="0" w:color="009BDF" w:themeColor="accent6"/>
        <w:insideH w:val="single" w:sz="8" w:space="0" w:color="009BDF" w:themeColor="accent6"/>
        <w:insideV w:val="single" w:sz="8" w:space="0" w:color="009BD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BDF" w:themeColor="accent6"/>
          <w:left w:val="single" w:sz="8" w:space="0" w:color="009BDF" w:themeColor="accent6"/>
          <w:bottom w:val="single" w:sz="18" w:space="0" w:color="009BDF" w:themeColor="accent6"/>
          <w:right w:val="single" w:sz="8" w:space="0" w:color="009BDF" w:themeColor="accent6"/>
          <w:insideH w:val="nil"/>
          <w:insideV w:val="single" w:sz="8" w:space="0" w:color="009BD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BDF" w:themeColor="accent6"/>
          <w:left w:val="single" w:sz="8" w:space="0" w:color="009BDF" w:themeColor="accent6"/>
          <w:bottom w:val="single" w:sz="8" w:space="0" w:color="009BDF" w:themeColor="accent6"/>
          <w:right w:val="single" w:sz="8" w:space="0" w:color="009BDF" w:themeColor="accent6"/>
          <w:insideH w:val="nil"/>
          <w:insideV w:val="single" w:sz="8" w:space="0" w:color="009BD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tcPr>
    </w:tblStylePr>
    <w:tblStylePr w:type="band1Vert">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shd w:val="clear" w:color="auto" w:fill="B8E9FF" w:themeFill="accent6" w:themeFillTint="3F"/>
      </w:tcPr>
    </w:tblStylePr>
    <w:tblStylePr w:type="band1Horz">
      <w:tblPr/>
      <w:tcPr>
        <w:tcBorders>
          <w:top w:val="single" w:sz="8" w:space="0" w:color="009BDF" w:themeColor="accent6"/>
          <w:left w:val="single" w:sz="8" w:space="0" w:color="009BDF" w:themeColor="accent6"/>
          <w:bottom w:val="single" w:sz="8" w:space="0" w:color="009BDF" w:themeColor="accent6"/>
          <w:right w:val="single" w:sz="8" w:space="0" w:color="009BDF" w:themeColor="accent6"/>
          <w:insideV w:val="single" w:sz="8" w:space="0" w:color="009BDF" w:themeColor="accent6"/>
        </w:tcBorders>
        <w:shd w:val="clear" w:color="auto" w:fill="B8E9FF" w:themeFill="accent6" w:themeFillTint="3F"/>
      </w:tcPr>
    </w:tblStylePr>
    <w:tblStylePr w:type="band2Horz">
      <w:tblPr/>
      <w:tcPr>
        <w:tcBorders>
          <w:top w:val="single" w:sz="8" w:space="0" w:color="009BDF" w:themeColor="accent6"/>
          <w:left w:val="single" w:sz="8" w:space="0" w:color="009BDF" w:themeColor="accent6"/>
          <w:bottom w:val="single" w:sz="8" w:space="0" w:color="009BDF" w:themeColor="accent6"/>
          <w:right w:val="single" w:sz="8" w:space="0" w:color="009BDF" w:themeColor="accent6"/>
          <w:insideV w:val="single" w:sz="8" w:space="0" w:color="009BDF" w:themeColor="accent6"/>
        </w:tcBorders>
      </w:tcPr>
    </w:tblStylePr>
  </w:style>
  <w:style w:type="table" w:styleId="LightList">
    <w:name w:val="Light List"/>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242828" w:themeColor="text1"/>
        <w:left w:val="single" w:sz="8" w:space="0" w:color="242828" w:themeColor="text1"/>
        <w:bottom w:val="single" w:sz="8" w:space="0" w:color="242828" w:themeColor="text1"/>
        <w:right w:val="single" w:sz="8" w:space="0" w:color="242828" w:themeColor="text1"/>
      </w:tcBorders>
    </w:tcPr>
    <w:tblStylePr w:type="firstRow">
      <w:pPr>
        <w:spacing w:before="0" w:after="0" w:line="240" w:lineRule="auto"/>
      </w:pPr>
      <w:rPr>
        <w:b/>
        <w:bCs/>
        <w:color w:val="FFFFFF" w:themeColor="background1"/>
      </w:rPr>
      <w:tblPr/>
      <w:tcPr>
        <w:shd w:val="clear" w:color="auto" w:fill="242828"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tcPr>
    <w:tblStylePr w:type="firstRow">
      <w:pPr>
        <w:spacing w:before="0" w:after="0" w:line="240" w:lineRule="auto"/>
      </w:pPr>
      <w:rPr>
        <w:b/>
        <w:bCs/>
        <w:color w:val="FFFFFF" w:themeColor="background1"/>
      </w:rPr>
      <w:tblPr/>
      <w:tcPr>
        <w:shd w:val="clear" w:color="auto" w:fill="00A6B6"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tcPr>
    <w:tblStylePr w:type="firstRow">
      <w:pPr>
        <w:spacing w:before="0" w:after="0" w:line="240" w:lineRule="auto"/>
      </w:pPr>
      <w:rPr>
        <w:b/>
        <w:bCs/>
        <w:color w:val="FFFFFF" w:themeColor="background1"/>
      </w:rPr>
      <w:tblPr/>
      <w:tcPr>
        <w:shd w:val="clear" w:color="auto" w:fill="00956E"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tcPr>
    <w:tblStylePr w:type="firstRow">
      <w:pPr>
        <w:spacing w:before="0" w:after="0" w:line="240" w:lineRule="auto"/>
      </w:pPr>
      <w:rPr>
        <w:b/>
        <w:bCs/>
        <w:color w:val="FFFFFF" w:themeColor="background1"/>
      </w:rPr>
      <w:tblPr/>
      <w:tcPr>
        <w:shd w:val="clear" w:color="auto" w:fill="76236D"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tcPr>
    <w:tblStylePr w:type="firstRow">
      <w:pPr>
        <w:spacing w:before="0" w:after="0" w:line="240" w:lineRule="auto"/>
      </w:pPr>
      <w:rPr>
        <w:b/>
        <w:bCs/>
        <w:color w:val="FFFFFF" w:themeColor="background1"/>
      </w:rPr>
      <w:tblPr/>
      <w:tcPr>
        <w:shd w:val="clear" w:color="auto" w:fill="E97300"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tcPr>
    <w:tblStylePr w:type="firstRow">
      <w:pPr>
        <w:spacing w:before="0" w:after="0" w:line="240" w:lineRule="auto"/>
      </w:pPr>
      <w:rPr>
        <w:b/>
        <w:bCs/>
        <w:color w:val="FFFFFF" w:themeColor="background1"/>
      </w:rPr>
      <w:tblPr/>
      <w:tcPr>
        <w:shd w:val="clear" w:color="auto" w:fill="D0D2D2"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tcPr>
    <w:tblStylePr w:type="firstRow">
      <w:pPr>
        <w:spacing w:before="0" w:after="0" w:line="240" w:lineRule="auto"/>
      </w:pPr>
      <w:rPr>
        <w:b/>
        <w:bCs/>
        <w:color w:val="FFFFFF" w:themeColor="background1"/>
      </w:rPr>
      <w:tblPr/>
      <w:tcPr>
        <w:shd w:val="clear" w:color="auto" w:fill="009BDF"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5A793B"/>
    <w:pPr>
      <w:spacing w:after="0" w:line="240" w:lineRule="auto"/>
      <w:jc w:val="left"/>
    </w:pPr>
    <w:rPr>
      <w:rFonts w:asciiTheme="minorHAnsi" w:eastAsia="Times New Roman" w:hAnsiTheme="minorHAnsi" w:cs="Times New Roman"/>
      <w:color w:val="1B1D1D" w:themeColor="text1" w:themeShade="BF"/>
      <w:sz w:val="22"/>
      <w:szCs w:val="22"/>
      <w:lang w:val="en-US"/>
    </w:rPr>
    <w:tblPr>
      <w:tblStyleRowBandSize w:val="1"/>
      <w:tblStyleColBandSize w:val="1"/>
      <w:tblBorders>
        <w:top w:val="single" w:sz="8" w:space="0" w:color="242828" w:themeColor="text1"/>
        <w:bottom w:val="single" w:sz="8" w:space="0" w:color="242828" w:themeColor="text1"/>
      </w:tblBorders>
    </w:tblPr>
    <w:tblStylePr w:type="firstRow">
      <w:pPr>
        <w:spacing w:before="0" w:after="0" w:line="240" w:lineRule="auto"/>
      </w:pPr>
      <w:rPr>
        <w:b/>
        <w:bCs/>
      </w:rPr>
      <w:tblPr/>
      <w:tcPr>
        <w:tcBorders>
          <w:top w:val="single" w:sz="8" w:space="0" w:color="242828" w:themeColor="text1"/>
          <w:left w:val="nil"/>
          <w:bottom w:val="single" w:sz="8" w:space="0" w:color="242828" w:themeColor="text1"/>
          <w:right w:val="nil"/>
          <w:insideH w:val="nil"/>
          <w:insideV w:val="nil"/>
        </w:tcBorders>
      </w:tcPr>
    </w:tblStylePr>
    <w:tblStylePr w:type="lastRow">
      <w:pPr>
        <w:spacing w:before="0" w:after="0" w:line="240" w:lineRule="auto"/>
      </w:pPr>
      <w:rPr>
        <w:b/>
        <w:bCs/>
      </w:rPr>
      <w:tblPr/>
      <w:tcPr>
        <w:tcBorders>
          <w:top w:val="single" w:sz="8" w:space="0" w:color="242828" w:themeColor="text1"/>
          <w:left w:val="nil"/>
          <w:bottom w:val="single" w:sz="8" w:space="0" w:color="24282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CCC" w:themeFill="text1" w:themeFillTint="3F"/>
      </w:tcPr>
    </w:tblStylePr>
    <w:tblStylePr w:type="band1Horz">
      <w:tblPr/>
      <w:tcPr>
        <w:tcBorders>
          <w:left w:val="nil"/>
          <w:right w:val="nil"/>
          <w:insideH w:val="nil"/>
          <w:insideV w:val="nil"/>
        </w:tcBorders>
        <w:shd w:val="clear" w:color="auto" w:fill="C6CCCC" w:themeFill="text1" w:themeFillTint="3F"/>
      </w:tcPr>
    </w:tblStylePr>
  </w:style>
  <w:style w:type="table" w:styleId="LightShading-Accent1">
    <w:name w:val="Light Shading Accent 1"/>
    <w:basedOn w:val="TableNormal"/>
    <w:uiPriority w:val="60"/>
    <w:semiHidden/>
    <w:unhideWhenUsed/>
    <w:rsid w:val="005A793B"/>
    <w:pPr>
      <w:spacing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8" w:space="0" w:color="00A6B6" w:themeColor="accent1"/>
        <w:bottom w:val="single" w:sz="8" w:space="0" w:color="00A6B6" w:themeColor="accent1"/>
      </w:tblBorders>
    </w:tblPr>
    <w:tblStylePr w:type="firstRow">
      <w:pPr>
        <w:spacing w:before="0" w:after="0" w:line="240" w:lineRule="auto"/>
      </w:pPr>
      <w:rPr>
        <w:b/>
        <w:bCs/>
      </w:rPr>
      <w:tblPr/>
      <w:tcPr>
        <w:tcBorders>
          <w:top w:val="single" w:sz="8" w:space="0" w:color="00A6B6" w:themeColor="accent1"/>
          <w:left w:val="nil"/>
          <w:bottom w:val="single" w:sz="8" w:space="0" w:color="00A6B6" w:themeColor="accent1"/>
          <w:right w:val="nil"/>
          <w:insideH w:val="nil"/>
          <w:insideV w:val="nil"/>
        </w:tcBorders>
      </w:tcPr>
    </w:tblStylePr>
    <w:tblStylePr w:type="lastRow">
      <w:pPr>
        <w:spacing w:before="0" w:after="0" w:line="240" w:lineRule="auto"/>
      </w:pPr>
      <w:rPr>
        <w:b/>
        <w:bCs/>
      </w:rPr>
      <w:tblPr/>
      <w:tcPr>
        <w:tcBorders>
          <w:top w:val="single" w:sz="8" w:space="0" w:color="00A6B6" w:themeColor="accent1"/>
          <w:left w:val="nil"/>
          <w:bottom w:val="single" w:sz="8" w:space="0" w:color="00A6B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7FF" w:themeFill="accent1" w:themeFillTint="3F"/>
      </w:tcPr>
    </w:tblStylePr>
    <w:tblStylePr w:type="band1Horz">
      <w:tblPr/>
      <w:tcPr>
        <w:tcBorders>
          <w:left w:val="nil"/>
          <w:right w:val="nil"/>
          <w:insideH w:val="nil"/>
          <w:insideV w:val="nil"/>
        </w:tcBorders>
        <w:shd w:val="clear" w:color="auto" w:fill="ADF7FF" w:themeFill="accent1" w:themeFillTint="3F"/>
      </w:tcPr>
    </w:tblStylePr>
  </w:style>
  <w:style w:type="table" w:styleId="LightShading-Accent2">
    <w:name w:val="Light Shading Accent 2"/>
    <w:basedOn w:val="TableNormal"/>
    <w:uiPriority w:val="60"/>
    <w:semiHidden/>
    <w:unhideWhenUsed/>
    <w:rsid w:val="005A793B"/>
    <w:pPr>
      <w:spacing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8" w:space="0" w:color="00956E" w:themeColor="accent2"/>
        <w:bottom w:val="single" w:sz="8" w:space="0" w:color="00956E" w:themeColor="accent2"/>
      </w:tblBorders>
    </w:tblPr>
    <w:tblStylePr w:type="firstRow">
      <w:pPr>
        <w:spacing w:before="0" w:after="0" w:line="240" w:lineRule="auto"/>
      </w:pPr>
      <w:rPr>
        <w:b/>
        <w:bCs/>
      </w:rPr>
      <w:tblPr/>
      <w:tcPr>
        <w:tcBorders>
          <w:top w:val="single" w:sz="8" w:space="0" w:color="00956E" w:themeColor="accent2"/>
          <w:left w:val="nil"/>
          <w:bottom w:val="single" w:sz="8" w:space="0" w:color="00956E" w:themeColor="accent2"/>
          <w:right w:val="nil"/>
          <w:insideH w:val="nil"/>
          <w:insideV w:val="nil"/>
        </w:tcBorders>
      </w:tcPr>
    </w:tblStylePr>
    <w:tblStylePr w:type="lastRow">
      <w:pPr>
        <w:spacing w:before="0" w:after="0" w:line="240" w:lineRule="auto"/>
      </w:pPr>
      <w:rPr>
        <w:b/>
        <w:bCs/>
      </w:rPr>
      <w:tblPr/>
      <w:tcPr>
        <w:tcBorders>
          <w:top w:val="single" w:sz="8" w:space="0" w:color="00956E" w:themeColor="accent2"/>
          <w:left w:val="nil"/>
          <w:bottom w:val="single" w:sz="8" w:space="0" w:color="00956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7" w:themeFill="accent2" w:themeFillTint="3F"/>
      </w:tcPr>
    </w:tblStylePr>
    <w:tblStylePr w:type="band1Horz">
      <w:tblPr/>
      <w:tcPr>
        <w:tcBorders>
          <w:left w:val="nil"/>
          <w:right w:val="nil"/>
          <w:insideH w:val="nil"/>
          <w:insideV w:val="nil"/>
        </w:tcBorders>
        <w:shd w:val="clear" w:color="auto" w:fill="A5FFE7" w:themeFill="accent2" w:themeFillTint="3F"/>
      </w:tcPr>
    </w:tblStylePr>
  </w:style>
  <w:style w:type="table" w:styleId="LightShading-Accent3">
    <w:name w:val="Light Shading Accent 3"/>
    <w:basedOn w:val="TableNormal"/>
    <w:uiPriority w:val="60"/>
    <w:semiHidden/>
    <w:unhideWhenUsed/>
    <w:rsid w:val="005A793B"/>
    <w:pPr>
      <w:spacing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8" w:space="0" w:color="76236D" w:themeColor="accent3"/>
        <w:bottom w:val="single" w:sz="8" w:space="0" w:color="76236D" w:themeColor="accent3"/>
      </w:tblBorders>
    </w:tblPr>
    <w:tblStylePr w:type="firstRow">
      <w:pPr>
        <w:spacing w:before="0" w:after="0" w:line="240" w:lineRule="auto"/>
      </w:pPr>
      <w:rPr>
        <w:b/>
        <w:bCs/>
      </w:rPr>
      <w:tblPr/>
      <w:tcPr>
        <w:tcBorders>
          <w:top w:val="single" w:sz="8" w:space="0" w:color="76236D" w:themeColor="accent3"/>
          <w:left w:val="nil"/>
          <w:bottom w:val="single" w:sz="8" w:space="0" w:color="76236D" w:themeColor="accent3"/>
          <w:right w:val="nil"/>
          <w:insideH w:val="nil"/>
          <w:insideV w:val="nil"/>
        </w:tcBorders>
      </w:tcPr>
    </w:tblStylePr>
    <w:tblStylePr w:type="lastRow">
      <w:pPr>
        <w:spacing w:before="0" w:after="0" w:line="240" w:lineRule="auto"/>
      </w:pPr>
      <w:rPr>
        <w:b/>
        <w:bCs/>
      </w:rPr>
      <w:tblPr/>
      <w:tcPr>
        <w:tcBorders>
          <w:top w:val="single" w:sz="8" w:space="0" w:color="76236D" w:themeColor="accent3"/>
          <w:left w:val="nil"/>
          <w:bottom w:val="single" w:sz="8" w:space="0" w:color="76236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E5" w:themeFill="accent3" w:themeFillTint="3F"/>
      </w:tcPr>
    </w:tblStylePr>
    <w:tblStylePr w:type="band1Horz">
      <w:tblPr/>
      <w:tcPr>
        <w:tcBorders>
          <w:left w:val="nil"/>
          <w:right w:val="nil"/>
          <w:insideH w:val="nil"/>
          <w:insideV w:val="nil"/>
        </w:tcBorders>
        <w:shd w:val="clear" w:color="auto" w:fill="EABAE5" w:themeFill="accent3" w:themeFillTint="3F"/>
      </w:tcPr>
    </w:tblStylePr>
  </w:style>
  <w:style w:type="table" w:styleId="LightShading-Accent4">
    <w:name w:val="Light Shading Accent 4"/>
    <w:basedOn w:val="TableNormal"/>
    <w:uiPriority w:val="60"/>
    <w:semiHidden/>
    <w:unhideWhenUsed/>
    <w:rsid w:val="005A793B"/>
    <w:pPr>
      <w:spacing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8" w:space="0" w:color="E97300" w:themeColor="accent4"/>
        <w:bottom w:val="single" w:sz="8" w:space="0" w:color="E97300" w:themeColor="accent4"/>
      </w:tblBorders>
    </w:tblPr>
    <w:tblStylePr w:type="firstRow">
      <w:pPr>
        <w:spacing w:before="0" w:after="0" w:line="240" w:lineRule="auto"/>
      </w:pPr>
      <w:rPr>
        <w:b/>
        <w:bCs/>
      </w:rPr>
      <w:tblPr/>
      <w:tcPr>
        <w:tcBorders>
          <w:top w:val="single" w:sz="8" w:space="0" w:color="E97300" w:themeColor="accent4"/>
          <w:left w:val="nil"/>
          <w:bottom w:val="single" w:sz="8" w:space="0" w:color="E97300" w:themeColor="accent4"/>
          <w:right w:val="nil"/>
          <w:insideH w:val="nil"/>
          <w:insideV w:val="nil"/>
        </w:tcBorders>
      </w:tcPr>
    </w:tblStylePr>
    <w:tblStylePr w:type="lastRow">
      <w:pPr>
        <w:spacing w:before="0" w:after="0" w:line="240" w:lineRule="auto"/>
      </w:pPr>
      <w:rPr>
        <w:b/>
        <w:bCs/>
      </w:rPr>
      <w:tblPr/>
      <w:tcPr>
        <w:tcBorders>
          <w:top w:val="single" w:sz="8" w:space="0" w:color="E97300" w:themeColor="accent4"/>
          <w:left w:val="nil"/>
          <w:bottom w:val="single" w:sz="8" w:space="0" w:color="E973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hemeFill="accent4" w:themeFillTint="3F"/>
      </w:tcPr>
    </w:tblStylePr>
    <w:tblStylePr w:type="band1Horz">
      <w:tblPr/>
      <w:tcPr>
        <w:tcBorders>
          <w:left w:val="nil"/>
          <w:right w:val="nil"/>
          <w:insideH w:val="nil"/>
          <w:insideV w:val="nil"/>
        </w:tcBorders>
        <w:shd w:val="clear" w:color="auto" w:fill="FFDBBA" w:themeFill="accent4" w:themeFillTint="3F"/>
      </w:tcPr>
    </w:tblStylePr>
  </w:style>
  <w:style w:type="table" w:styleId="LightShading-Accent5">
    <w:name w:val="Light Shading Accent 5"/>
    <w:basedOn w:val="TableNormal"/>
    <w:uiPriority w:val="60"/>
    <w:semiHidden/>
    <w:unhideWhenUsed/>
    <w:rsid w:val="005A793B"/>
    <w:pPr>
      <w:spacing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8" w:space="0" w:color="D0D2D2" w:themeColor="accent5"/>
        <w:bottom w:val="single" w:sz="8" w:space="0" w:color="D0D2D2" w:themeColor="accent5"/>
      </w:tblBorders>
    </w:tblPr>
    <w:tblStylePr w:type="firstRow">
      <w:pPr>
        <w:spacing w:before="0" w:after="0" w:line="240" w:lineRule="auto"/>
      </w:pPr>
      <w:rPr>
        <w:b/>
        <w:bCs/>
      </w:rPr>
      <w:tblPr/>
      <w:tcPr>
        <w:tcBorders>
          <w:top w:val="single" w:sz="8" w:space="0" w:color="D0D2D2" w:themeColor="accent5"/>
          <w:left w:val="nil"/>
          <w:bottom w:val="single" w:sz="8" w:space="0" w:color="D0D2D2" w:themeColor="accent5"/>
          <w:right w:val="nil"/>
          <w:insideH w:val="nil"/>
          <w:insideV w:val="nil"/>
        </w:tcBorders>
      </w:tcPr>
    </w:tblStylePr>
    <w:tblStylePr w:type="lastRow">
      <w:pPr>
        <w:spacing w:before="0" w:after="0" w:line="240" w:lineRule="auto"/>
      </w:pPr>
      <w:rPr>
        <w:b/>
        <w:bCs/>
      </w:rPr>
      <w:tblPr/>
      <w:tcPr>
        <w:tcBorders>
          <w:top w:val="single" w:sz="8" w:space="0" w:color="D0D2D2" w:themeColor="accent5"/>
          <w:left w:val="nil"/>
          <w:bottom w:val="single" w:sz="8" w:space="0" w:color="D0D2D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3" w:themeFill="accent5" w:themeFillTint="3F"/>
      </w:tcPr>
    </w:tblStylePr>
    <w:tblStylePr w:type="band1Horz">
      <w:tblPr/>
      <w:tcPr>
        <w:tcBorders>
          <w:left w:val="nil"/>
          <w:right w:val="nil"/>
          <w:insideH w:val="nil"/>
          <w:insideV w:val="nil"/>
        </w:tcBorders>
        <w:shd w:val="clear" w:color="auto" w:fill="F3F3F3" w:themeFill="accent5" w:themeFillTint="3F"/>
      </w:tcPr>
    </w:tblStylePr>
  </w:style>
  <w:style w:type="table" w:styleId="LightShading-Accent6">
    <w:name w:val="Light Shading Accent 6"/>
    <w:basedOn w:val="TableNormal"/>
    <w:uiPriority w:val="60"/>
    <w:semiHidden/>
    <w:unhideWhenUsed/>
    <w:rsid w:val="005A793B"/>
    <w:pPr>
      <w:spacing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8" w:space="0" w:color="009BDF" w:themeColor="accent6"/>
        <w:bottom w:val="single" w:sz="8" w:space="0" w:color="009BDF" w:themeColor="accent6"/>
      </w:tblBorders>
    </w:tblPr>
    <w:tblStylePr w:type="firstRow">
      <w:pPr>
        <w:spacing w:before="0" w:after="0" w:line="240" w:lineRule="auto"/>
      </w:pPr>
      <w:rPr>
        <w:b/>
        <w:bCs/>
      </w:rPr>
      <w:tblPr/>
      <w:tcPr>
        <w:tcBorders>
          <w:top w:val="single" w:sz="8" w:space="0" w:color="009BDF" w:themeColor="accent6"/>
          <w:left w:val="nil"/>
          <w:bottom w:val="single" w:sz="8" w:space="0" w:color="009BDF" w:themeColor="accent6"/>
          <w:right w:val="nil"/>
          <w:insideH w:val="nil"/>
          <w:insideV w:val="nil"/>
        </w:tcBorders>
      </w:tcPr>
    </w:tblStylePr>
    <w:tblStylePr w:type="lastRow">
      <w:pPr>
        <w:spacing w:before="0" w:after="0" w:line="240" w:lineRule="auto"/>
      </w:pPr>
      <w:rPr>
        <w:b/>
        <w:bCs/>
      </w:rPr>
      <w:tblPr/>
      <w:tcPr>
        <w:tcBorders>
          <w:top w:val="single" w:sz="8" w:space="0" w:color="009BDF" w:themeColor="accent6"/>
          <w:left w:val="nil"/>
          <w:bottom w:val="single" w:sz="8" w:space="0" w:color="009BD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hemeFill="accent6" w:themeFillTint="3F"/>
      </w:tcPr>
    </w:tblStylePr>
    <w:tblStylePr w:type="band1Horz">
      <w:tblPr/>
      <w:tcPr>
        <w:tcBorders>
          <w:left w:val="nil"/>
          <w:right w:val="nil"/>
          <w:insideH w:val="nil"/>
          <w:insideV w:val="nil"/>
        </w:tcBorders>
        <w:shd w:val="clear" w:color="auto" w:fill="B8E9FF" w:themeFill="accent6" w:themeFillTint="3F"/>
      </w:tcPr>
    </w:tblStylePr>
  </w:style>
  <w:style w:type="paragraph" w:styleId="List2">
    <w:name w:val="List 2"/>
    <w:basedOn w:val="Normal"/>
    <w:uiPriority w:val="99"/>
    <w:semiHidden/>
    <w:unhideWhenUsed/>
    <w:rsid w:val="1FC5E705"/>
    <w:pPr>
      <w:spacing w:before="60" w:after="60"/>
      <w:ind w:left="720" w:hanging="360"/>
      <w:contextualSpacing/>
      <w:jc w:val="left"/>
    </w:pPr>
    <w:rPr>
      <w:rFonts w:eastAsia="Times New Roman" w:cs="Arial"/>
      <w:color w:val="auto"/>
      <w:sz w:val="22"/>
      <w:szCs w:val="22"/>
      <w:lang w:val="en-US"/>
    </w:rPr>
  </w:style>
  <w:style w:type="paragraph" w:styleId="List3">
    <w:name w:val="List 3"/>
    <w:basedOn w:val="Normal"/>
    <w:uiPriority w:val="99"/>
    <w:semiHidden/>
    <w:unhideWhenUsed/>
    <w:rsid w:val="1FC5E705"/>
    <w:pPr>
      <w:spacing w:before="60" w:after="60"/>
      <w:ind w:left="1080" w:hanging="360"/>
      <w:contextualSpacing/>
      <w:jc w:val="left"/>
    </w:pPr>
    <w:rPr>
      <w:rFonts w:eastAsia="Times New Roman" w:cs="Arial"/>
      <w:color w:val="auto"/>
      <w:sz w:val="22"/>
      <w:szCs w:val="22"/>
      <w:lang w:val="en-US"/>
    </w:rPr>
  </w:style>
  <w:style w:type="paragraph" w:styleId="List4">
    <w:name w:val="List 4"/>
    <w:basedOn w:val="Normal"/>
    <w:uiPriority w:val="99"/>
    <w:semiHidden/>
    <w:unhideWhenUsed/>
    <w:rsid w:val="1FC5E705"/>
    <w:pPr>
      <w:spacing w:before="60" w:after="60"/>
      <w:ind w:left="1440" w:hanging="360"/>
      <w:contextualSpacing/>
      <w:jc w:val="left"/>
    </w:pPr>
    <w:rPr>
      <w:rFonts w:eastAsia="Times New Roman" w:cs="Arial"/>
      <w:color w:val="auto"/>
      <w:sz w:val="22"/>
      <w:szCs w:val="22"/>
      <w:lang w:val="en-US"/>
    </w:rPr>
  </w:style>
  <w:style w:type="paragraph" w:styleId="List5">
    <w:name w:val="List 5"/>
    <w:basedOn w:val="Normal"/>
    <w:uiPriority w:val="99"/>
    <w:semiHidden/>
    <w:unhideWhenUsed/>
    <w:rsid w:val="1FC5E705"/>
    <w:pPr>
      <w:spacing w:before="60" w:after="60"/>
      <w:ind w:left="1800" w:hanging="360"/>
      <w:contextualSpacing/>
      <w:jc w:val="left"/>
    </w:pPr>
    <w:rPr>
      <w:rFonts w:eastAsia="Times New Roman" w:cs="Arial"/>
      <w:color w:val="auto"/>
      <w:sz w:val="22"/>
      <w:szCs w:val="22"/>
      <w:lang w:val="en-US"/>
    </w:rPr>
  </w:style>
  <w:style w:type="paragraph" w:styleId="ListBullet2">
    <w:name w:val="List Bullet 2"/>
    <w:basedOn w:val="Normal"/>
    <w:uiPriority w:val="1"/>
    <w:unhideWhenUsed/>
    <w:rsid w:val="1FC5E705"/>
    <w:pPr>
      <w:tabs>
        <w:tab w:val="num" w:pos="643"/>
      </w:tabs>
      <w:spacing w:before="60" w:after="60"/>
      <w:ind w:left="643" w:hanging="360"/>
      <w:contextualSpacing/>
      <w:jc w:val="left"/>
    </w:pPr>
    <w:rPr>
      <w:rFonts w:eastAsia="Times New Roman" w:cs="Arial"/>
      <w:color w:val="auto"/>
      <w:sz w:val="22"/>
      <w:szCs w:val="22"/>
      <w:lang w:val="en-US"/>
    </w:rPr>
  </w:style>
  <w:style w:type="paragraph" w:styleId="ListBullet3">
    <w:name w:val="List Bullet 3"/>
    <w:basedOn w:val="Normal"/>
    <w:uiPriority w:val="1"/>
    <w:unhideWhenUsed/>
    <w:rsid w:val="1FC5E705"/>
    <w:pPr>
      <w:tabs>
        <w:tab w:val="num" w:pos="926"/>
      </w:tabs>
      <w:spacing w:before="60" w:after="60"/>
      <w:ind w:left="926" w:hanging="360"/>
      <w:contextualSpacing/>
      <w:jc w:val="left"/>
    </w:pPr>
    <w:rPr>
      <w:rFonts w:eastAsia="Times New Roman" w:cs="Arial"/>
      <w:color w:val="auto"/>
      <w:sz w:val="22"/>
      <w:szCs w:val="22"/>
      <w:lang w:val="en-US"/>
    </w:rPr>
  </w:style>
  <w:style w:type="paragraph" w:styleId="ListBullet4">
    <w:name w:val="List Bullet 4"/>
    <w:basedOn w:val="Normal"/>
    <w:uiPriority w:val="1"/>
    <w:unhideWhenUsed/>
    <w:rsid w:val="1FC5E705"/>
    <w:pPr>
      <w:tabs>
        <w:tab w:val="num" w:pos="1209"/>
      </w:tabs>
      <w:spacing w:before="60" w:after="60"/>
      <w:ind w:left="1209" w:hanging="360"/>
      <w:contextualSpacing/>
      <w:jc w:val="left"/>
    </w:pPr>
    <w:rPr>
      <w:rFonts w:eastAsia="Times New Roman" w:cs="Arial"/>
      <w:color w:val="auto"/>
      <w:sz w:val="22"/>
      <w:szCs w:val="22"/>
      <w:lang w:val="en-US"/>
    </w:rPr>
  </w:style>
  <w:style w:type="paragraph" w:styleId="ListBullet5">
    <w:name w:val="List Bullet 5"/>
    <w:basedOn w:val="Normal"/>
    <w:uiPriority w:val="99"/>
    <w:semiHidden/>
    <w:unhideWhenUsed/>
    <w:rsid w:val="1FC5E705"/>
    <w:pPr>
      <w:tabs>
        <w:tab w:val="num" w:pos="1492"/>
      </w:tabs>
      <w:spacing w:before="60" w:after="60"/>
      <w:ind w:left="1492" w:hanging="360"/>
      <w:contextualSpacing/>
      <w:jc w:val="left"/>
    </w:pPr>
    <w:rPr>
      <w:rFonts w:eastAsia="Times New Roman" w:cs="Arial"/>
      <w:color w:val="auto"/>
      <w:sz w:val="22"/>
      <w:szCs w:val="22"/>
      <w:lang w:val="en-US"/>
    </w:rPr>
  </w:style>
  <w:style w:type="paragraph" w:styleId="ListContinue2">
    <w:name w:val="List Continue 2"/>
    <w:basedOn w:val="Normal"/>
    <w:uiPriority w:val="99"/>
    <w:semiHidden/>
    <w:unhideWhenUsed/>
    <w:rsid w:val="1FC5E705"/>
    <w:pPr>
      <w:spacing w:before="60"/>
      <w:ind w:left="720"/>
      <w:contextualSpacing/>
      <w:jc w:val="left"/>
    </w:pPr>
    <w:rPr>
      <w:rFonts w:eastAsia="Times New Roman" w:cs="Arial"/>
      <w:color w:val="auto"/>
      <w:sz w:val="22"/>
      <w:szCs w:val="22"/>
      <w:lang w:val="en-US"/>
    </w:rPr>
  </w:style>
  <w:style w:type="paragraph" w:styleId="ListContinue3">
    <w:name w:val="List Continue 3"/>
    <w:basedOn w:val="Normal"/>
    <w:uiPriority w:val="99"/>
    <w:semiHidden/>
    <w:unhideWhenUsed/>
    <w:rsid w:val="1FC5E705"/>
    <w:pPr>
      <w:spacing w:before="60"/>
      <w:ind w:left="1080"/>
      <w:contextualSpacing/>
      <w:jc w:val="left"/>
    </w:pPr>
    <w:rPr>
      <w:rFonts w:eastAsia="Times New Roman" w:cs="Arial"/>
      <w:color w:val="auto"/>
      <w:sz w:val="22"/>
      <w:szCs w:val="22"/>
      <w:lang w:val="en-US"/>
    </w:rPr>
  </w:style>
  <w:style w:type="paragraph" w:styleId="ListContinue4">
    <w:name w:val="List Continue 4"/>
    <w:basedOn w:val="Normal"/>
    <w:uiPriority w:val="99"/>
    <w:semiHidden/>
    <w:unhideWhenUsed/>
    <w:rsid w:val="1FC5E705"/>
    <w:pPr>
      <w:spacing w:before="60"/>
      <w:ind w:left="1440"/>
      <w:contextualSpacing/>
      <w:jc w:val="left"/>
    </w:pPr>
    <w:rPr>
      <w:rFonts w:eastAsia="Times New Roman" w:cs="Arial"/>
      <w:color w:val="auto"/>
      <w:sz w:val="22"/>
      <w:szCs w:val="22"/>
      <w:lang w:val="en-US"/>
    </w:rPr>
  </w:style>
  <w:style w:type="paragraph" w:styleId="ListContinue5">
    <w:name w:val="List Continue 5"/>
    <w:basedOn w:val="Normal"/>
    <w:uiPriority w:val="99"/>
    <w:semiHidden/>
    <w:unhideWhenUsed/>
    <w:rsid w:val="1FC5E705"/>
    <w:pPr>
      <w:spacing w:before="60"/>
      <w:ind w:left="1800"/>
      <w:contextualSpacing/>
      <w:jc w:val="left"/>
    </w:pPr>
    <w:rPr>
      <w:rFonts w:eastAsia="Times New Roman" w:cs="Arial"/>
      <w:color w:val="auto"/>
      <w:sz w:val="22"/>
      <w:szCs w:val="22"/>
      <w:lang w:val="en-US"/>
    </w:rPr>
  </w:style>
  <w:style w:type="paragraph" w:styleId="ListNumber">
    <w:name w:val="List Number"/>
    <w:basedOn w:val="Normal"/>
    <w:uiPriority w:val="1"/>
    <w:unhideWhenUsed/>
    <w:qFormat/>
    <w:rsid w:val="1FC5E705"/>
    <w:pPr>
      <w:tabs>
        <w:tab w:val="num" w:pos="360"/>
      </w:tabs>
      <w:spacing w:before="60" w:after="60"/>
      <w:ind w:left="360" w:hanging="360"/>
      <w:contextualSpacing/>
      <w:jc w:val="left"/>
    </w:pPr>
    <w:rPr>
      <w:rFonts w:eastAsia="Times New Roman" w:cs="Arial"/>
      <w:color w:val="auto"/>
      <w:sz w:val="22"/>
      <w:szCs w:val="22"/>
      <w:lang w:val="en-US"/>
    </w:rPr>
  </w:style>
  <w:style w:type="paragraph" w:styleId="ListNumber2">
    <w:name w:val="List Number 2"/>
    <w:basedOn w:val="Normal"/>
    <w:uiPriority w:val="20"/>
    <w:unhideWhenUsed/>
    <w:qFormat/>
    <w:rsid w:val="1FC5E705"/>
    <w:pPr>
      <w:tabs>
        <w:tab w:val="num" w:pos="720"/>
      </w:tabs>
      <w:spacing w:before="60" w:after="60"/>
      <w:ind w:left="720" w:hanging="360"/>
      <w:contextualSpacing/>
      <w:jc w:val="left"/>
    </w:pPr>
    <w:rPr>
      <w:rFonts w:eastAsia="Times New Roman" w:cs="Arial"/>
      <w:color w:val="auto"/>
      <w:sz w:val="22"/>
      <w:szCs w:val="22"/>
      <w:lang w:val="en-US"/>
    </w:rPr>
  </w:style>
  <w:style w:type="paragraph" w:styleId="ListNumber3">
    <w:name w:val="List Number 3"/>
    <w:basedOn w:val="Normal"/>
    <w:uiPriority w:val="1"/>
    <w:unhideWhenUsed/>
    <w:rsid w:val="1FC5E705"/>
    <w:pPr>
      <w:tabs>
        <w:tab w:val="num" w:pos="1080"/>
      </w:tabs>
      <w:spacing w:before="60" w:after="60"/>
      <w:ind w:left="1080" w:hanging="360"/>
      <w:contextualSpacing/>
      <w:jc w:val="left"/>
    </w:pPr>
    <w:rPr>
      <w:rFonts w:eastAsia="Times New Roman" w:cs="Arial"/>
      <w:color w:val="auto"/>
      <w:sz w:val="22"/>
      <w:szCs w:val="22"/>
      <w:lang w:val="en-US"/>
    </w:rPr>
  </w:style>
  <w:style w:type="paragraph" w:styleId="ListNumber4">
    <w:name w:val="List Number 4"/>
    <w:basedOn w:val="Normal"/>
    <w:uiPriority w:val="1"/>
    <w:unhideWhenUsed/>
    <w:rsid w:val="1FC5E705"/>
    <w:pPr>
      <w:tabs>
        <w:tab w:val="num" w:pos="1440"/>
      </w:tabs>
      <w:spacing w:before="60" w:after="60"/>
      <w:ind w:left="1440" w:hanging="360"/>
      <w:contextualSpacing/>
      <w:jc w:val="left"/>
    </w:pPr>
    <w:rPr>
      <w:rFonts w:eastAsia="Times New Roman" w:cs="Arial"/>
      <w:color w:val="auto"/>
      <w:sz w:val="22"/>
      <w:szCs w:val="22"/>
      <w:lang w:val="en-US"/>
    </w:rPr>
  </w:style>
  <w:style w:type="paragraph" w:styleId="ListNumber5">
    <w:name w:val="List Number 5"/>
    <w:basedOn w:val="Normal"/>
    <w:uiPriority w:val="99"/>
    <w:semiHidden/>
    <w:unhideWhenUsed/>
    <w:rsid w:val="1FC5E705"/>
    <w:pPr>
      <w:tabs>
        <w:tab w:val="num" w:pos="1800"/>
      </w:tabs>
      <w:spacing w:before="60" w:after="60"/>
      <w:ind w:left="1800" w:hanging="360"/>
      <w:contextualSpacing/>
      <w:jc w:val="left"/>
    </w:pPr>
    <w:rPr>
      <w:rFonts w:eastAsia="Times New Roman" w:cs="Arial"/>
      <w:color w:val="auto"/>
      <w:sz w:val="22"/>
      <w:szCs w:val="22"/>
      <w:lang w:val="en-US"/>
    </w:rPr>
  </w:style>
  <w:style w:type="table" w:styleId="ListTable1Light">
    <w:name w:val="List Table 1 Light"/>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1">
    <w:name w:val="List Table 1 Light Accent 1"/>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2">
    <w:name w:val="List Table 1 Light Accent 2"/>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3">
    <w:name w:val="List Table 1 Light Accent 3"/>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4">
    <w:name w:val="List Table 1 Light Accent 4"/>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5">
    <w:name w:val="List Table 1 Light Accent 5"/>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6">
    <w:name w:val="List Table 1 Light Accent 6"/>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
    <w:name w:val="List Table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1">
    <w:name w:val="List Table 3 Accent 1"/>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3">
    <w:name w:val="List Table 3 Accent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4">
    <w:name w:val="List Table 3 Accent 4"/>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5">
    <w:name w:val="List Table 3 Accent 5"/>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
    <w:name w:val="List Table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1">
    <w:name w:val="List Table 4 Accent 1"/>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2">
    <w:name w:val="List Table 4 Accent 2"/>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3">
    <w:name w:val="List Table 4 Accent 3"/>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4">
    <w:name w:val="List Table 4 Accent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5">
    <w:name w:val="List Table 4 Accent 5"/>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6">
    <w:name w:val="List Table 4 Accent 6"/>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5Dark">
    <w:name w:val="List Table 5 Dark"/>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2828"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1">
    <w:name w:val="List Table 5 Dark Accent 1"/>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6B6"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2">
    <w:name w:val="List Table 5 Dark Accent 2"/>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56E"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3">
    <w:name w:val="List Table 5 Dark Accent 3"/>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4">
    <w:name w:val="List Table 5 Dark Accent 4"/>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5">
    <w:name w:val="List Table 5 Dark Accent 5"/>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6">
    <w:name w:val="List Table 5 Dark Accent 6"/>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
    <w:name w:val="List Table 6 Colorful"/>
    <w:basedOn w:val="TableNormal"/>
    <w:uiPriority w:val="51"/>
    <w:rsid w:val="005A793B"/>
    <w:pPr>
      <w:spacing w:before="60"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5A793B"/>
    <w:pPr>
      <w:spacing w:before="60"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1">
    <w:name w:val="List Table 7 Colorful Accent 1"/>
    <w:basedOn w:val="TableNormal"/>
    <w:uiPriority w:val="52"/>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2">
    <w:name w:val="List Table 7 Colorful Accent 2"/>
    <w:basedOn w:val="TableNormal"/>
    <w:uiPriority w:val="52"/>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3">
    <w:name w:val="List Table 7 Colorful Accent 3"/>
    <w:basedOn w:val="TableNormal"/>
    <w:uiPriority w:val="52"/>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4">
    <w:name w:val="List Table 7 Colorful Accent 4"/>
    <w:basedOn w:val="TableNormal"/>
    <w:uiPriority w:val="52"/>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5">
    <w:name w:val="List Table 7 Colorful Accent 5"/>
    <w:basedOn w:val="TableNormal"/>
    <w:uiPriority w:val="52"/>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6">
    <w:name w:val="List Table 7 Colorful Accent 6"/>
    <w:basedOn w:val="TableNormal"/>
    <w:uiPriority w:val="52"/>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MediumGrid1">
    <w:name w:val="Medium Grid 1"/>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1">
    <w:name w:val="Medium Grid 2 Accent 1"/>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2">
    <w:name w:val="Medium Grid 2 Accent 2"/>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3">
    <w:name w:val="Medium Grid 2 Accent 3"/>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4">
    <w:name w:val="Medium Grid 2 Accent 4"/>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5">
    <w:name w:val="Medium Grid 2 Accent 5"/>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6">
    <w:name w:val="Medium Grid 2 Accent 6"/>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3">
    <w:name w:val="Medium Grid 3"/>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List1">
    <w:name w:val="Medium List 1"/>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2">
    <w:name w:val="Medium List 2"/>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1">
    <w:name w:val="Medium List 2 Accent 1"/>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2">
    <w:name w:val="Medium List 2 Accent 2"/>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3">
    <w:name w:val="Medium List 2 Accent 3"/>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4">
    <w:name w:val="Medium List 2 Accent 4"/>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5">
    <w:name w:val="Medium List 2 Accent 5"/>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6">
    <w:name w:val="Medium List 2 Accent 6"/>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Shading1">
    <w:name w:val="Medium Shading 1"/>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paragraph" w:styleId="NoSpacing">
    <w:name w:val="No Spacing"/>
    <w:uiPriority w:val="1"/>
    <w:unhideWhenUsed/>
    <w:qFormat/>
    <w:rsid w:val="005A793B"/>
    <w:pPr>
      <w:spacing w:after="0" w:line="240" w:lineRule="auto"/>
      <w:jc w:val="left"/>
    </w:pPr>
    <w:rPr>
      <w:rFonts w:eastAsia="Times New Roman" w:cs="Arial"/>
      <w:color w:val="auto"/>
      <w:sz w:val="22"/>
      <w:szCs w:val="22"/>
      <w:lang w:val="en-US"/>
    </w:rPr>
  </w:style>
  <w:style w:type="paragraph" w:styleId="NormalWeb">
    <w:name w:val="Normal (Web)"/>
    <w:basedOn w:val="Normal"/>
    <w:uiPriority w:val="99"/>
    <w:unhideWhenUsed/>
    <w:rsid w:val="1FC5E705"/>
    <w:pPr>
      <w:spacing w:before="60" w:after="60"/>
      <w:jc w:val="left"/>
    </w:pPr>
    <w:rPr>
      <w:rFonts w:eastAsia="Times New Roman"/>
      <w:color w:val="auto"/>
      <w:lang w:val="en-US"/>
    </w:rPr>
  </w:style>
  <w:style w:type="paragraph" w:styleId="NormalIndent">
    <w:name w:val="Normal Indent"/>
    <w:basedOn w:val="Normal"/>
    <w:uiPriority w:val="99"/>
    <w:semiHidden/>
    <w:unhideWhenUsed/>
    <w:rsid w:val="1FC5E705"/>
    <w:pPr>
      <w:spacing w:before="60" w:after="60"/>
      <w:ind w:left="720"/>
      <w:jc w:val="left"/>
    </w:pPr>
    <w:rPr>
      <w:rFonts w:eastAsia="Times New Roman" w:cs="Arial"/>
      <w:color w:val="auto"/>
      <w:sz w:val="22"/>
      <w:szCs w:val="22"/>
      <w:lang w:val="en-US"/>
    </w:rPr>
  </w:style>
  <w:style w:type="paragraph" w:styleId="NoteHeading">
    <w:name w:val="Note Heading"/>
    <w:basedOn w:val="Normal"/>
    <w:next w:val="Normal"/>
    <w:link w:val="NoteHeadingChar"/>
    <w:uiPriority w:val="99"/>
    <w:semiHidden/>
    <w:unhideWhenUsed/>
    <w:rsid w:val="1FC5E705"/>
    <w:pPr>
      <w:spacing w:after="0"/>
      <w:jc w:val="left"/>
    </w:pPr>
    <w:rPr>
      <w:rFonts w:eastAsia="Times New Roman" w:cs="Arial"/>
      <w:color w:val="auto"/>
      <w:sz w:val="22"/>
      <w:szCs w:val="22"/>
      <w:lang w:val="en-US"/>
    </w:rPr>
  </w:style>
  <w:style w:type="character" w:customStyle="1" w:styleId="NoteHeadingChar">
    <w:name w:val="Note Heading Char"/>
    <w:basedOn w:val="DefaultParagraphFont"/>
    <w:link w:val="NoteHeading"/>
    <w:uiPriority w:val="99"/>
    <w:semiHidden/>
    <w:rsid w:val="005A793B"/>
    <w:rPr>
      <w:rFonts w:ascii="Times New Roman" w:eastAsia="Times New Roman" w:hAnsi="Times New Roman" w:cs="Arial"/>
      <w:color w:val="auto"/>
      <w:sz w:val="22"/>
      <w:szCs w:val="22"/>
      <w:lang w:val="en-US"/>
    </w:rPr>
  </w:style>
  <w:style w:type="character" w:styleId="PageNumber">
    <w:name w:val="page number"/>
    <w:basedOn w:val="DefaultParagraphFont"/>
    <w:uiPriority w:val="99"/>
    <w:semiHidden/>
    <w:unhideWhenUsed/>
    <w:rsid w:val="005A793B"/>
    <w:rPr>
      <w:rFonts w:ascii="Arial" w:hAnsi="Arial" w:cs="Arial"/>
    </w:rPr>
  </w:style>
  <w:style w:type="table" w:styleId="PlainTable1">
    <w:name w:val="Plain Table 1"/>
    <w:basedOn w:val="TableNormal"/>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PlainTable3">
    <w:name w:val="Plain Table 3"/>
    <w:basedOn w:val="TableNormal"/>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paragraph" w:styleId="Signature">
    <w:name w:val="Signature"/>
    <w:basedOn w:val="Normal"/>
    <w:link w:val="SignatureChar"/>
    <w:uiPriority w:val="2"/>
    <w:unhideWhenUsed/>
    <w:rsid w:val="1FC5E705"/>
    <w:pPr>
      <w:spacing w:after="0"/>
      <w:ind w:left="4320"/>
      <w:jc w:val="left"/>
    </w:pPr>
    <w:rPr>
      <w:rFonts w:eastAsia="Times New Roman" w:cs="Arial"/>
      <w:color w:val="auto"/>
      <w:sz w:val="22"/>
      <w:szCs w:val="22"/>
      <w:lang w:val="en-US"/>
    </w:rPr>
  </w:style>
  <w:style w:type="character" w:customStyle="1" w:styleId="SignatureChar">
    <w:name w:val="Signature Char"/>
    <w:basedOn w:val="DefaultParagraphFont"/>
    <w:link w:val="Signature"/>
    <w:uiPriority w:val="2"/>
    <w:rsid w:val="005A793B"/>
    <w:rPr>
      <w:rFonts w:ascii="Times New Roman" w:eastAsia="Times New Roman" w:hAnsi="Times New Roman" w:cs="Arial"/>
      <w:color w:val="auto"/>
      <w:sz w:val="22"/>
      <w:szCs w:val="22"/>
      <w:lang w:val="en-US"/>
    </w:rPr>
  </w:style>
  <w:style w:type="character" w:customStyle="1" w:styleId="SmartHyperlink1">
    <w:name w:val="Smart Hyperlink1"/>
    <w:basedOn w:val="DefaultParagraphFont"/>
    <w:uiPriority w:val="99"/>
    <w:semiHidden/>
    <w:unhideWhenUsed/>
    <w:rsid w:val="005A793B"/>
    <w:rPr>
      <w:rFonts w:ascii="Arial" w:hAnsi="Arial" w:cs="Arial"/>
      <w:u w:val="dotted"/>
    </w:rPr>
  </w:style>
  <w:style w:type="character" w:styleId="SubtleEmphasis">
    <w:name w:val="Subtle Emphasis"/>
    <w:basedOn w:val="DefaultParagraphFont"/>
    <w:uiPriority w:val="19"/>
    <w:unhideWhenUsed/>
    <w:qFormat/>
    <w:rsid w:val="005A793B"/>
    <w:rPr>
      <w:rFonts w:ascii="Arial" w:hAnsi="Arial" w:cs="Arial"/>
      <w:i/>
      <w:iCs/>
      <w:color w:val="576161" w:themeColor="text1" w:themeTint="BF"/>
    </w:rPr>
  </w:style>
  <w:style w:type="character" w:styleId="SubtleReference">
    <w:name w:val="Subtle Reference"/>
    <w:basedOn w:val="DefaultParagraphFont"/>
    <w:uiPriority w:val="31"/>
    <w:unhideWhenUsed/>
    <w:qFormat/>
    <w:rsid w:val="005A793B"/>
    <w:rPr>
      <w:rFonts w:ascii="Arial" w:hAnsi="Arial" w:cs="Arial"/>
      <w:smallCaps/>
      <w:color w:val="6C7878" w:themeColor="text1" w:themeTint="A5"/>
    </w:rPr>
  </w:style>
  <w:style w:type="table" w:styleId="Table3Deffects1">
    <w:name w:val="Table 3D effects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swCell">
      <w:rPr>
        <w:b/>
        <w:bCs/>
      </w:rPr>
    </w:tblStylePr>
  </w:style>
  <w:style w:type="table" w:styleId="Table3Deffects3">
    <w:name w:val="Table 3D effects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semiHidden/>
    <w:unhideWhenUsed/>
    <w:rsid w:val="005A793B"/>
    <w:pPr>
      <w:spacing w:before="60" w:after="60" w:line="276" w:lineRule="auto"/>
      <w:jc w:val="left"/>
    </w:pPr>
    <w:rPr>
      <w:rFonts w:asciiTheme="minorHAnsi" w:eastAsia="Times New Roman" w:hAnsiTheme="minorHAnsi" w:cs="Times New Roman"/>
      <w:color w:val="000080"/>
      <w:sz w:val="22"/>
      <w:szCs w:val="22"/>
      <w:lang w:val="en-US"/>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unhideWhenUsed/>
    <w:rsid w:val="005A793B"/>
    <w:pPr>
      <w:spacing w:before="60" w:after="60" w:line="276" w:lineRule="auto"/>
      <w:jc w:val="left"/>
    </w:pPr>
    <w:rPr>
      <w:rFonts w:asciiTheme="minorHAnsi" w:eastAsia="Times New Roman" w:hAnsiTheme="minorHAnsi" w:cs="Times New Roman"/>
      <w:color w:val="FFFFFF"/>
      <w:sz w:val="22"/>
      <w:szCs w:val="22"/>
      <w:lang w:val="en-US"/>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wCell">
      <w:rPr>
        <w:b/>
        <w:bCs/>
        <w:color w:val="FFFFFF"/>
      </w:rPr>
    </w:tblStylePr>
  </w:style>
  <w:style w:type="table" w:styleId="TableColumns1">
    <w:name w:val="Table Columns 1"/>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aps/>
        <w:color w:val="auto"/>
      </w:rPr>
    </w:tblStylePr>
  </w:style>
  <w:style w:type="table" w:styleId="TableGrid2">
    <w:name w:val="Table Grid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styleId="TableGrid4">
    <w:name w:val="Table Grid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styleId="TableGrid6">
    <w:name w:val="Table Grid 6"/>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000080"/>
      </w:rPr>
    </w:tblStylePr>
    <w:tblStylePr w:type="swCell">
      <w:rPr>
        <w:i/>
        <w:iCs/>
        <w:color w:val="000080"/>
      </w:rPr>
    </w:tblStylePr>
  </w:style>
  <w:style w:type="table" w:styleId="TableList4">
    <w:name w:val="Table List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styleId="TableList5">
    <w:name w:val="Table List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styleId="TableList6">
    <w:name w:val="Table List 6"/>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styleId="TableList7">
    <w:name w:val="Table List 7"/>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style>
  <w:style w:type="table" w:styleId="TableSimple1">
    <w:name w:val="Table Simple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style>
  <w:style w:type="table" w:styleId="TableSimple2">
    <w:name w:val="Table Simple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styleId="TableSubtle1">
    <w:name w:val="Table Subtle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eCell">
      <w:rPr>
        <w:b/>
        <w:bCs/>
      </w:rPr>
    </w:tblStylePr>
    <w:tblStylePr w:type="swCell">
      <w:rPr>
        <w:b/>
        <w:bCs/>
      </w:rPr>
    </w:tblStylePr>
  </w:style>
  <w:style w:type="table" w:styleId="TableSubtle2">
    <w:name w:val="Table Subtle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eCell">
      <w:rPr>
        <w:b/>
        <w:bCs/>
      </w:rPr>
    </w:tblStylePr>
    <w:tblStylePr w:type="swCell">
      <w:rPr>
        <w:b/>
        <w:bCs/>
      </w:rPr>
    </w:tblStylePr>
  </w:style>
  <w:style w:type="table" w:styleId="TableTheme">
    <w:name w:val="Table Theme"/>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style>
  <w:style w:type="table" w:styleId="TableWeb1">
    <w:name w:val="Table Web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styleId="TableWeb2">
    <w:name w:val="Table Web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styleId="TableWeb3">
    <w:name w:val="Table Web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paragraph" w:styleId="TOC6">
    <w:name w:val="toc 6"/>
    <w:basedOn w:val="Normal"/>
    <w:next w:val="Normal"/>
    <w:uiPriority w:val="39"/>
    <w:unhideWhenUsed/>
    <w:qFormat/>
    <w:rsid w:val="1FC5E705"/>
    <w:pPr>
      <w:spacing w:before="0" w:after="0"/>
      <w:ind w:left="1200"/>
      <w:jc w:val="left"/>
    </w:pPr>
    <w:rPr>
      <w:rFonts w:asciiTheme="minorHAnsi" w:hAnsiTheme="minorHAnsi" w:cstheme="minorBidi"/>
      <w:sz w:val="18"/>
      <w:szCs w:val="18"/>
    </w:rPr>
  </w:style>
  <w:style w:type="paragraph" w:styleId="TOC7">
    <w:name w:val="toc 7"/>
    <w:basedOn w:val="Normal"/>
    <w:next w:val="Normal"/>
    <w:uiPriority w:val="39"/>
    <w:unhideWhenUsed/>
    <w:qFormat/>
    <w:rsid w:val="1FC5E705"/>
    <w:pPr>
      <w:spacing w:before="0" w:after="0"/>
      <w:ind w:left="1440"/>
      <w:jc w:val="left"/>
    </w:pPr>
    <w:rPr>
      <w:rFonts w:asciiTheme="minorHAnsi" w:hAnsiTheme="minorHAnsi" w:cstheme="minorBidi"/>
      <w:sz w:val="18"/>
      <w:szCs w:val="18"/>
    </w:rPr>
  </w:style>
  <w:style w:type="paragraph" w:styleId="TOC8">
    <w:name w:val="toc 8"/>
    <w:basedOn w:val="Normal"/>
    <w:next w:val="Normal"/>
    <w:uiPriority w:val="39"/>
    <w:unhideWhenUsed/>
    <w:qFormat/>
    <w:rsid w:val="1FC5E705"/>
    <w:pPr>
      <w:spacing w:before="0" w:after="0"/>
      <w:ind w:left="1680"/>
      <w:jc w:val="left"/>
    </w:pPr>
    <w:rPr>
      <w:rFonts w:asciiTheme="minorHAnsi" w:hAnsiTheme="minorHAnsi" w:cstheme="minorBidi"/>
      <w:sz w:val="18"/>
      <w:szCs w:val="18"/>
    </w:rPr>
  </w:style>
  <w:style w:type="paragraph" w:styleId="TOC9">
    <w:name w:val="toc 9"/>
    <w:basedOn w:val="Normal"/>
    <w:next w:val="Normal"/>
    <w:uiPriority w:val="39"/>
    <w:unhideWhenUsed/>
    <w:rsid w:val="1FC5E705"/>
    <w:pPr>
      <w:spacing w:before="0" w:after="0"/>
      <w:ind w:left="1920"/>
      <w:jc w:val="left"/>
    </w:pPr>
    <w:rPr>
      <w:rFonts w:asciiTheme="minorHAnsi" w:hAnsiTheme="minorHAnsi" w:cstheme="minorBidi"/>
      <w:sz w:val="18"/>
      <w:szCs w:val="18"/>
    </w:rPr>
  </w:style>
  <w:style w:type="numbering" w:styleId="111111">
    <w:name w:val="Outline List 2"/>
    <w:basedOn w:val="NoList"/>
    <w:semiHidden/>
    <w:unhideWhenUsed/>
    <w:rsid w:val="00B24415"/>
    <w:pPr>
      <w:numPr>
        <w:numId w:val="7"/>
      </w:numPr>
    </w:pPr>
  </w:style>
  <w:style w:type="numbering" w:styleId="1ai">
    <w:name w:val="Outline List 1"/>
    <w:basedOn w:val="NoList"/>
    <w:semiHidden/>
    <w:unhideWhenUsed/>
    <w:rsid w:val="00B24415"/>
    <w:pPr>
      <w:numPr>
        <w:numId w:val="6"/>
      </w:numPr>
    </w:pPr>
  </w:style>
  <w:style w:type="numbering" w:styleId="ArticleSection">
    <w:name w:val="Outline List 3"/>
    <w:basedOn w:val="NoList"/>
    <w:semiHidden/>
    <w:unhideWhenUsed/>
    <w:rsid w:val="00B24415"/>
    <w:pPr>
      <w:numPr>
        <w:numId w:val="3"/>
      </w:numPr>
    </w:pPr>
  </w:style>
  <w:style w:type="paragraph" w:customStyle="1" w:styleId="msonormal0">
    <w:name w:val="msonormal"/>
    <w:basedOn w:val="Normal"/>
    <w:uiPriority w:val="1"/>
    <w:rsid w:val="1FC5E705"/>
    <w:pPr>
      <w:spacing w:beforeAutospacing="1" w:afterAutospacing="1"/>
      <w:jc w:val="left"/>
    </w:pPr>
    <w:rPr>
      <w:rFonts w:eastAsia="Times New Roman"/>
      <w:color w:val="auto"/>
      <w:lang w:eastAsia="en-GB"/>
    </w:rPr>
  </w:style>
  <w:style w:type="paragraph" w:customStyle="1" w:styleId="xl66">
    <w:name w:val="xl66"/>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67">
    <w:name w:val="xl67"/>
    <w:basedOn w:val="Normal"/>
    <w:uiPriority w:val="1"/>
    <w:rsid w:val="1FC5E705"/>
    <w:pPr>
      <w:spacing w:beforeAutospacing="1" w:afterAutospacing="1"/>
      <w:jc w:val="center"/>
    </w:pPr>
    <w:rPr>
      <w:rFonts w:eastAsia="Times New Roman"/>
      <w:b/>
      <w:bCs/>
      <w:color w:val="auto"/>
      <w:lang w:eastAsia="en-GB"/>
    </w:rPr>
  </w:style>
  <w:style w:type="paragraph" w:customStyle="1" w:styleId="xl69">
    <w:name w:val="xl69"/>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b/>
      <w:bCs/>
      <w:color w:val="auto"/>
      <w:lang w:eastAsia="en-GB"/>
    </w:rPr>
  </w:style>
  <w:style w:type="paragraph" w:customStyle="1" w:styleId="xl70">
    <w:name w:val="xl70"/>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b/>
      <w:bCs/>
      <w:color w:val="auto"/>
      <w:lang w:eastAsia="en-GB"/>
    </w:rPr>
  </w:style>
  <w:style w:type="paragraph" w:customStyle="1" w:styleId="xl71">
    <w:name w:val="xl71"/>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b/>
      <w:bCs/>
      <w:color w:val="auto"/>
      <w:lang w:eastAsia="en-GB"/>
    </w:rPr>
  </w:style>
  <w:style w:type="paragraph" w:customStyle="1" w:styleId="xl72">
    <w:name w:val="xl72"/>
    <w:basedOn w:val="Normal"/>
    <w:uiPriority w:val="1"/>
    <w:rsid w:val="1FC5E705"/>
    <w:pPr>
      <w:pBdr>
        <w:top w:val="single" w:sz="4" w:space="0" w:color="auto"/>
        <w:left w:val="single" w:sz="4" w:space="0" w:color="auto"/>
        <w:right w:val="single" w:sz="4" w:space="0" w:color="auto"/>
      </w:pBdr>
      <w:spacing w:beforeAutospacing="1" w:afterAutospacing="1"/>
      <w:jc w:val="center"/>
    </w:pPr>
    <w:rPr>
      <w:rFonts w:eastAsia="Times New Roman"/>
      <w:b/>
      <w:bCs/>
      <w:color w:val="auto"/>
      <w:lang w:eastAsia="en-GB"/>
    </w:rPr>
  </w:style>
  <w:style w:type="paragraph" w:customStyle="1" w:styleId="xl73">
    <w:name w:val="xl73"/>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74">
    <w:name w:val="xl74"/>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center"/>
    </w:pPr>
    <w:rPr>
      <w:rFonts w:eastAsia="Times New Roman"/>
      <w:b/>
      <w:bCs/>
      <w:color w:val="auto"/>
      <w:lang w:eastAsia="en-GB"/>
    </w:rPr>
  </w:style>
  <w:style w:type="paragraph" w:customStyle="1" w:styleId="xl75">
    <w:name w:val="xl75"/>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76">
    <w:name w:val="xl76"/>
    <w:basedOn w:val="Normal"/>
    <w:uiPriority w:val="1"/>
    <w:rsid w:val="1FC5E705"/>
    <w:pPr>
      <w:pBdr>
        <w:left w:val="single" w:sz="4" w:space="0" w:color="auto"/>
        <w:right w:val="single" w:sz="4" w:space="0" w:color="auto"/>
      </w:pBdr>
      <w:spacing w:beforeAutospacing="1" w:afterAutospacing="1"/>
      <w:jc w:val="center"/>
    </w:pPr>
    <w:rPr>
      <w:rFonts w:eastAsia="Times New Roman"/>
      <w:b/>
      <w:bCs/>
      <w:color w:val="auto"/>
      <w:lang w:eastAsia="en-GB"/>
    </w:rPr>
  </w:style>
  <w:style w:type="paragraph" w:customStyle="1" w:styleId="xl77">
    <w:name w:val="xl77"/>
    <w:basedOn w:val="Normal"/>
    <w:uiPriority w:val="1"/>
    <w:rsid w:val="1FC5E705"/>
    <w:pPr>
      <w:pBdr>
        <w:left w:val="single" w:sz="4" w:space="0" w:color="auto"/>
        <w:bottom w:val="single" w:sz="4" w:space="0" w:color="auto"/>
        <w:right w:val="single" w:sz="4" w:space="0" w:color="auto"/>
      </w:pBdr>
      <w:spacing w:beforeAutospacing="1" w:afterAutospacing="1"/>
      <w:jc w:val="center"/>
    </w:pPr>
    <w:rPr>
      <w:rFonts w:eastAsia="Times New Roman"/>
      <w:b/>
      <w:bCs/>
      <w:color w:val="auto"/>
      <w:lang w:eastAsia="en-GB"/>
    </w:rPr>
  </w:style>
  <w:style w:type="paragraph" w:customStyle="1" w:styleId="xl78">
    <w:name w:val="xl78"/>
    <w:basedOn w:val="Normal"/>
    <w:uiPriority w:val="1"/>
    <w:rsid w:val="1FC5E705"/>
    <w:pPr>
      <w:pBdr>
        <w:top w:val="single" w:sz="4" w:space="0" w:color="auto"/>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79">
    <w:name w:val="xl79"/>
    <w:basedOn w:val="Normal"/>
    <w:uiPriority w:val="1"/>
    <w:rsid w:val="1FC5E705"/>
    <w:pPr>
      <w:spacing w:beforeAutospacing="1" w:afterAutospacing="1"/>
      <w:jc w:val="left"/>
    </w:pPr>
    <w:rPr>
      <w:rFonts w:eastAsia="Times New Roman"/>
      <w:color w:val="000000"/>
      <w:lang w:eastAsia="en-GB"/>
    </w:rPr>
  </w:style>
  <w:style w:type="paragraph" w:customStyle="1" w:styleId="xl80">
    <w:name w:val="xl80"/>
    <w:basedOn w:val="Normal"/>
    <w:uiPriority w:val="1"/>
    <w:rsid w:val="1FC5E705"/>
    <w:pPr>
      <w:pBdr>
        <w:top w:val="single" w:sz="4" w:space="0" w:color="auto"/>
        <w:left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81">
    <w:name w:val="xl81"/>
    <w:basedOn w:val="Normal"/>
    <w:uiPriority w:val="1"/>
    <w:rsid w:val="1FC5E705"/>
    <w:pPr>
      <w:pBdr>
        <w:top w:val="single" w:sz="4" w:space="0" w:color="auto"/>
        <w:left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82">
    <w:name w:val="xl82"/>
    <w:basedOn w:val="Normal"/>
    <w:uiPriority w:val="1"/>
    <w:rsid w:val="1FC5E705"/>
    <w:pPr>
      <w:pBdr>
        <w:left w:val="single" w:sz="4" w:space="0" w:color="auto"/>
      </w:pBdr>
      <w:spacing w:beforeAutospacing="1" w:afterAutospacing="1"/>
      <w:jc w:val="center"/>
    </w:pPr>
    <w:rPr>
      <w:rFonts w:eastAsia="Times New Roman"/>
      <w:b/>
      <w:bCs/>
      <w:color w:val="auto"/>
      <w:lang w:eastAsia="en-GB"/>
    </w:rPr>
  </w:style>
  <w:style w:type="paragraph" w:customStyle="1" w:styleId="xl83">
    <w:name w:val="xl83"/>
    <w:basedOn w:val="Normal"/>
    <w:uiPriority w:val="1"/>
    <w:rsid w:val="1FC5E705"/>
    <w:pPr>
      <w:pBdr>
        <w:left w:val="single" w:sz="4" w:space="0" w:color="auto"/>
        <w:bottom w:val="single" w:sz="4" w:space="0" w:color="auto"/>
      </w:pBdr>
      <w:spacing w:beforeAutospacing="1" w:afterAutospacing="1"/>
      <w:jc w:val="center"/>
    </w:pPr>
    <w:rPr>
      <w:rFonts w:eastAsia="Times New Roman"/>
      <w:b/>
      <w:bCs/>
      <w:color w:val="auto"/>
      <w:lang w:eastAsia="en-GB"/>
    </w:rPr>
  </w:style>
  <w:style w:type="paragraph" w:customStyle="1" w:styleId="xl84">
    <w:name w:val="xl84"/>
    <w:basedOn w:val="Normal"/>
    <w:uiPriority w:val="1"/>
    <w:rsid w:val="1FC5E705"/>
    <w:pPr>
      <w:pBdr>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paragraph" w:customStyle="1" w:styleId="xl85">
    <w:name w:val="xl85"/>
    <w:basedOn w:val="Normal"/>
    <w:uiPriority w:val="1"/>
    <w:rsid w:val="1FC5E705"/>
    <w:pPr>
      <w:pBdr>
        <w:left w:val="single" w:sz="4" w:space="0" w:color="auto"/>
        <w:bottom w:val="single" w:sz="4" w:space="0" w:color="auto"/>
        <w:right w:val="single" w:sz="4" w:space="0" w:color="auto"/>
      </w:pBdr>
      <w:spacing w:beforeAutospacing="1" w:afterAutospacing="1"/>
      <w:jc w:val="left"/>
    </w:pPr>
    <w:rPr>
      <w:rFonts w:eastAsia="Times New Roman"/>
      <w:color w:val="auto"/>
      <w:lang w:eastAsia="en-GB"/>
    </w:rPr>
  </w:style>
  <w:style w:type="numbering" w:customStyle="1" w:styleId="adeListeBulletseinfach">
    <w:name w:val="ade_Liste_Bullets_einfach"/>
    <w:basedOn w:val="NoList"/>
    <w:uiPriority w:val="99"/>
    <w:rsid w:val="00C00B50"/>
    <w:pPr>
      <w:numPr>
        <w:numId w:val="5"/>
      </w:numPr>
    </w:pPr>
  </w:style>
  <w:style w:type="numbering" w:customStyle="1" w:styleId="adeListeNumeinfach">
    <w:name w:val="ade_Liste_Num_einfach"/>
    <w:basedOn w:val="NoList"/>
    <w:uiPriority w:val="99"/>
    <w:rsid w:val="00C00B50"/>
    <w:pPr>
      <w:numPr>
        <w:numId w:val="4"/>
      </w:numPr>
    </w:pPr>
  </w:style>
  <w:style w:type="table" w:customStyle="1" w:styleId="adeTab01sw">
    <w:name w:val="ade_Tab_01_sw"/>
    <w:basedOn w:val="TableNormal"/>
    <w:uiPriority w:val="99"/>
    <w:rsid w:val="00C00B50"/>
    <w:pPr>
      <w:spacing w:before="60" w:after="60" w:line="240" w:lineRule="auto"/>
      <w:jc w:val="left"/>
    </w:pPr>
    <w:rPr>
      <w:rFonts w:asciiTheme="majorHAnsi" w:hAnsiTheme="majorHAnsi"/>
      <w:color w:val="auto"/>
      <w:lang w:val="de-DE"/>
    </w:rPr>
    <w:tblPr>
      <w:tblStyleRowBandSize w:val="1"/>
      <w:tblStyleColBandSize w:val="1"/>
    </w:tblPr>
    <w:tcPr>
      <w:shd w:val="clear" w:color="auto" w:fill="auto"/>
    </w:tcPr>
    <w:tblStylePr w:type="firstRow">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8" w:space="0" w:color="auto"/>
          <w:insideV w:val="single" w:sz="4" w:space="0" w:color="auto"/>
          <w:tl2br w:val="nil"/>
          <w:tr2bl w:val="nil"/>
        </w:tcBorders>
        <w:shd w:val="clear" w:color="auto" w:fill="auto"/>
      </w:tcPr>
    </w:tblStylePr>
    <w:tblStylePr w:type="lastRow">
      <w:rPr>
        <w:rFonts w:asciiTheme="majorHAnsi" w:hAnsiTheme="majorHAnsi"/>
        <w:b/>
        <w:color w:val="auto"/>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uto"/>
      </w:tcPr>
    </w:tblStylePr>
    <w:tblStylePr w:type="firstCol">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lastCol">
      <w:rPr>
        <w:b/>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nwCel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eCell">
      <w:rPr>
        <w:b/>
      </w:rPr>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wCell">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style>
  <w:style w:type="paragraph" w:customStyle="1" w:styleId="adeBullet1">
    <w:name w:val="ade_Bullet_1"/>
    <w:basedOn w:val="Normal"/>
    <w:uiPriority w:val="19"/>
    <w:qFormat/>
    <w:rsid w:val="1FC5E705"/>
    <w:pPr>
      <w:tabs>
        <w:tab w:val="num" w:pos="284"/>
      </w:tabs>
      <w:spacing w:after="0"/>
      <w:ind w:left="284" w:hanging="284"/>
      <w:jc w:val="left"/>
    </w:pPr>
    <w:rPr>
      <w:rFonts w:asciiTheme="minorHAnsi" w:hAnsiTheme="minorHAnsi"/>
      <w:color w:val="auto"/>
    </w:rPr>
  </w:style>
  <w:style w:type="paragraph" w:customStyle="1" w:styleId="adeBullet2">
    <w:name w:val="ade_Bullet_2"/>
    <w:basedOn w:val="adeBullet1"/>
    <w:uiPriority w:val="19"/>
    <w:qFormat/>
    <w:rsid w:val="00A43A5F"/>
    <w:pPr>
      <w:tabs>
        <w:tab w:val="clear" w:pos="284"/>
      </w:tabs>
      <w:ind w:left="1080" w:hanging="360"/>
    </w:pPr>
  </w:style>
  <w:style w:type="paragraph" w:customStyle="1" w:styleId="adeBullet3">
    <w:name w:val="ade_Bullet_3"/>
    <w:basedOn w:val="adeBullet2"/>
    <w:uiPriority w:val="19"/>
    <w:qFormat/>
    <w:rsid w:val="00A43A5F"/>
    <w:pPr>
      <w:ind w:left="1800"/>
    </w:pPr>
  </w:style>
  <w:style w:type="paragraph" w:customStyle="1" w:styleId="adeNum1">
    <w:name w:val="ade_Num_1"/>
    <w:basedOn w:val="Normal"/>
    <w:uiPriority w:val="29"/>
    <w:qFormat/>
    <w:rsid w:val="1FC5E705"/>
    <w:pPr>
      <w:spacing w:after="0"/>
      <w:ind w:left="360" w:hanging="360"/>
      <w:jc w:val="left"/>
    </w:pPr>
    <w:rPr>
      <w:rFonts w:asciiTheme="minorHAnsi" w:hAnsiTheme="minorHAnsi"/>
      <w:color w:val="auto"/>
    </w:rPr>
  </w:style>
  <w:style w:type="paragraph" w:customStyle="1" w:styleId="adeNum2">
    <w:name w:val="ade_Num_2"/>
    <w:basedOn w:val="adeNum1"/>
    <w:uiPriority w:val="29"/>
    <w:qFormat/>
    <w:rsid w:val="00A43A5F"/>
    <w:pPr>
      <w:ind w:left="1080"/>
    </w:pPr>
  </w:style>
  <w:style w:type="paragraph" w:customStyle="1" w:styleId="adeNum3">
    <w:name w:val="ade_Num_3"/>
    <w:basedOn w:val="adeNum2"/>
    <w:uiPriority w:val="29"/>
    <w:semiHidden/>
    <w:unhideWhenUsed/>
    <w:qFormat/>
    <w:rsid w:val="00A43A5F"/>
    <w:pPr>
      <w:ind w:left="1800"/>
    </w:pPr>
  </w:style>
  <w:style w:type="character" w:customStyle="1" w:styleId="title-text">
    <w:name w:val="title-text"/>
    <w:basedOn w:val="DefaultParagraphFont"/>
    <w:rsid w:val="00D64D5C"/>
  </w:style>
  <w:style w:type="numbering" w:customStyle="1" w:styleId="adeListeUeberschriften">
    <w:name w:val="ade_Liste_Ueberschriften"/>
    <w:basedOn w:val="NoList"/>
    <w:uiPriority w:val="99"/>
    <w:rsid w:val="00CF3668"/>
    <w:pPr>
      <w:numPr>
        <w:numId w:val="9"/>
      </w:numPr>
    </w:pPr>
  </w:style>
  <w:style w:type="paragraph" w:customStyle="1" w:styleId="adeStandardohneAbstand">
    <w:name w:val="ade_Standard_ohne_Abstand"/>
    <w:basedOn w:val="Normal"/>
    <w:uiPriority w:val="1"/>
    <w:unhideWhenUsed/>
    <w:qFormat/>
    <w:rsid w:val="1FC5E705"/>
    <w:pPr>
      <w:spacing w:after="0"/>
      <w:jc w:val="left"/>
    </w:pPr>
    <w:rPr>
      <w:rFonts w:asciiTheme="minorHAnsi" w:hAnsiTheme="minorHAnsi"/>
      <w:color w:val="auto"/>
    </w:rPr>
  </w:style>
  <w:style w:type="paragraph" w:customStyle="1" w:styleId="RBodyText">
    <w:name w:val="R Body Text"/>
    <w:link w:val="RBodyTextChar"/>
    <w:uiPriority w:val="3"/>
    <w:qFormat/>
    <w:rsid w:val="00793D00"/>
    <w:pPr>
      <w:spacing w:before="180" w:after="180" w:line="360" w:lineRule="auto"/>
      <w:jc w:val="left"/>
    </w:pPr>
    <w:rPr>
      <w:rFonts w:eastAsia="Times New Roman" w:cs="Arial"/>
      <w:bCs/>
      <w:color w:val="auto"/>
      <w:szCs w:val="32"/>
    </w:rPr>
  </w:style>
  <w:style w:type="character" w:customStyle="1" w:styleId="RBodyTextChar">
    <w:name w:val="R Body Text Char"/>
    <w:basedOn w:val="DefaultParagraphFont"/>
    <w:link w:val="RBodyText"/>
    <w:uiPriority w:val="3"/>
    <w:rsid w:val="00793D00"/>
    <w:rPr>
      <w:rFonts w:eastAsia="Times New Roman" w:cs="Arial"/>
      <w:bCs/>
      <w:color w:val="auto"/>
      <w:szCs w:val="32"/>
    </w:rPr>
  </w:style>
  <w:style w:type="paragraph" w:customStyle="1" w:styleId="adeAbstandSeite1">
    <w:name w:val="_ade_Abstand_Seite_1"/>
    <w:basedOn w:val="Header"/>
    <w:semiHidden/>
    <w:qFormat/>
    <w:rsid w:val="004041E0"/>
    <w:pPr>
      <w:spacing w:before="200" w:after="0" w:line="240" w:lineRule="auto"/>
      <w:jc w:val="left"/>
    </w:pPr>
    <w:rPr>
      <w:rFonts w:asciiTheme="minorHAnsi" w:hAnsiTheme="minorHAnsi"/>
      <w:color w:val="auto"/>
      <w:kern w:val="2"/>
      <w:sz w:val="14"/>
      <w:lang w:val="de-DE"/>
      <w14:ligatures w14:val="standardContextual"/>
    </w:rPr>
  </w:style>
  <w:style w:type="paragraph" w:customStyle="1" w:styleId="adeAdresse">
    <w:name w:val="_ade_Adresse"/>
    <w:basedOn w:val="Normal"/>
    <w:uiPriority w:val="1"/>
    <w:semiHidden/>
    <w:qFormat/>
    <w:rsid w:val="1FC5E705"/>
    <w:pPr>
      <w:spacing w:after="0"/>
      <w:jc w:val="left"/>
    </w:pPr>
    <w:rPr>
      <w:rFonts w:asciiTheme="minorHAnsi" w:hAnsiTheme="minorHAnsi"/>
      <w:color w:val="auto"/>
      <w:lang w:val="de-DE"/>
    </w:rPr>
  </w:style>
  <w:style w:type="paragraph" w:customStyle="1" w:styleId="adeBetreff">
    <w:name w:val="_ade_Betreff"/>
    <w:basedOn w:val="Normal"/>
    <w:uiPriority w:val="1"/>
    <w:semiHidden/>
    <w:qFormat/>
    <w:rsid w:val="1FC5E705"/>
    <w:pPr>
      <w:spacing w:before="200" w:after="600"/>
      <w:jc w:val="left"/>
    </w:pPr>
    <w:rPr>
      <w:rFonts w:asciiTheme="majorHAnsi" w:hAnsiTheme="majorHAnsi"/>
      <w:b/>
      <w:bCs/>
      <w:color w:val="auto"/>
      <w:lang w:val="de-DE"/>
    </w:rPr>
  </w:style>
  <w:style w:type="paragraph" w:customStyle="1" w:styleId="adeDokumenttyp">
    <w:name w:val="_ade_Dokumenttyp"/>
    <w:basedOn w:val="Normal"/>
    <w:uiPriority w:val="1"/>
    <w:semiHidden/>
    <w:qFormat/>
    <w:rsid w:val="1FC5E705"/>
    <w:pPr>
      <w:spacing w:before="200" w:after="200"/>
      <w:jc w:val="left"/>
    </w:pPr>
    <w:rPr>
      <w:rFonts w:asciiTheme="minorHAnsi" w:hAnsiTheme="minorHAnsi"/>
      <w:color w:val="auto"/>
      <w:sz w:val="32"/>
      <w:szCs w:val="32"/>
      <w:lang w:val="de-DE"/>
    </w:rPr>
  </w:style>
  <w:style w:type="paragraph" w:customStyle="1" w:styleId="adeFuzeileS1">
    <w:name w:val="_ade_Fußzeile_S1"/>
    <w:basedOn w:val="Footer"/>
    <w:semiHidden/>
    <w:qFormat/>
    <w:rsid w:val="004041E0"/>
    <w:pPr>
      <w:tabs>
        <w:tab w:val="right" w:pos="9616"/>
      </w:tabs>
      <w:spacing w:before="200" w:after="0" w:line="240" w:lineRule="auto"/>
      <w:ind w:right="567"/>
      <w:jc w:val="left"/>
    </w:pPr>
    <w:rPr>
      <w:rFonts w:asciiTheme="majorHAnsi" w:hAnsiTheme="majorHAnsi"/>
      <w:color w:val="00A6B6" w:themeColor="accent1"/>
      <w:kern w:val="2"/>
      <w:sz w:val="17"/>
      <w:lang w:val="de-DE"/>
      <w14:ligatures w14:val="standardContextual"/>
    </w:rPr>
  </w:style>
  <w:style w:type="paragraph" w:customStyle="1" w:styleId="adeInfoblock">
    <w:name w:val="_ade_Infoblock"/>
    <w:basedOn w:val="Normal"/>
    <w:uiPriority w:val="1"/>
    <w:semiHidden/>
    <w:qFormat/>
    <w:rsid w:val="1FC5E705"/>
    <w:pPr>
      <w:spacing w:after="0"/>
      <w:jc w:val="left"/>
    </w:pPr>
    <w:rPr>
      <w:rFonts w:asciiTheme="minorHAnsi" w:hAnsiTheme="minorHAnsi"/>
      <w:color w:val="auto"/>
      <w:sz w:val="17"/>
      <w:szCs w:val="17"/>
      <w:lang w:val="de-DE"/>
    </w:rPr>
  </w:style>
  <w:style w:type="character" w:customStyle="1" w:styleId="adePfadangabe">
    <w:name w:val="_ade_Pfadangabe"/>
    <w:basedOn w:val="DefaultParagraphFont"/>
    <w:semiHidden/>
    <w:qFormat/>
    <w:rsid w:val="004041E0"/>
    <w:rPr>
      <w:sz w:val="10"/>
    </w:rPr>
  </w:style>
  <w:style w:type="paragraph" w:customStyle="1" w:styleId="adeSenderline">
    <w:name w:val="_ade_Senderline"/>
    <w:basedOn w:val="Normal"/>
    <w:uiPriority w:val="1"/>
    <w:semiHidden/>
    <w:qFormat/>
    <w:rsid w:val="1FC5E705"/>
    <w:pPr>
      <w:spacing w:after="0"/>
      <w:jc w:val="left"/>
    </w:pPr>
    <w:rPr>
      <w:rFonts w:ascii="Segoe UI Semibold" w:hAnsi="Segoe UI Semibold"/>
      <w:color w:val="auto"/>
      <w:sz w:val="14"/>
      <w:szCs w:val="14"/>
      <w:lang w:val="de-DE"/>
    </w:rPr>
  </w:style>
  <w:style w:type="paragraph" w:customStyle="1" w:styleId="adeMinimalabsatz">
    <w:name w:val="ade_Minimalabsatz"/>
    <w:basedOn w:val="Normal"/>
    <w:uiPriority w:val="1"/>
    <w:semiHidden/>
    <w:qFormat/>
    <w:rsid w:val="1FC5E705"/>
    <w:pPr>
      <w:spacing w:after="0"/>
      <w:jc w:val="left"/>
    </w:pPr>
    <w:rPr>
      <w:rFonts w:asciiTheme="minorHAnsi" w:hAnsiTheme="minorHAnsi"/>
      <w:color w:val="00A6B6" w:themeColor="accent1"/>
      <w:sz w:val="2"/>
      <w:szCs w:val="2"/>
      <w:lang w:val="de-DE"/>
    </w:rPr>
  </w:style>
  <w:style w:type="character" w:customStyle="1" w:styleId="adefett">
    <w:name w:val="ade_fett"/>
    <w:basedOn w:val="DefaultParagraphFont"/>
    <w:uiPriority w:val="7"/>
    <w:qFormat/>
    <w:rsid w:val="004041E0"/>
    <w:rPr>
      <w:b/>
    </w:rPr>
  </w:style>
  <w:style w:type="character" w:customStyle="1" w:styleId="adekursiv">
    <w:name w:val="ade_kursiv"/>
    <w:basedOn w:val="DefaultParagraphFont"/>
    <w:uiPriority w:val="7"/>
    <w:qFormat/>
    <w:rsid w:val="004041E0"/>
    <w:rPr>
      <w:i/>
    </w:rPr>
  </w:style>
  <w:style w:type="character" w:customStyle="1" w:styleId="adeunterstrichen">
    <w:name w:val="ade_unterstrichen"/>
    <w:basedOn w:val="DefaultParagraphFont"/>
    <w:uiPriority w:val="7"/>
    <w:qFormat/>
    <w:rsid w:val="004041E0"/>
    <w:rPr>
      <w:u w:val="single"/>
    </w:rPr>
  </w:style>
  <w:style w:type="character" w:customStyle="1" w:styleId="adefettkursiv">
    <w:name w:val="ade_fett_kursiv"/>
    <w:basedOn w:val="DefaultParagraphFont"/>
    <w:uiPriority w:val="8"/>
    <w:semiHidden/>
    <w:unhideWhenUsed/>
    <w:qFormat/>
    <w:rsid w:val="004041E0"/>
    <w:rPr>
      <w:b/>
      <w:i/>
    </w:rPr>
  </w:style>
  <w:style w:type="character" w:customStyle="1" w:styleId="adefettkursivunterstrichen">
    <w:name w:val="ade_fett_kursiv_unterstrichen"/>
    <w:basedOn w:val="DefaultParagraphFont"/>
    <w:uiPriority w:val="8"/>
    <w:semiHidden/>
    <w:unhideWhenUsed/>
    <w:qFormat/>
    <w:rsid w:val="004041E0"/>
    <w:rPr>
      <w:b/>
      <w:i/>
      <w:u w:val="single"/>
    </w:rPr>
  </w:style>
  <w:style w:type="character" w:customStyle="1" w:styleId="adefettunterstrichen">
    <w:name w:val="ade_fett_unterstrichen"/>
    <w:basedOn w:val="DefaultParagraphFont"/>
    <w:uiPriority w:val="8"/>
    <w:semiHidden/>
    <w:unhideWhenUsed/>
    <w:qFormat/>
    <w:rsid w:val="004041E0"/>
    <w:rPr>
      <w:b/>
      <w:u w:val="single"/>
    </w:rPr>
  </w:style>
  <w:style w:type="character" w:customStyle="1" w:styleId="adekursivunterstrichen">
    <w:name w:val="ade_kursiv_unterstrichen"/>
    <w:basedOn w:val="DefaultParagraphFont"/>
    <w:uiPriority w:val="8"/>
    <w:semiHidden/>
    <w:unhideWhenUsed/>
    <w:qFormat/>
    <w:rsid w:val="004041E0"/>
    <w:rPr>
      <w:i/>
      <w:u w:val="single"/>
    </w:rPr>
  </w:style>
  <w:style w:type="table" w:customStyle="1" w:styleId="adeTab024c">
    <w:name w:val="ade_Tab_02_4c"/>
    <w:basedOn w:val="TableNormal"/>
    <w:uiPriority w:val="99"/>
    <w:rsid w:val="004041E0"/>
    <w:pPr>
      <w:spacing w:before="60" w:after="60" w:line="240" w:lineRule="auto"/>
      <w:jc w:val="left"/>
    </w:pPr>
    <w:rPr>
      <w:rFonts w:asciiTheme="majorHAnsi" w:hAnsiTheme="majorHAnsi"/>
      <w:color w:val="auto"/>
      <w:lang w:val="de-DE"/>
    </w:rPr>
    <w:tblPr>
      <w:tblStyleRowBandSize w:val="1"/>
      <w:tblStyleColBandSize w:val="1"/>
    </w:tblPr>
    <w:tcPr>
      <w:tcBorders>
        <w:top w:val="single" w:sz="12" w:space="0" w:color="003CA7" w:themeColor="text2"/>
        <w:left w:val="nil"/>
        <w:bottom w:val="single" w:sz="4" w:space="0" w:color="75A6FF" w:themeColor="text2" w:themeTint="66"/>
        <w:right w:val="single" w:sz="4" w:space="0" w:color="75A6FF" w:themeColor="text2" w:themeTint="66"/>
        <w:insideH w:val="nil"/>
        <w:insideV w:val="nil"/>
        <w:tl2br w:val="nil"/>
        <w:tr2bl w:val="nil"/>
      </w:tcBorders>
      <w:shd w:val="clear" w:color="auto" w:fill="A3AAAE" w:themeFill="background2"/>
    </w:tcPr>
    <w:tblStylePr w:type="firstRow">
      <w:rPr>
        <w:rFonts w:asciiTheme="majorHAnsi" w:hAnsiTheme="majorHAnsi"/>
        <w:b/>
        <w:color w:val="00956E" w:themeColor="accent2"/>
      </w:rPr>
    </w:tblStylePr>
    <w:tblStylePr w:type="lastRow">
      <w:rPr>
        <w:rFonts w:asciiTheme="majorHAnsi" w:hAnsiTheme="majorHAnsi"/>
        <w:b/>
        <w:color w:val="auto"/>
      </w:rPr>
    </w:tblStylePr>
    <w:tblStylePr w:type="firstCol">
      <w:rPr>
        <w:rFonts w:asciiTheme="majorHAnsi" w:hAnsiTheme="majorHAnsi"/>
        <w:b/>
        <w:color w:val="00956E" w:themeColor="accent2"/>
      </w:rPr>
    </w:tblStylePr>
    <w:tblStylePr w:type="lastCol">
      <w:rPr>
        <w:b/>
      </w:rPr>
    </w:tblStylePr>
    <w:tblStylePr w:type="neCell">
      <w:rPr>
        <w:color w:val="00956E" w:themeColor="accent2"/>
      </w:rPr>
      <w:tblPr/>
      <w:tcPr>
        <w:shd w:val="clear" w:color="auto" w:fill="A3AAAE" w:themeFill="background2"/>
      </w:tcPr>
    </w:tblStylePr>
    <w:tblStylePr w:type="nwCell">
      <w:rPr>
        <w:color w:val="00956E" w:themeColor="accent2"/>
      </w:rPr>
      <w:tblPr/>
      <w:tcPr>
        <w:shd w:val="clear" w:color="auto" w:fill="A3AAAE" w:themeFill="background2"/>
      </w:tcPr>
    </w:tblStylePr>
  </w:style>
  <w:style w:type="table" w:customStyle="1" w:styleId="adeTab03Struktur">
    <w:name w:val="ade_Tab_03_Struktur"/>
    <w:basedOn w:val="TableNormal"/>
    <w:uiPriority w:val="99"/>
    <w:rsid w:val="004041E0"/>
    <w:pPr>
      <w:spacing w:before="60" w:after="60" w:line="240" w:lineRule="auto"/>
      <w:jc w:val="left"/>
    </w:pPr>
    <w:rPr>
      <w:rFonts w:asciiTheme="majorHAnsi" w:hAnsiTheme="majorHAnsi"/>
      <w:color w:val="auto"/>
      <w:lang w:val="de-DE"/>
    </w:rPr>
    <w:tblPr/>
  </w:style>
  <w:style w:type="paragraph" w:customStyle="1" w:styleId="adeBildabstand">
    <w:name w:val="ade_Bildabstand"/>
    <w:basedOn w:val="Normal"/>
    <w:next w:val="Caption"/>
    <w:uiPriority w:val="34"/>
    <w:semiHidden/>
    <w:unhideWhenUsed/>
    <w:qFormat/>
    <w:rsid w:val="1FC5E705"/>
    <w:pPr>
      <w:keepNext/>
      <w:spacing w:before="200" w:after="60"/>
      <w:jc w:val="left"/>
    </w:pPr>
    <w:rPr>
      <w:rFonts w:asciiTheme="minorHAnsi" w:hAnsiTheme="minorHAnsi"/>
      <w:color w:val="E97300" w:themeColor="accent4"/>
      <w:lang w:val="de-DE"/>
    </w:rPr>
  </w:style>
  <w:style w:type="paragraph" w:customStyle="1" w:styleId="adeLinks">
    <w:name w:val="ade_Links"/>
    <w:basedOn w:val="Normal"/>
    <w:uiPriority w:val="2"/>
    <w:semiHidden/>
    <w:unhideWhenUsed/>
    <w:qFormat/>
    <w:rsid w:val="1FC5E705"/>
    <w:pPr>
      <w:spacing w:before="200" w:after="200"/>
      <w:jc w:val="left"/>
    </w:pPr>
    <w:rPr>
      <w:rFonts w:asciiTheme="minorHAnsi" w:hAnsiTheme="minorHAnsi"/>
      <w:color w:val="auto"/>
      <w:lang w:val="de-DE"/>
    </w:rPr>
  </w:style>
  <w:style w:type="paragraph" w:customStyle="1" w:styleId="adeZentriert">
    <w:name w:val="ade_Zentriert"/>
    <w:basedOn w:val="Normal"/>
    <w:uiPriority w:val="3"/>
    <w:semiHidden/>
    <w:unhideWhenUsed/>
    <w:qFormat/>
    <w:rsid w:val="1FC5E705"/>
    <w:pPr>
      <w:spacing w:before="200" w:after="200"/>
      <w:jc w:val="center"/>
    </w:pPr>
    <w:rPr>
      <w:rFonts w:asciiTheme="minorHAnsi" w:hAnsiTheme="minorHAnsi"/>
      <w:color w:val="auto"/>
      <w:lang w:val="de-DE"/>
    </w:rPr>
  </w:style>
  <w:style w:type="paragraph" w:customStyle="1" w:styleId="adeRechts">
    <w:name w:val="ade_Rechts"/>
    <w:basedOn w:val="Normal"/>
    <w:uiPriority w:val="4"/>
    <w:semiHidden/>
    <w:unhideWhenUsed/>
    <w:qFormat/>
    <w:rsid w:val="1FC5E705"/>
    <w:pPr>
      <w:spacing w:before="200" w:after="200"/>
      <w:jc w:val="right"/>
    </w:pPr>
    <w:rPr>
      <w:rFonts w:asciiTheme="minorHAnsi" w:hAnsiTheme="minorHAnsi"/>
      <w:color w:val="auto"/>
      <w:lang w:val="de-DE"/>
    </w:rPr>
  </w:style>
  <w:style w:type="paragraph" w:customStyle="1" w:styleId="opBuildingBlock">
    <w:name w:val="_op_BuildingBlock"/>
    <w:basedOn w:val="Normal"/>
    <w:next w:val="Normal"/>
    <w:uiPriority w:val="1"/>
    <w:semiHidden/>
    <w:qFormat/>
    <w:rsid w:val="1FC5E705"/>
    <w:pPr>
      <w:spacing w:before="200" w:after="200"/>
      <w:jc w:val="left"/>
    </w:pPr>
    <w:rPr>
      <w:rFonts w:asciiTheme="majorHAnsi" w:hAnsiTheme="majorHAnsi"/>
      <w:b/>
      <w:bCs/>
      <w:color w:val="7030A0"/>
      <w:lang w:val="de-DE"/>
    </w:rPr>
  </w:style>
  <w:style w:type="paragraph" w:customStyle="1" w:styleId="adeGrusszeile">
    <w:name w:val="_ade_Grusszeile"/>
    <w:basedOn w:val="adeAdresse"/>
    <w:semiHidden/>
    <w:qFormat/>
    <w:rsid w:val="004041E0"/>
    <w:pPr>
      <w:keepNext/>
      <w:spacing w:line="240" w:lineRule="auto"/>
    </w:pPr>
  </w:style>
  <w:style w:type="paragraph" w:customStyle="1" w:styleId="ade02Headline">
    <w:name w:val="ade_02_Headline"/>
    <w:basedOn w:val="Normal"/>
    <w:uiPriority w:val="1"/>
    <w:semiHidden/>
    <w:qFormat/>
    <w:rsid w:val="1FC5E705"/>
    <w:pPr>
      <w:spacing w:after="600"/>
      <w:jc w:val="left"/>
    </w:pPr>
    <w:rPr>
      <w:rFonts w:ascii="Cambria" w:hAnsi="Cambria"/>
      <w:color w:val="FFFFFF" w:themeColor="background1"/>
      <w:sz w:val="48"/>
      <w:szCs w:val="48"/>
      <w:lang w:val="de-DE"/>
    </w:rPr>
  </w:style>
  <w:style w:type="paragraph" w:customStyle="1" w:styleId="ade03Autorennamen">
    <w:name w:val="ade_03_Autorennamen"/>
    <w:basedOn w:val="Normal"/>
    <w:uiPriority w:val="1"/>
    <w:semiHidden/>
    <w:qFormat/>
    <w:rsid w:val="1FC5E705"/>
    <w:pPr>
      <w:spacing w:after="0"/>
      <w:jc w:val="left"/>
    </w:pPr>
    <w:rPr>
      <w:rFonts w:asciiTheme="majorHAnsi" w:hAnsiTheme="majorHAnsi"/>
      <w:color w:val="FFFFFF" w:themeColor="background1"/>
      <w:lang w:val="de-DE"/>
    </w:rPr>
  </w:style>
  <w:style w:type="paragraph" w:customStyle="1" w:styleId="adeZwischentitel10pt">
    <w:name w:val="ade_Zwischentitel_10_pt"/>
    <w:basedOn w:val="Normal"/>
    <w:next w:val="Normal"/>
    <w:uiPriority w:val="1"/>
    <w:semiHidden/>
    <w:unhideWhenUsed/>
    <w:qFormat/>
    <w:rsid w:val="1FC5E705"/>
    <w:pPr>
      <w:spacing w:before="200" w:after="0"/>
      <w:jc w:val="left"/>
    </w:pPr>
    <w:rPr>
      <w:rFonts w:asciiTheme="majorHAnsi" w:hAnsiTheme="majorHAnsi"/>
      <w:b/>
      <w:bCs/>
      <w:color w:val="E97300" w:themeColor="accent4"/>
      <w:lang w:val="de-DE"/>
    </w:rPr>
  </w:style>
  <w:style w:type="paragraph" w:customStyle="1" w:styleId="adeZwischentitel12pt">
    <w:name w:val="ade_Zwischentitel_12_pt"/>
    <w:basedOn w:val="adeZwischentitel10pt"/>
    <w:next w:val="Normal"/>
    <w:semiHidden/>
    <w:unhideWhenUsed/>
    <w:qFormat/>
    <w:rsid w:val="004041E0"/>
  </w:style>
  <w:style w:type="paragraph" w:customStyle="1" w:styleId="adeZwischentitel22pt">
    <w:name w:val="ade_Zwischentitel_22_pt"/>
    <w:basedOn w:val="adeZwischentitel12pt"/>
    <w:next w:val="Normal"/>
    <w:semiHidden/>
    <w:unhideWhenUsed/>
    <w:qFormat/>
    <w:rsid w:val="004041E0"/>
    <w:pPr>
      <w:spacing w:before="0" w:after="960"/>
    </w:pPr>
    <w:rPr>
      <w:sz w:val="44"/>
    </w:rPr>
  </w:style>
  <w:style w:type="paragraph" w:customStyle="1" w:styleId="adePubTitel">
    <w:name w:val="ade_Pub_Titel"/>
    <w:basedOn w:val="Normal"/>
    <w:uiPriority w:val="1"/>
    <w:semiHidden/>
    <w:unhideWhenUsed/>
    <w:qFormat/>
    <w:rsid w:val="1FC5E705"/>
    <w:pPr>
      <w:spacing w:before="200" w:after="200"/>
      <w:jc w:val="left"/>
    </w:pPr>
    <w:rPr>
      <w:rFonts w:asciiTheme="minorHAnsi" w:hAnsiTheme="minorHAnsi"/>
      <w:color w:val="auto"/>
      <w:sz w:val="48"/>
      <w:szCs w:val="48"/>
      <w:lang w:val="de-DE"/>
    </w:rPr>
  </w:style>
  <w:style w:type="paragraph" w:customStyle="1" w:styleId="adeBesondererHinweis">
    <w:name w:val="ade_Besonderer_Hinweis"/>
    <w:basedOn w:val="Normal"/>
    <w:uiPriority w:val="1"/>
    <w:semiHidden/>
    <w:unhideWhenUsed/>
    <w:qFormat/>
    <w:rsid w:val="1FC5E705"/>
    <w:pPr>
      <w:spacing w:before="200" w:after="0"/>
      <w:jc w:val="left"/>
    </w:pPr>
    <w:rPr>
      <w:rFonts w:ascii="Segoe UI Semibold" w:hAnsi="Segoe UI Semibold"/>
      <w:caps/>
      <w:color w:val="E97300" w:themeColor="accent4"/>
      <w:u w:val="single"/>
      <w:lang w:val="de-DE"/>
    </w:rPr>
  </w:style>
  <w:style w:type="paragraph" w:customStyle="1" w:styleId="adeZitat">
    <w:name w:val="ade_Zitat"/>
    <w:basedOn w:val="Normal"/>
    <w:uiPriority w:val="1"/>
    <w:semiHidden/>
    <w:unhideWhenUsed/>
    <w:qFormat/>
    <w:rsid w:val="1FC5E705"/>
    <w:pPr>
      <w:spacing w:before="200" w:after="200"/>
      <w:ind w:left="284"/>
      <w:jc w:val="left"/>
    </w:pPr>
    <w:rPr>
      <w:rFonts w:asciiTheme="minorHAnsi" w:hAnsiTheme="minorHAnsi"/>
      <w:i/>
      <w:iCs/>
      <w:color w:val="00A6B6" w:themeColor="accent1"/>
      <w:sz w:val="22"/>
      <w:szCs w:val="22"/>
      <w:lang w:val="de-DE"/>
    </w:rPr>
  </w:style>
  <w:style w:type="paragraph" w:customStyle="1" w:styleId="adeIntrotext">
    <w:name w:val="ade_Introtext"/>
    <w:basedOn w:val="Normal"/>
    <w:uiPriority w:val="1"/>
    <w:semiHidden/>
    <w:unhideWhenUsed/>
    <w:qFormat/>
    <w:rsid w:val="1FC5E705"/>
    <w:pPr>
      <w:spacing w:before="200" w:after="200"/>
      <w:jc w:val="left"/>
    </w:pPr>
    <w:rPr>
      <w:rFonts w:ascii="Segoe UI Semibold" w:hAnsi="Segoe UI Semibold"/>
      <w:color w:val="00A6B6" w:themeColor="accent1"/>
      <w:lang w:val="de-DE"/>
    </w:rPr>
  </w:style>
  <w:style w:type="paragraph" w:customStyle="1" w:styleId="adeTextboxberschrift">
    <w:name w:val="ade_Textbox_Überschrift"/>
    <w:basedOn w:val="Normal"/>
    <w:uiPriority w:val="1"/>
    <w:semiHidden/>
    <w:unhideWhenUsed/>
    <w:qFormat/>
    <w:rsid w:val="1FC5E705"/>
    <w:pPr>
      <w:spacing w:after="0"/>
      <w:jc w:val="left"/>
    </w:pPr>
    <w:rPr>
      <w:rFonts w:asciiTheme="majorHAnsi" w:hAnsiTheme="majorHAnsi"/>
      <w:b/>
      <w:bCs/>
      <w:caps/>
      <w:color w:val="00A6B6" w:themeColor="accent1"/>
      <w:sz w:val="18"/>
      <w:szCs w:val="18"/>
      <w:lang w:val="de-DE"/>
    </w:rPr>
  </w:style>
  <w:style w:type="paragraph" w:customStyle="1" w:styleId="adeAbkVerzeichnis">
    <w:name w:val="ade_AbkVerzeichnis"/>
    <w:basedOn w:val="Normal"/>
    <w:uiPriority w:val="1"/>
    <w:semiHidden/>
    <w:qFormat/>
    <w:rsid w:val="1FC5E705"/>
    <w:pPr>
      <w:tabs>
        <w:tab w:val="left" w:pos="851"/>
      </w:tabs>
      <w:spacing w:before="200" w:after="200"/>
      <w:ind w:left="851" w:right="1701" w:hanging="851"/>
      <w:contextualSpacing/>
      <w:jc w:val="left"/>
    </w:pPr>
    <w:rPr>
      <w:rFonts w:asciiTheme="minorHAnsi" w:hAnsiTheme="minorHAnsi"/>
      <w:color w:val="auto"/>
      <w:lang w:val="de-DE"/>
    </w:rPr>
  </w:style>
  <w:style w:type="paragraph" w:customStyle="1" w:styleId="adeberschrift1imKasten">
    <w:name w:val="ade_Überschrift_1_im_Kasten"/>
    <w:basedOn w:val="Heading1"/>
    <w:semiHidden/>
    <w:unhideWhenUsed/>
    <w:qFormat/>
    <w:rsid w:val="00412BAE"/>
    <w:pPr>
      <w:pageBreakBefore/>
      <w:framePr w:w="9639" w:wrap="around" w:hAnchor="margin" w:yAlign="top"/>
      <w:numPr>
        <w:numId w:val="0"/>
      </w:numPr>
      <w:pBdr>
        <w:bottom w:val="none" w:sz="0" w:space="0" w:color="auto"/>
      </w:pBdr>
      <w:spacing w:before="0" w:after="960" w:line="264" w:lineRule="auto"/>
      <w:ind w:left="2880" w:hanging="360"/>
      <w:jc w:val="left"/>
    </w:pPr>
    <w:rPr>
      <w:b/>
      <w:bCs/>
      <w:caps w:val="0"/>
      <w:color w:val="E97300" w:themeColor="accent4"/>
      <w:kern w:val="2"/>
      <w:sz w:val="44"/>
      <w:szCs w:val="28"/>
      <w:lang w:val="de-DE"/>
      <w14:ligatures w14:val="standardContextual"/>
    </w:rPr>
  </w:style>
  <w:style w:type="paragraph" w:customStyle="1" w:styleId="adeZwischentitel22ptimKasten">
    <w:name w:val="ade_Zwischentitel_22_pt_im_Kasten"/>
    <w:basedOn w:val="adeZwischentitel22pt"/>
    <w:semiHidden/>
    <w:qFormat/>
    <w:rsid w:val="004041E0"/>
    <w:pPr>
      <w:framePr w:w="9639" w:wrap="around" w:hAnchor="margin" w:yAlign="top"/>
    </w:pPr>
  </w:style>
  <w:style w:type="paragraph" w:customStyle="1" w:styleId="adeTextboxText">
    <w:name w:val="ade_Textbox_Text"/>
    <w:basedOn w:val="Normal"/>
    <w:uiPriority w:val="1"/>
    <w:semiHidden/>
    <w:unhideWhenUsed/>
    <w:qFormat/>
    <w:rsid w:val="1FC5E705"/>
    <w:pPr>
      <w:spacing w:after="0"/>
      <w:jc w:val="left"/>
    </w:pPr>
    <w:rPr>
      <w:rFonts w:asciiTheme="majorHAnsi" w:hAnsiTheme="majorHAnsi"/>
      <w:color w:val="auto"/>
      <w:sz w:val="18"/>
      <w:szCs w:val="18"/>
      <w:lang w:val="de-DE"/>
    </w:rPr>
  </w:style>
  <w:style w:type="paragraph" w:customStyle="1" w:styleId="adeEpilog">
    <w:name w:val="_ade_Epilog"/>
    <w:basedOn w:val="Normal"/>
    <w:uiPriority w:val="1"/>
    <w:semiHidden/>
    <w:qFormat/>
    <w:rsid w:val="1FC5E705"/>
    <w:pPr>
      <w:spacing w:before="200" w:after="200"/>
      <w:ind w:right="1701"/>
      <w:jc w:val="left"/>
    </w:pPr>
    <w:rPr>
      <w:rFonts w:asciiTheme="minorHAnsi" w:hAnsiTheme="minorHAnsi"/>
      <w:color w:val="auto"/>
      <w:lang w:val="de-DE"/>
    </w:rPr>
  </w:style>
  <w:style w:type="paragraph" w:customStyle="1" w:styleId="ade03Autorennamenfett">
    <w:name w:val="ade_03_Autorennamen_fett"/>
    <w:basedOn w:val="ade03Autorennamen"/>
    <w:semiHidden/>
    <w:qFormat/>
    <w:rsid w:val="004041E0"/>
    <w:rPr>
      <w:rFonts w:ascii="Segoe UI Semibold" w:hAnsi="Segoe UI Semibold"/>
    </w:rPr>
  </w:style>
  <w:style w:type="paragraph" w:customStyle="1" w:styleId="ade01Topline">
    <w:name w:val="ade_01_Topline"/>
    <w:basedOn w:val="Normal"/>
    <w:uiPriority w:val="1"/>
    <w:semiHidden/>
    <w:qFormat/>
    <w:rsid w:val="1FC5E705"/>
    <w:pPr>
      <w:spacing w:after="0"/>
      <w:jc w:val="left"/>
    </w:pPr>
    <w:rPr>
      <w:rFonts w:ascii="Segoe UI Semibold" w:hAnsi="Segoe UI Semibold"/>
      <w:caps/>
      <w:color w:val="FFFFFF" w:themeColor="background1"/>
      <w:lang w:val="de-DE"/>
    </w:rPr>
  </w:style>
  <w:style w:type="paragraph" w:customStyle="1" w:styleId="ade01Toplinerot">
    <w:name w:val="ade_01_Topline_rot"/>
    <w:basedOn w:val="ade01Topline"/>
    <w:semiHidden/>
    <w:qFormat/>
    <w:rsid w:val="004041E0"/>
    <w:rPr>
      <w:color w:val="E97300" w:themeColor="accent4"/>
    </w:rPr>
  </w:style>
  <w:style w:type="paragraph" w:customStyle="1" w:styleId="Titredocument">
    <w:name w:val="Titre document"/>
    <w:basedOn w:val="Normal"/>
    <w:next w:val="Normal"/>
    <w:uiPriority w:val="1"/>
    <w:rsid w:val="1FC5E705"/>
    <w:pPr>
      <w:spacing w:after="0"/>
      <w:jc w:val="center"/>
    </w:pPr>
    <w:rPr>
      <w:rFonts w:ascii="Verdana" w:eastAsia="Times New Roman" w:hAnsi="Verdana"/>
      <w:b/>
      <w:bCs/>
      <w:color w:val="auto"/>
      <w:sz w:val="32"/>
      <w:szCs w:val="32"/>
      <w:lang w:val="fr-FR" w:eastAsia="fr-FR"/>
    </w:rPr>
  </w:style>
  <w:style w:type="paragraph" w:customStyle="1" w:styleId="Body">
    <w:name w:val="Body"/>
    <w:basedOn w:val="Normal"/>
    <w:link w:val="BodyChar"/>
    <w:uiPriority w:val="1"/>
    <w:qFormat/>
    <w:rsid w:val="1FC5E705"/>
    <w:rPr>
      <w:rFonts w:ascii="Verdana" w:eastAsia="Times New Roman" w:hAnsi="Verdana"/>
      <w:color w:val="auto"/>
    </w:rPr>
  </w:style>
  <w:style w:type="character" w:customStyle="1" w:styleId="BodyChar">
    <w:name w:val="Body Char"/>
    <w:link w:val="Body"/>
    <w:rsid w:val="00EB09E0"/>
    <w:rPr>
      <w:rFonts w:ascii="Verdana" w:eastAsia="Times New Roman" w:hAnsi="Verdana" w:cs="Times New Roman"/>
      <w:color w:val="auto"/>
      <w:sz w:val="24"/>
      <w:szCs w:val="24"/>
    </w:rPr>
  </w:style>
  <w:style w:type="paragraph" w:customStyle="1" w:styleId="Text3">
    <w:name w:val="Text 3"/>
    <w:basedOn w:val="Normal"/>
    <w:uiPriority w:val="1"/>
    <w:qFormat/>
    <w:rsid w:val="1FC5E705"/>
    <w:pPr>
      <w:tabs>
        <w:tab w:val="left" w:pos="2302"/>
      </w:tabs>
      <w:spacing w:after="240"/>
      <w:ind w:left="1202"/>
    </w:pPr>
    <w:rPr>
      <w:rFonts w:eastAsia="Times New Roman"/>
      <w:color w:val="auto"/>
    </w:rPr>
  </w:style>
  <w:style w:type="table" w:customStyle="1" w:styleId="Tablereporttemplate">
    <w:name w:val="Table report template"/>
    <w:basedOn w:val="TableNormal"/>
    <w:uiPriority w:val="59"/>
    <w:rsid w:val="00EB09E0"/>
    <w:pPr>
      <w:spacing w:before="40" w:after="40" w:line="240" w:lineRule="auto"/>
      <w:jc w:val="center"/>
    </w:pPr>
    <w:rPr>
      <w:rFonts w:ascii="Verdana" w:eastAsia="Calibri" w:hAnsi="Verdana" w:cs="Times New Roman"/>
      <w:color w:val="auto"/>
      <w:sz w:val="16"/>
      <w:szCs w:val="22"/>
      <w:lang w:val="de-D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40" w:beforeAutospacing="0" w:afterLines="0" w:after="40" w:afterAutospacing="0"/>
        <w:jc w:val="center"/>
      </w:pPr>
      <w:rPr>
        <w:rFonts w:ascii="Verdana" w:hAnsi="Verdana" w:cs="Arial" w:hint="default"/>
        <w:b/>
        <w:color w:val="FFFFFF"/>
        <w:sz w:val="16"/>
        <w:szCs w:val="16"/>
      </w:rPr>
      <w:tblPr/>
      <w:tcPr>
        <w:shd w:val="clear" w:color="auto" w:fill="0070C0"/>
      </w:tcPr>
    </w:tblStylePr>
    <w:tblStylePr w:type="lastRow">
      <w:rPr>
        <w:rFonts w:ascii="Arial" w:hAnsi="Arial" w:cs="Arial" w:hint="default"/>
        <w:sz w:val="16"/>
        <w:szCs w:val="16"/>
      </w:rPr>
    </w:tblStylePr>
    <w:tblStylePr w:type="firstCol">
      <w:pPr>
        <w:jc w:val="left"/>
      </w:pPr>
      <w:rPr>
        <w:rFonts w:ascii="Arial" w:hAnsi="Arial" w:cs="Arial" w:hint="default"/>
        <w:sz w:val="16"/>
        <w:szCs w:val="16"/>
      </w:rPr>
    </w:tblStylePr>
    <w:tblStylePr w:type="lastCol">
      <w:rPr>
        <w:rFonts w:ascii="Arial" w:hAnsi="Arial" w:cs="Arial" w:hint="default"/>
        <w:sz w:val="16"/>
        <w:szCs w:val="16"/>
      </w:rPr>
    </w:tblStylePr>
    <w:tblStylePr w:type="band1Vert">
      <w:rPr>
        <w:rFonts w:ascii="Arial" w:hAnsi="Arial" w:cs="Arial" w:hint="default"/>
        <w:sz w:val="16"/>
        <w:szCs w:val="16"/>
      </w:rPr>
    </w:tblStylePr>
    <w:tblStylePr w:type="band2Vert">
      <w:rPr>
        <w:rFonts w:ascii="Arial" w:hAnsi="Arial" w:cs="Arial" w:hint="default"/>
        <w:sz w:val="16"/>
        <w:szCs w:val="16"/>
      </w:rPr>
    </w:tblStylePr>
    <w:tblStylePr w:type="band1Horz">
      <w:rPr>
        <w:rFonts w:ascii="Arial" w:hAnsi="Arial" w:cs="Arial" w:hint="default"/>
        <w:sz w:val="16"/>
        <w:szCs w:val="16"/>
      </w:rPr>
    </w:tblStylePr>
    <w:tblStylePr w:type="band2Horz">
      <w:rPr>
        <w:rFonts w:ascii="Arial" w:hAnsi="Arial" w:cs="Arial" w:hint="default"/>
        <w:sz w:val="16"/>
        <w:szCs w:val="16"/>
      </w:rPr>
    </w:tblStylePr>
  </w:style>
  <w:style w:type="paragraph" w:customStyle="1" w:styleId="Normaldense">
    <w:name w:val="Normal dense"/>
    <w:basedOn w:val="Normal"/>
    <w:link w:val="NormaldenseChar"/>
    <w:uiPriority w:val="1"/>
    <w:qFormat/>
    <w:rsid w:val="1FC5E705"/>
    <w:pPr>
      <w:numPr>
        <w:numId w:val="9"/>
      </w:numPr>
    </w:pPr>
    <w:rPr>
      <w:rFonts w:ascii="Verdana" w:hAnsi="Verdana"/>
      <w:color w:val="auto"/>
      <w:lang w:eastAsia="ja-JP"/>
    </w:rPr>
  </w:style>
  <w:style w:type="character" w:customStyle="1" w:styleId="NormaldenseChar">
    <w:name w:val="Normal dense Char"/>
    <w:basedOn w:val="DefaultParagraphFont"/>
    <w:link w:val="Normaldense"/>
    <w:rsid w:val="00EB09E0"/>
    <w:rPr>
      <w:rFonts w:ascii="Verdana" w:hAnsi="Verdana" w:cs="Times New Roman"/>
      <w:color w:val="auto"/>
      <w:sz w:val="24"/>
      <w:szCs w:val="24"/>
      <w:lang w:eastAsia="ja-JP"/>
    </w:rPr>
  </w:style>
  <w:style w:type="paragraph" w:customStyle="1" w:styleId="bullettext">
    <w:name w:val="bullet text"/>
    <w:basedOn w:val="Body"/>
    <w:link w:val="bullettextChar"/>
    <w:qFormat/>
    <w:rsid w:val="00EB09E0"/>
    <w:pPr>
      <w:numPr>
        <w:numId w:val="10"/>
      </w:numPr>
    </w:pPr>
  </w:style>
  <w:style w:type="character" w:customStyle="1" w:styleId="bullettextChar">
    <w:name w:val="bullet text Char"/>
    <w:basedOn w:val="BodyChar"/>
    <w:link w:val="bullettext"/>
    <w:rsid w:val="00EB09E0"/>
    <w:rPr>
      <w:rFonts w:ascii="Verdana" w:eastAsia="Times New Roman" w:hAnsi="Verdana" w:cs="Times New Roman"/>
      <w:color w:val="auto"/>
      <w:sz w:val="24"/>
      <w:szCs w:val="24"/>
    </w:rPr>
  </w:style>
  <w:style w:type="paragraph" w:customStyle="1" w:styleId="AddressTR">
    <w:name w:val="AddressTR"/>
    <w:basedOn w:val="Normal"/>
    <w:next w:val="Normal"/>
    <w:uiPriority w:val="1"/>
    <w:rsid w:val="1FC5E705"/>
    <w:pPr>
      <w:spacing w:after="720"/>
      <w:ind w:left="5103"/>
      <w:jc w:val="left"/>
    </w:pPr>
    <w:rPr>
      <w:rFonts w:eastAsia="Times New Roman"/>
      <w:color w:val="auto"/>
    </w:rPr>
  </w:style>
  <w:style w:type="table" w:customStyle="1" w:styleId="Ricardo-AEATableStyle">
    <w:name w:val="Ricardo-AEA Table Style"/>
    <w:basedOn w:val="TableNormal"/>
    <w:uiPriority w:val="99"/>
    <w:qFormat/>
    <w:rsid w:val="00EB09E0"/>
    <w:pPr>
      <w:spacing w:after="0" w:line="240" w:lineRule="auto"/>
      <w:jc w:val="left"/>
    </w:pPr>
    <w:rPr>
      <w:rFonts w:eastAsia="Times New Roman" w:cs="Times New Roman"/>
      <w:color w:val="auto"/>
      <w:lang w:eastAsia="en-GB"/>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pct15" w:color="auto" w:fill="auto"/>
    </w:tcPr>
    <w:tblStylePr w:type="firstRow">
      <w:pPr>
        <w:wordWrap/>
        <w:spacing w:beforeLines="0" w:beforeAutospacing="0" w:afterLines="0" w:afterAutospacing="0" w:line="240" w:lineRule="auto"/>
        <w:contextualSpacing w:val="0"/>
      </w:pPr>
      <w:rPr>
        <w:rFonts w:ascii="Arial" w:hAnsi="Arial"/>
        <w:b/>
        <w:color w:val="FFFFFF" w:themeColor="background1"/>
        <w:sz w:val="20"/>
      </w:rPr>
      <w:tblPr/>
      <w:tcPr>
        <w:shd w:val="clear" w:color="auto" w:fill="008000"/>
        <w:vAlign w:val="center"/>
      </w:tcPr>
    </w:tblStylePr>
    <w:tblStylePr w:type="firstCol">
      <w:rPr>
        <w:rFonts w:ascii="Arial" w:hAnsi="Arial"/>
      </w:rPr>
    </w:tblStylePr>
  </w:style>
  <w:style w:type="character" w:customStyle="1" w:styleId="Hyperlink1">
    <w:name w:val="Hyperlink.1"/>
    <w:basedOn w:val="DefaultParagraphFont"/>
    <w:rsid w:val="00EB09E0"/>
    <w:rPr>
      <w:rFonts w:ascii="Times New Roman" w:eastAsia="Times New Roman" w:hAnsi="Times New Roman" w:cs="Times New Roman"/>
      <w:color w:val="0000FF"/>
      <w:u w:val="single" w:color="0000FF"/>
    </w:rPr>
  </w:style>
  <w:style w:type="paragraph" w:customStyle="1" w:styleId="X07Table-03TextNormal">
    <w:name w:val="X07 Table - 03 Text Normal"/>
    <w:basedOn w:val="Normal"/>
    <w:link w:val="X07Table-03TextNormalChar"/>
    <w:uiPriority w:val="1"/>
    <w:rsid w:val="1FC5E705"/>
    <w:pPr>
      <w:spacing w:after="0"/>
      <w:jc w:val="left"/>
    </w:pPr>
    <w:rPr>
      <w:rFonts w:ascii="Montserrat" w:hAnsi="Montserrat"/>
      <w:color w:val="auto"/>
      <w:sz w:val="16"/>
      <w:szCs w:val="16"/>
    </w:rPr>
  </w:style>
  <w:style w:type="paragraph" w:customStyle="1" w:styleId="X07Table-01HeaderBoldWhite">
    <w:name w:val="X07 Table - 01 Header Bold White"/>
    <w:rsid w:val="003E41E2"/>
    <w:pPr>
      <w:spacing w:after="0"/>
      <w:jc w:val="center"/>
    </w:pPr>
    <w:rPr>
      <w:rFonts w:ascii="Montserrat" w:hAnsi="Montserrat"/>
      <w:b/>
      <w:color w:val="FFFFFF" w:themeColor="background1"/>
      <w:sz w:val="16"/>
      <w:szCs w:val="16"/>
      <w:lang w:val="en-US"/>
    </w:rPr>
  </w:style>
  <w:style w:type="paragraph" w:customStyle="1" w:styleId="x07Table-02SemiBlue">
    <w:name w:val="x07 Table - 02 Semi Blue"/>
    <w:basedOn w:val="Normal"/>
    <w:uiPriority w:val="1"/>
    <w:rsid w:val="1FC5E705"/>
    <w:pPr>
      <w:spacing w:after="0"/>
      <w:jc w:val="center"/>
    </w:pPr>
    <w:rPr>
      <w:rFonts w:ascii="Montserrat SemiBold" w:hAnsi="Montserrat SemiBold"/>
      <w:b/>
      <w:bCs/>
      <w:color w:val="003CA7" w:themeColor="text2"/>
      <w:sz w:val="16"/>
      <w:szCs w:val="16"/>
    </w:rPr>
  </w:style>
  <w:style w:type="character" w:customStyle="1" w:styleId="X07Table-03TextNormalChar">
    <w:name w:val="X07 Table - 03 Text Normal Char"/>
    <w:basedOn w:val="DefaultParagraphFont"/>
    <w:link w:val="X07Table-03TextNormal"/>
    <w:rsid w:val="003E41E2"/>
    <w:rPr>
      <w:rFonts w:ascii="Montserrat" w:hAnsi="Montserrat" w:cs="Times New Roman"/>
      <w:color w:val="auto"/>
      <w:sz w:val="16"/>
      <w:szCs w:val="16"/>
    </w:rPr>
  </w:style>
  <w:style w:type="character" w:customStyle="1" w:styleId="mord">
    <w:name w:val="mord"/>
    <w:basedOn w:val="DefaultParagraphFont"/>
    <w:rsid w:val="003E41E2"/>
  </w:style>
  <w:style w:type="character" w:customStyle="1" w:styleId="vlist-s">
    <w:name w:val="vlist-s"/>
    <w:basedOn w:val="DefaultParagraphFont"/>
    <w:rsid w:val="003E41E2"/>
  </w:style>
  <w:style w:type="character" w:customStyle="1" w:styleId="mrel">
    <w:name w:val="mrel"/>
    <w:basedOn w:val="DefaultParagraphFont"/>
    <w:rsid w:val="003E41E2"/>
  </w:style>
  <w:style w:type="character" w:customStyle="1" w:styleId="mbin">
    <w:name w:val="mbin"/>
    <w:basedOn w:val="DefaultParagraphFont"/>
    <w:rsid w:val="003E41E2"/>
  </w:style>
  <w:style w:type="character" w:customStyle="1" w:styleId="CommentTextChar1">
    <w:name w:val="Comment Text Char1"/>
    <w:aliases w:val="Text poznámky Char1"/>
    <w:basedOn w:val="DefaultParagraphFont"/>
    <w:uiPriority w:val="99"/>
    <w:rsid w:val="003B27E6"/>
    <w:rPr>
      <w:sz w:val="20"/>
      <w:szCs w:val="20"/>
    </w:rPr>
  </w:style>
  <w:style w:type="character" w:customStyle="1" w:styleId="TOC211">
    <w:name w:val="TOC 211"/>
    <w:basedOn w:val="DefaultParagraphFont"/>
    <w:uiPriority w:val="99"/>
    <w:unhideWhenUsed/>
    <w:qFormat/>
    <w:rsid w:val="003B27E6"/>
    <w:rPr>
      <w:color w:val="003CA7"/>
      <w:u w:val="single"/>
    </w:rPr>
  </w:style>
  <w:style w:type="paragraph" w:customStyle="1" w:styleId="RSK-F1">
    <w:name w:val="RSK-F1"/>
    <w:basedOn w:val="Normal"/>
    <w:next w:val="FootnoteText"/>
    <w:uiPriority w:val="99"/>
    <w:qFormat/>
    <w:rsid w:val="1FC5E705"/>
    <w:pPr>
      <w:spacing w:after="40"/>
    </w:pPr>
    <w:rPr>
      <w:rFonts w:asciiTheme="minorHAnsi" w:hAnsiTheme="minorHAnsi" w:cs="Arial"/>
      <w:color w:val="auto"/>
      <w:sz w:val="16"/>
      <w:szCs w:val="16"/>
      <w:lang w:val="en-US"/>
    </w:rPr>
  </w:style>
  <w:style w:type="character" w:customStyle="1" w:styleId="FootnoteTextChar1">
    <w:name w:val="Footnote Text Char1"/>
    <w:aliases w:val="Footnote Text (RMC) Char,Char Char1 Char,Char Car Char Char,Char Char Char,single space Char,Fußnotentextf Char1,Footnote text Char,fn Char,Schriftart: 9 pt Char,Schriftart: 10 pt Char,Schriftart: 8 pt Char,WB-Fußnotentext Char"/>
    <w:basedOn w:val="DefaultParagraphFont"/>
    <w:uiPriority w:val="99"/>
    <w:rsid w:val="003B27E6"/>
    <w:rPr>
      <w:sz w:val="20"/>
      <w:szCs w:val="20"/>
    </w:rPr>
  </w:style>
  <w:style w:type="character" w:customStyle="1" w:styleId="cf01">
    <w:name w:val="cf01"/>
    <w:basedOn w:val="DefaultParagraphFont"/>
    <w:rsid w:val="00747230"/>
    <w:rPr>
      <w:rFonts w:ascii="Segoe UI" w:hAnsi="Segoe UI" w:cs="Segoe UI" w:hint="default"/>
      <w:sz w:val="18"/>
      <w:szCs w:val="18"/>
    </w:rPr>
  </w:style>
  <w:style w:type="character" w:customStyle="1" w:styleId="cf11">
    <w:name w:val="cf11"/>
    <w:basedOn w:val="DefaultParagraphFont"/>
    <w:rsid w:val="00747230"/>
    <w:rPr>
      <w:rFonts w:ascii="Segoe UI" w:hAnsi="Segoe UI" w:cs="Segoe UI" w:hint="default"/>
      <w:i/>
      <w:iCs/>
      <w:sz w:val="18"/>
      <w:szCs w:val="18"/>
    </w:rPr>
  </w:style>
  <w:style w:type="paragraph" w:customStyle="1" w:styleId="Heading1COM">
    <w:name w:val="Heading 1_COM"/>
    <w:basedOn w:val="Heading1"/>
    <w:link w:val="Heading1COMChar"/>
    <w:qFormat/>
    <w:locked/>
    <w:rsid w:val="000D2D45"/>
    <w:pPr>
      <w:keepLines w:val="0"/>
      <w:numPr>
        <w:numId w:val="12"/>
      </w:numPr>
      <w:pBdr>
        <w:bottom w:val="none" w:sz="0" w:space="0" w:color="auto"/>
      </w:pBdr>
      <w:tabs>
        <w:tab w:val="left" w:pos="2302"/>
      </w:tabs>
    </w:pPr>
    <w:rPr>
      <w:rFonts w:ascii="Times New Roman" w:eastAsia="Times New Roman" w:hAnsi="Times New Roman" w:cs="Times New Roman"/>
      <w:b/>
      <w:caps w:val="0"/>
      <w:smallCaps/>
      <w:color w:val="auto"/>
      <w:sz w:val="28"/>
      <w:szCs w:val="22"/>
    </w:rPr>
  </w:style>
  <w:style w:type="character" w:customStyle="1" w:styleId="Heading1COMChar">
    <w:name w:val="Heading 1_COM Char"/>
    <w:basedOn w:val="DefaultParagraphFont"/>
    <w:link w:val="Heading1COM"/>
    <w:rsid w:val="000D2D45"/>
    <w:rPr>
      <w:rFonts w:ascii="Times New Roman" w:eastAsia="Times New Roman" w:hAnsi="Times New Roman" w:cs="Times New Roman"/>
      <w:b/>
      <w:smallCaps/>
      <w:color w:val="auto"/>
      <w:sz w:val="28"/>
      <w:szCs w:val="22"/>
    </w:rPr>
  </w:style>
  <w:style w:type="paragraph" w:customStyle="1" w:styleId="Heading2COM">
    <w:name w:val="Heading 2_COM"/>
    <w:basedOn w:val="Heading1COM"/>
    <w:link w:val="Heading2COMChar"/>
    <w:qFormat/>
    <w:locked/>
    <w:rsid w:val="003D3800"/>
    <w:pPr>
      <w:numPr>
        <w:ilvl w:val="1"/>
      </w:numPr>
      <w15:collapsed/>
    </w:pPr>
    <w:rPr>
      <w:smallCaps w:val="0"/>
      <w:sz w:val="24"/>
    </w:rPr>
  </w:style>
  <w:style w:type="character" w:customStyle="1" w:styleId="Heading2COMChar">
    <w:name w:val="Heading 2_COM Char"/>
    <w:basedOn w:val="Heading1COMChar"/>
    <w:link w:val="Heading2COM"/>
    <w:rsid w:val="003D3800"/>
    <w:rPr>
      <w:rFonts w:ascii="Times New Roman" w:eastAsia="Times New Roman" w:hAnsi="Times New Roman" w:cs="Times New Roman"/>
      <w:b/>
      <w:smallCaps w:val="0"/>
      <w:color w:val="auto"/>
      <w:sz w:val="24"/>
      <w:szCs w:val="22"/>
    </w:rPr>
  </w:style>
  <w:style w:type="paragraph" w:customStyle="1" w:styleId="Heading3COM">
    <w:name w:val="Heading 3_COM"/>
    <w:basedOn w:val="Heading2COM"/>
    <w:link w:val="Heading3COMChar"/>
    <w:autoRedefine/>
    <w:qFormat/>
    <w:locked/>
    <w:rsid w:val="003055F2"/>
    <w:pPr>
      <w:numPr>
        <w:ilvl w:val="2"/>
      </w:numPr>
      <w:tabs>
        <w:tab w:val="clear" w:pos="2302"/>
        <w:tab w:val="left" w:pos="1080"/>
      </w:tabs>
      <w:outlineLvl w:val="2"/>
      <w15:collapsed w:val="0"/>
    </w:pPr>
    <w:rPr>
      <w:b w:val="0"/>
      <w:bCs/>
      <w:i/>
      <w:iCs/>
    </w:rPr>
  </w:style>
  <w:style w:type="character" w:customStyle="1" w:styleId="Heading3COMChar">
    <w:name w:val="Heading 3_COM Char"/>
    <w:basedOn w:val="Heading2COMChar"/>
    <w:link w:val="Heading3COM"/>
    <w:rsid w:val="003055F2"/>
    <w:rPr>
      <w:rFonts w:ascii="Times New Roman" w:eastAsia="Times New Roman" w:hAnsi="Times New Roman" w:cs="Times New Roman"/>
      <w:b w:val="0"/>
      <w:bCs/>
      <w:i/>
      <w:iCs/>
      <w:smallCaps w:val="0"/>
      <w:color w:val="auto"/>
      <w:sz w:val="24"/>
      <w:szCs w:val="22"/>
    </w:rPr>
  </w:style>
  <w:style w:type="paragraph" w:customStyle="1" w:styleId="Heading4COM">
    <w:name w:val="Heading 4_COM"/>
    <w:basedOn w:val="Heading3COM"/>
    <w:link w:val="Heading4COMChar"/>
    <w:autoRedefine/>
    <w:qFormat/>
    <w:locked/>
    <w:rsid w:val="00AC6975"/>
    <w:pPr>
      <w:numPr>
        <w:ilvl w:val="3"/>
      </w:numPr>
    </w:pPr>
    <w:rPr>
      <w:rFonts w:eastAsiaTheme="majorEastAsia"/>
      <w:i w:val="0"/>
      <w:iCs w:val="0"/>
      <w:szCs w:val="24"/>
    </w:rPr>
  </w:style>
  <w:style w:type="character" w:customStyle="1" w:styleId="Heading4COMChar">
    <w:name w:val="Heading 4_COM Char"/>
    <w:basedOn w:val="Heading3COMChar"/>
    <w:link w:val="Heading4COM"/>
    <w:rsid w:val="00AC6975"/>
    <w:rPr>
      <w:rFonts w:ascii="Times New Roman" w:eastAsiaTheme="majorEastAsia" w:hAnsi="Times New Roman" w:cs="Times New Roman"/>
      <w:b w:val="0"/>
      <w:bCs/>
      <w:i w:val="0"/>
      <w:iCs w:val="0"/>
      <w:smallCaps w:val="0"/>
      <w:color w:val="auto"/>
      <w:sz w:val="24"/>
      <w:szCs w:val="24"/>
    </w:rPr>
  </w:style>
  <w:style w:type="paragraph" w:customStyle="1" w:styleId="Heading5COM">
    <w:name w:val="Heading 5_COM"/>
    <w:basedOn w:val="Heading4COM"/>
    <w:link w:val="Heading5COMChar"/>
    <w:qFormat/>
    <w:locked/>
    <w:rsid w:val="000D2D45"/>
    <w:pPr>
      <w:numPr>
        <w:ilvl w:val="4"/>
      </w:numPr>
    </w:pPr>
  </w:style>
  <w:style w:type="character" w:customStyle="1" w:styleId="Heading5COMChar">
    <w:name w:val="Heading 5_COM Char"/>
    <w:basedOn w:val="Heading4COMChar"/>
    <w:link w:val="Heading5COM"/>
    <w:rsid w:val="000D2D45"/>
    <w:rPr>
      <w:rFonts w:ascii="Times New Roman" w:eastAsiaTheme="majorEastAsia" w:hAnsi="Times New Roman" w:cs="Times New Roman"/>
      <w:b w:val="0"/>
      <w:bCs/>
      <w:i w:val="0"/>
      <w:iCs w:val="0"/>
      <w:smallCaps w:val="0"/>
      <w:color w:val="auto"/>
      <w:sz w:val="24"/>
      <w:szCs w:val="24"/>
    </w:rPr>
  </w:style>
  <w:style w:type="paragraph" w:customStyle="1" w:styleId="TOC11">
    <w:name w:val="TOC 11"/>
    <w:basedOn w:val="RRBaseHeadings"/>
    <w:next w:val="BodyText"/>
    <w:uiPriority w:val="1"/>
    <w:qFormat/>
    <w:rsid w:val="00A07417"/>
    <w:pPr>
      <w:tabs>
        <w:tab w:val="right" w:pos="9923"/>
      </w:tabs>
      <w:spacing w:before="60" w:after="60" w:line="240" w:lineRule="auto"/>
      <w:ind w:left="284" w:hanging="284"/>
    </w:pPr>
    <w:rPr>
      <w:rFonts w:ascii="Arial" w:eastAsia="MS PGothic" w:hAnsi="Arial"/>
      <w:caps/>
      <w:noProof/>
      <w:color w:val="1A4596"/>
    </w:rPr>
  </w:style>
  <w:style w:type="paragraph" w:customStyle="1" w:styleId="TOCHeading1">
    <w:name w:val="TOC Heading1"/>
    <w:basedOn w:val="RRBaseHeadings"/>
    <w:next w:val="BodyText"/>
    <w:uiPriority w:val="39"/>
    <w:unhideWhenUsed/>
    <w:qFormat/>
    <w:rsid w:val="00570BE3"/>
    <w:pPr>
      <w:spacing w:after="260" w:line="254" w:lineRule="auto"/>
    </w:pPr>
    <w:rPr>
      <w:rFonts w:ascii="Times New Roman" w:eastAsia="MS PGothic" w:hAnsi="Times New Roman"/>
      <w:b/>
      <w:color w:val="auto"/>
      <w:sz w:val="24"/>
    </w:rPr>
  </w:style>
  <w:style w:type="paragraph" w:customStyle="1" w:styleId="CMR-text">
    <w:name w:val="CMR - text"/>
    <w:basedOn w:val="Normal"/>
    <w:link w:val="CMR-textChar"/>
    <w:uiPriority w:val="1"/>
    <w:qFormat/>
    <w:rsid w:val="1FC5E705"/>
    <w:pPr>
      <w:spacing w:before="240" w:after="240"/>
    </w:pPr>
    <w:rPr>
      <w:rFonts w:cstheme="minorBidi"/>
      <w:color w:val="auto"/>
      <w:sz w:val="22"/>
      <w:szCs w:val="22"/>
    </w:rPr>
  </w:style>
  <w:style w:type="character" w:customStyle="1" w:styleId="CMR-textChar">
    <w:name w:val="CMR - text Char"/>
    <w:basedOn w:val="DefaultParagraphFont"/>
    <w:link w:val="CMR-text"/>
    <w:rsid w:val="00AC6F6C"/>
    <w:rPr>
      <w:rFonts w:ascii="Times New Roman" w:hAnsi="Times New Roman"/>
      <w:color w:val="auto"/>
      <w:sz w:val="22"/>
      <w:szCs w:val="22"/>
    </w:rPr>
  </w:style>
  <w:style w:type="numbering" w:customStyle="1" w:styleId="NoList1">
    <w:name w:val="No List1"/>
    <w:next w:val="NoList"/>
    <w:uiPriority w:val="99"/>
    <w:semiHidden/>
    <w:unhideWhenUsed/>
    <w:rsid w:val="00A24B35"/>
  </w:style>
  <w:style w:type="paragraph" w:customStyle="1" w:styleId="BodyText1">
    <w:name w:val="Body Text1"/>
    <w:basedOn w:val="Normal"/>
    <w:next w:val="BodyText"/>
    <w:link w:val="BodytextChar0"/>
    <w:uiPriority w:val="1"/>
    <w:unhideWhenUsed/>
    <w:qFormat/>
    <w:rsid w:val="1FC5E705"/>
    <w:rPr>
      <w:rFonts w:asciiTheme="minorHAnsi" w:hAnsiTheme="minorHAnsi" w:cs="Arial"/>
      <w:color w:val="auto"/>
      <w:sz w:val="22"/>
      <w:szCs w:val="22"/>
      <w:lang w:val="en-US"/>
    </w:rPr>
  </w:style>
  <w:style w:type="paragraph" w:customStyle="1" w:styleId="Tablelegend1">
    <w:name w:val="Table legend1"/>
    <w:basedOn w:val="RRBaseHeadings"/>
    <w:next w:val="BodyText"/>
    <w:uiPriority w:val="4"/>
    <w:qFormat/>
    <w:rsid w:val="00A24B35"/>
    <w:pPr>
      <w:pBdr>
        <w:top w:val="single" w:sz="4" w:space="3" w:color="A3AAAE"/>
        <w:bottom w:val="single" w:sz="4" w:space="3" w:color="A3AAAE"/>
      </w:pBdr>
      <w:spacing w:before="60" w:after="240" w:line="240" w:lineRule="auto"/>
    </w:pPr>
    <w:rPr>
      <w:rFonts w:ascii="Arial" w:eastAsia="MS PGothic" w:hAnsi="Arial"/>
      <w:bCs/>
      <w:color w:val="1A4596"/>
    </w:rPr>
  </w:style>
  <w:style w:type="paragraph" w:customStyle="1" w:styleId="Header1">
    <w:name w:val="Header1"/>
    <w:basedOn w:val="Normal"/>
    <w:next w:val="Header"/>
    <w:uiPriority w:val="99"/>
    <w:unhideWhenUsed/>
    <w:rsid w:val="1FC5E705"/>
    <w:rPr>
      <w:rFonts w:asciiTheme="minorHAnsi" w:hAnsiTheme="minorHAnsi" w:cstheme="minorBidi"/>
      <w:color w:val="A3AAAE" w:themeColor="background2"/>
      <w:sz w:val="16"/>
      <w:szCs w:val="16"/>
      <w:lang w:val="en-US"/>
    </w:rPr>
  </w:style>
  <w:style w:type="paragraph" w:customStyle="1" w:styleId="Footer1">
    <w:name w:val="Footer1"/>
    <w:basedOn w:val="Normal"/>
    <w:next w:val="Footer"/>
    <w:uiPriority w:val="99"/>
    <w:unhideWhenUsed/>
    <w:rsid w:val="1FC5E705"/>
    <w:pPr>
      <w:jc w:val="center"/>
    </w:pPr>
    <w:rPr>
      <w:rFonts w:asciiTheme="minorHAnsi" w:hAnsiTheme="minorHAnsi" w:cstheme="minorBidi"/>
      <w:color w:val="auto"/>
      <w:sz w:val="16"/>
      <w:szCs w:val="16"/>
      <w:lang w:val="en-US"/>
    </w:rPr>
  </w:style>
  <w:style w:type="paragraph" w:customStyle="1" w:styleId="TableofFigures1">
    <w:name w:val="Table of Figures1"/>
    <w:basedOn w:val="TOC1"/>
    <w:next w:val="Normal"/>
    <w:uiPriority w:val="99"/>
    <w:unhideWhenUsed/>
    <w:qFormat/>
    <w:rsid w:val="00A24B35"/>
    <w:pPr>
      <w:spacing w:before="0" w:after="100" w:line="259" w:lineRule="auto"/>
    </w:pPr>
    <w:rPr>
      <w:rFonts w:cstheme="minorBidi"/>
      <w:caps w:val="0"/>
      <w:color w:val="auto"/>
      <w:kern w:val="2"/>
      <w:sz w:val="22"/>
      <w:szCs w:val="22"/>
      <w:lang w:val="en-US"/>
      <w14:ligatures w14:val="standardContextual"/>
    </w:rPr>
  </w:style>
  <w:style w:type="paragraph" w:customStyle="1" w:styleId="TOC41">
    <w:name w:val="TOC 41"/>
    <w:basedOn w:val="TOC3"/>
    <w:next w:val="Normal"/>
    <w:autoRedefine/>
    <w:uiPriority w:val="1"/>
    <w:qFormat/>
    <w:rsid w:val="00A24B35"/>
    <w:pPr>
      <w:ind w:left="1531" w:hanging="1531"/>
    </w:pPr>
    <w:rPr>
      <w:rFonts w:ascii="Arial" w:eastAsia="MS PGothic" w:hAnsi="Arial"/>
      <w:color w:val="808080"/>
    </w:rPr>
  </w:style>
  <w:style w:type="table" w:customStyle="1" w:styleId="PlainTable21">
    <w:name w:val="Plain Table 21"/>
    <w:basedOn w:val="TableNormal"/>
    <w:next w:val="PlainTable2"/>
    <w:uiPriority w:val="42"/>
    <w:rsid w:val="00A24B35"/>
    <w:pPr>
      <w:spacing w:after="0" w:line="240" w:lineRule="auto"/>
    </w:pPr>
    <w:rPr>
      <w:color w:val="242828"/>
    </w:rPr>
    <w:tblPr>
      <w:tblStyleRowBandSize w:val="1"/>
      <w:tblStyleColBandSize w:val="1"/>
      <w:tblBorders>
        <w:top w:val="single" w:sz="4" w:space="0" w:color="8C9797"/>
        <w:bottom w:val="single" w:sz="4" w:space="0" w:color="8C9797"/>
      </w:tblBorders>
    </w:tblPr>
    <w:tblStylePr w:type="firstRow">
      <w:rPr>
        <w:b/>
        <w:bCs/>
      </w:rPr>
      <w:tblPr/>
      <w:tcPr>
        <w:tcBorders>
          <w:bottom w:val="single" w:sz="4" w:space="0" w:color="8C9797"/>
        </w:tcBorders>
      </w:tcPr>
    </w:tblStylePr>
    <w:tblStylePr w:type="lastRow">
      <w:rPr>
        <w:b/>
        <w:bCs/>
      </w:rPr>
      <w:tblPr/>
      <w:tcPr>
        <w:tcBorders>
          <w:top w:val="single" w:sz="4" w:space="0" w:color="8C9797"/>
        </w:tcBorders>
      </w:tcPr>
    </w:tblStylePr>
    <w:tblStylePr w:type="firstCol">
      <w:rPr>
        <w:b/>
        <w:bCs/>
      </w:rPr>
    </w:tblStylePr>
    <w:tblStylePr w:type="lastCol">
      <w:rPr>
        <w:b/>
        <w:bCs/>
      </w:rPr>
    </w:tblStylePr>
    <w:tblStylePr w:type="band1Vert">
      <w:tblPr/>
      <w:tcPr>
        <w:tcBorders>
          <w:left w:val="single" w:sz="4" w:space="0" w:color="8C9797"/>
          <w:right w:val="single" w:sz="4" w:space="0" w:color="8C9797"/>
        </w:tcBorders>
      </w:tcPr>
    </w:tblStylePr>
    <w:tblStylePr w:type="band2Vert">
      <w:tblPr/>
      <w:tcPr>
        <w:tcBorders>
          <w:left w:val="single" w:sz="4" w:space="0" w:color="8C9797"/>
          <w:right w:val="single" w:sz="4" w:space="0" w:color="8C9797"/>
        </w:tcBorders>
      </w:tcPr>
    </w:tblStylePr>
    <w:tblStylePr w:type="band1Horz">
      <w:tblPr/>
      <w:tcPr>
        <w:tcBorders>
          <w:top w:val="single" w:sz="4" w:space="0" w:color="8C9797"/>
          <w:bottom w:val="single" w:sz="4" w:space="0" w:color="8C9797"/>
        </w:tcBorders>
      </w:tcPr>
    </w:tblStylePr>
  </w:style>
  <w:style w:type="paragraph" w:customStyle="1" w:styleId="TOC31">
    <w:name w:val="TOC 31"/>
    <w:basedOn w:val="TOC2"/>
    <w:next w:val="Normal"/>
    <w:autoRedefine/>
    <w:uiPriority w:val="1"/>
    <w:qFormat/>
    <w:rsid w:val="00A24B35"/>
    <w:pPr>
      <w:spacing w:after="100" w:line="259" w:lineRule="auto"/>
      <w:ind w:left="220"/>
    </w:pPr>
    <w:rPr>
      <w:rFonts w:cstheme="minorBidi"/>
      <w:bCs/>
      <w:caps/>
      <w:color w:val="auto"/>
      <w:kern w:val="2"/>
      <w:sz w:val="22"/>
      <w:szCs w:val="22"/>
      <w:lang w:val="en-US"/>
      <w14:ligatures w14:val="standardContextual"/>
    </w:rPr>
  </w:style>
  <w:style w:type="table" w:customStyle="1" w:styleId="simpletable1">
    <w:name w:val="simple table1"/>
    <w:basedOn w:val="TableNormal"/>
    <w:next w:val="TableGrid"/>
    <w:uiPriority w:val="39"/>
    <w:rsid w:val="00A24B35"/>
    <w:pPr>
      <w:spacing w:after="0" w:line="240" w:lineRule="auto"/>
    </w:pPr>
    <w:rPr>
      <w:color w:val="242828"/>
    </w:rPr>
    <w:tblPr/>
  </w:style>
  <w:style w:type="table" w:customStyle="1" w:styleId="TableGrid11">
    <w:name w:val="Table Grid 11"/>
    <w:basedOn w:val="TableNormal"/>
    <w:next w:val="TableGrid1"/>
    <w:semiHidden/>
    <w:unhideWhenUsed/>
    <w:rsid w:val="00A24B35"/>
    <w:pPr>
      <w:ind w:left="737"/>
    </w:pPr>
    <w:rPr>
      <w:color w:val="242828"/>
    </w:rPr>
    <w:tblPr/>
    <w:tblStylePr w:type="lastRow">
      <w:rPr>
        <w:i/>
        <w:iCs/>
      </w:rPr>
    </w:tblStylePr>
    <w:tblStylePr w:type="lastCol">
      <w:rPr>
        <w:i/>
        <w:iCs/>
      </w:rPr>
    </w:tblStylePr>
  </w:style>
  <w:style w:type="paragraph" w:customStyle="1" w:styleId="Bibliography1">
    <w:name w:val="Bibliography1"/>
    <w:basedOn w:val="Normal"/>
    <w:next w:val="Normal"/>
    <w:uiPriority w:val="37"/>
    <w:unhideWhenUsed/>
    <w:rsid w:val="1FC5E705"/>
    <w:rPr>
      <w:rFonts w:ascii="Arial" w:hAnsi="Arial" w:cs="Arial"/>
      <w:sz w:val="20"/>
      <w:szCs w:val="20"/>
    </w:rPr>
  </w:style>
  <w:style w:type="paragraph" w:customStyle="1" w:styleId="TOC51">
    <w:name w:val="TOC 51"/>
    <w:basedOn w:val="Normal"/>
    <w:next w:val="Normal"/>
    <w:uiPriority w:val="1"/>
    <w:unhideWhenUsed/>
    <w:qFormat/>
    <w:rsid w:val="1FC5E705"/>
    <w:pPr>
      <w:spacing w:after="100"/>
      <w:ind w:left="800"/>
    </w:pPr>
    <w:rPr>
      <w:rFonts w:ascii="Arial" w:hAnsi="Arial" w:cstheme="minorBidi"/>
      <w:sz w:val="20"/>
      <w:szCs w:val="20"/>
    </w:rPr>
  </w:style>
  <w:style w:type="paragraph" w:customStyle="1" w:styleId="Textpoznmky1">
    <w:name w:val="Text poznámky1"/>
    <w:basedOn w:val="Normal"/>
    <w:next w:val="CommentText"/>
    <w:uiPriority w:val="2"/>
    <w:unhideWhenUsed/>
    <w:rsid w:val="1FC5E705"/>
    <w:rPr>
      <w:rFonts w:asciiTheme="minorHAnsi" w:hAnsiTheme="minorHAnsi" w:cstheme="minorBidi"/>
      <w:color w:val="auto"/>
      <w:sz w:val="22"/>
      <w:szCs w:val="22"/>
      <w:lang w:val="en-US"/>
    </w:rPr>
  </w:style>
  <w:style w:type="paragraph" w:customStyle="1" w:styleId="CommentSubject1">
    <w:name w:val="Comment Subject1"/>
    <w:basedOn w:val="CommentText"/>
    <w:next w:val="CommentText"/>
    <w:uiPriority w:val="99"/>
    <w:semiHidden/>
    <w:unhideWhenUsed/>
    <w:rsid w:val="00A24B35"/>
    <w:rPr>
      <w:rFonts w:ascii="Arial" w:hAnsi="Arial" w:cstheme="minorBidi"/>
      <w:b/>
      <w:bCs/>
      <w:color w:val="242828"/>
      <w:sz w:val="20"/>
      <w:szCs w:val="20"/>
    </w:rPr>
  </w:style>
  <w:style w:type="paragraph" w:customStyle="1" w:styleId="Revision1">
    <w:name w:val="Revision1"/>
    <w:next w:val="Revision"/>
    <w:hidden/>
    <w:uiPriority w:val="99"/>
    <w:semiHidden/>
    <w:rsid w:val="00A24B35"/>
    <w:pPr>
      <w:spacing w:after="0" w:line="240" w:lineRule="auto"/>
      <w:jc w:val="left"/>
    </w:pPr>
    <w:rPr>
      <w:color w:val="242828"/>
    </w:rPr>
  </w:style>
  <w:style w:type="paragraph" w:customStyle="1" w:styleId="BlockText1">
    <w:name w:val="Block Text1"/>
    <w:basedOn w:val="Normal"/>
    <w:next w:val="BlockText"/>
    <w:uiPriority w:val="99"/>
    <w:semiHidden/>
    <w:unhideWhenUsed/>
    <w:rsid w:val="1FC5E705"/>
    <w:pPr>
      <w:pBdr>
        <w:top w:val="single" w:sz="2" w:space="10" w:color="007B88"/>
        <w:left w:val="single" w:sz="2" w:space="10" w:color="007B88"/>
        <w:bottom w:val="single" w:sz="2" w:space="10" w:color="007B88"/>
        <w:right w:val="single" w:sz="2" w:space="10" w:color="007B88"/>
      </w:pBdr>
      <w:spacing w:before="60" w:after="60"/>
      <w:ind w:left="1152" w:right="1152"/>
      <w:jc w:val="left"/>
    </w:pPr>
    <w:rPr>
      <w:rFonts w:ascii="Arial" w:eastAsia="MS PGothic" w:hAnsi="Arial" w:cs="Arial"/>
      <w:i/>
      <w:iCs/>
      <w:color w:val="007B88" w:themeColor="accent1" w:themeShade="BF"/>
      <w:sz w:val="22"/>
      <w:szCs w:val="22"/>
      <w:lang w:val="en-US"/>
    </w:rPr>
  </w:style>
  <w:style w:type="paragraph" w:customStyle="1" w:styleId="EnvelopeReturn1">
    <w:name w:val="Envelope Return1"/>
    <w:basedOn w:val="Normal"/>
    <w:next w:val="EnvelopeReturn"/>
    <w:uiPriority w:val="99"/>
    <w:semiHidden/>
    <w:unhideWhenUsed/>
    <w:rsid w:val="1FC5E705"/>
    <w:pPr>
      <w:spacing w:after="0"/>
      <w:jc w:val="left"/>
    </w:pPr>
    <w:rPr>
      <w:rFonts w:ascii="Arial" w:eastAsia="MS PGothic" w:hAnsi="Arial" w:cs="Arial"/>
      <w:color w:val="auto"/>
      <w:sz w:val="22"/>
      <w:szCs w:val="22"/>
      <w:lang w:val="en-US"/>
    </w:rPr>
  </w:style>
  <w:style w:type="paragraph" w:customStyle="1" w:styleId="MessageHeader1">
    <w:name w:val="Message Header1"/>
    <w:basedOn w:val="Normal"/>
    <w:next w:val="MessageHeader"/>
    <w:uiPriority w:val="99"/>
    <w:semiHidden/>
    <w:unhideWhenUsed/>
    <w:rsid w:val="1FC5E705"/>
    <w:pPr>
      <w:pBdr>
        <w:top w:val="single" w:sz="6" w:space="1" w:color="auto"/>
        <w:left w:val="single" w:sz="6" w:space="1" w:color="auto"/>
        <w:bottom w:val="single" w:sz="6" w:space="1" w:color="auto"/>
        <w:right w:val="single" w:sz="6" w:space="1" w:color="auto"/>
      </w:pBdr>
      <w:spacing w:after="0"/>
      <w:ind w:left="1134" w:hanging="1134"/>
      <w:jc w:val="left"/>
    </w:pPr>
    <w:rPr>
      <w:rFonts w:asciiTheme="minorHAnsi" w:eastAsia="MS PGothic" w:hAnsiTheme="minorHAnsi" w:cs="Arial"/>
      <w:color w:val="auto"/>
      <w:lang w:val="en-US"/>
    </w:rPr>
  </w:style>
  <w:style w:type="paragraph" w:customStyle="1" w:styleId="TOAHeading1">
    <w:name w:val="TOA Heading1"/>
    <w:basedOn w:val="Normal"/>
    <w:next w:val="Normal"/>
    <w:uiPriority w:val="99"/>
    <w:semiHidden/>
    <w:unhideWhenUsed/>
    <w:rsid w:val="1FC5E705"/>
    <w:pPr>
      <w:spacing w:after="60"/>
      <w:jc w:val="left"/>
    </w:pPr>
    <w:rPr>
      <w:rFonts w:ascii="Arial" w:eastAsia="MS PGothic" w:hAnsi="Arial" w:cs="Arial"/>
      <w:b/>
      <w:bCs/>
      <w:color w:val="auto"/>
      <w:lang w:val="en-US"/>
    </w:rPr>
  </w:style>
  <w:style w:type="table" w:customStyle="1" w:styleId="TableGridLight1">
    <w:name w:val="Table Grid Light1"/>
    <w:basedOn w:val="TableNormal"/>
    <w:next w:val="TableGridLight"/>
    <w:uiPriority w:val="40"/>
    <w:rsid w:val="00A24B35"/>
    <w:pPr>
      <w:spacing w:before="60" w:after="0" w:line="240" w:lineRule="auto"/>
      <w:jc w:val="left"/>
    </w:pPr>
    <w:rPr>
      <w:rFonts w:asciiTheme="minorHAnsi" w:eastAsia="Times New Roman" w:hAnsiTheme="minorHAnsi" w:cs="Times New Roman"/>
      <w:color w:val="auto"/>
      <w:sz w:val="22"/>
      <w:szCs w:val="22"/>
      <w:lang w:val="en-US"/>
    </w:rPr>
    <w:tblPr/>
  </w:style>
  <w:style w:type="table" w:customStyle="1" w:styleId="GridTable1Light-Accent41">
    <w:name w:val="Grid Table 1 Light - Accent 41"/>
    <w:basedOn w:val="TableNormal"/>
    <w:next w:val="GridTable1Light-Accent4"/>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C690"/>
        <w:left w:val="single" w:sz="4" w:space="0" w:color="FFC690"/>
        <w:bottom w:val="single" w:sz="4" w:space="0" w:color="FFC690"/>
        <w:right w:val="single" w:sz="4" w:space="0" w:color="FFC690"/>
        <w:insideH w:val="single" w:sz="4" w:space="0" w:color="FFC690"/>
        <w:insideV w:val="single" w:sz="4" w:space="0" w:color="FFC690"/>
      </w:tblBorders>
    </w:tblPr>
    <w:tblStylePr w:type="firstRow">
      <w:rPr>
        <w:b/>
        <w:bCs/>
      </w:rPr>
      <w:tblPr/>
      <w:tcPr>
        <w:tcBorders>
          <w:bottom w:val="single" w:sz="12" w:space="0" w:color="FFAA58"/>
        </w:tcBorders>
      </w:tcPr>
    </w:tblStylePr>
    <w:tblStylePr w:type="lastRow">
      <w:rPr>
        <w:b/>
        <w:bCs/>
      </w:rPr>
      <w:tblPr/>
      <w:tcPr>
        <w:tcBorders>
          <w:top w:val="double" w:sz="2" w:space="0" w:color="FFAA58"/>
        </w:tcBorders>
      </w:tcPr>
    </w:tblStylePr>
    <w:tblStylePr w:type="firstCol">
      <w:rPr>
        <w:b/>
        <w:bCs/>
      </w:rPr>
    </w:tblStylePr>
    <w:tblStylePr w:type="lastCol">
      <w:rPr>
        <w:b/>
        <w:bCs/>
      </w:rPr>
    </w:tblStylePr>
  </w:style>
  <w:style w:type="character" w:customStyle="1" w:styleId="BodyTextChar1">
    <w:name w:val="Body Text Char1"/>
    <w:basedOn w:val="DefaultParagraphFont"/>
    <w:uiPriority w:val="99"/>
    <w:semiHidden/>
    <w:rsid w:val="00A24B35"/>
  </w:style>
  <w:style w:type="table" w:customStyle="1" w:styleId="ColorfulGrid1">
    <w:name w:val="Colorful Grid1"/>
    <w:basedOn w:val="TableNormal"/>
    <w:next w:val="ColorfulGrid"/>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1D5D5"/>
    </w:tcPr>
    <w:tblStylePr w:type="firstRow">
      <w:rPr>
        <w:b/>
        <w:bCs/>
      </w:rPr>
      <w:tblPr/>
      <w:tcPr>
        <w:shd w:val="clear" w:color="auto" w:fill="A3ACAC"/>
      </w:tcPr>
    </w:tblStylePr>
    <w:tblStylePr w:type="lastRow">
      <w:rPr>
        <w:b/>
        <w:bCs/>
        <w:color w:val="242828"/>
      </w:rPr>
      <w:tblPr/>
      <w:tcPr>
        <w:shd w:val="clear" w:color="auto" w:fill="A3ACAC"/>
      </w:tcPr>
    </w:tblStylePr>
    <w:tblStylePr w:type="firstCol">
      <w:rPr>
        <w:color w:val="FFFFFF"/>
      </w:rPr>
    </w:tblStylePr>
    <w:tblStylePr w:type="lastCol">
      <w:rPr>
        <w:color w:val="FFFFFF"/>
      </w:rPr>
    </w:tblStylePr>
  </w:style>
  <w:style w:type="table" w:customStyle="1" w:styleId="ColorfulGrid-Accent11">
    <w:name w:val="Colorful Grid - Accent 11"/>
    <w:basedOn w:val="TableNormal"/>
    <w:next w:val="ColorfulGrid-Accent1"/>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DF9FF"/>
    </w:tcPr>
    <w:tblStylePr w:type="firstRow">
      <w:rPr>
        <w:b/>
        <w:bCs/>
      </w:rPr>
      <w:tblPr/>
      <w:tcPr>
        <w:shd w:val="clear" w:color="auto" w:fill="7BF3FF"/>
      </w:tcPr>
    </w:tblStylePr>
    <w:tblStylePr w:type="lastRow">
      <w:rPr>
        <w:b/>
        <w:bCs/>
        <w:color w:val="242828"/>
      </w:rPr>
      <w:tblPr/>
      <w:tcPr>
        <w:shd w:val="clear" w:color="auto" w:fill="7BF3FF"/>
      </w:tcPr>
    </w:tblStylePr>
    <w:tblStylePr w:type="firstCol">
      <w:rPr>
        <w:color w:val="FFFFFF"/>
      </w:rPr>
      <w:tblPr/>
      <w:tcPr>
        <w:shd w:val="clear" w:color="auto" w:fill="007B88"/>
      </w:tcPr>
    </w:tblStylePr>
    <w:tblStylePr w:type="lastCol">
      <w:rPr>
        <w:color w:val="FFFFFF"/>
      </w:rPr>
    </w:tblStylePr>
  </w:style>
  <w:style w:type="table" w:customStyle="1" w:styleId="ColorfulGrid-Accent21">
    <w:name w:val="Colorful Grid - Accent 21"/>
    <w:basedOn w:val="TableNormal"/>
    <w:next w:val="ColorfulGrid-Accent2"/>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6FFEB"/>
    </w:tcPr>
    <w:tblStylePr w:type="firstRow">
      <w:rPr>
        <w:b/>
        <w:bCs/>
      </w:rPr>
      <w:tblPr/>
      <w:tcPr>
        <w:shd w:val="clear" w:color="auto" w:fill="6EFFD8"/>
      </w:tcPr>
    </w:tblStylePr>
    <w:tblStylePr w:type="lastRow">
      <w:rPr>
        <w:b/>
        <w:bCs/>
        <w:color w:val="242828"/>
      </w:rPr>
      <w:tblPr/>
      <w:tcPr>
        <w:shd w:val="clear" w:color="auto" w:fill="6EFFD8"/>
      </w:tcPr>
    </w:tblStylePr>
    <w:tblStylePr w:type="firstCol">
      <w:rPr>
        <w:color w:val="FFFFFF"/>
      </w:rPr>
      <w:tblPr/>
      <w:tcPr>
        <w:shd w:val="clear" w:color="auto" w:fill="006F52"/>
      </w:tcPr>
    </w:tblStylePr>
    <w:tblStylePr w:type="lastCol">
      <w:rPr>
        <w:color w:val="FFFFFF"/>
      </w:rPr>
    </w:tblStylePr>
  </w:style>
  <w:style w:type="table" w:customStyle="1" w:styleId="ColorfulGrid-Accent31">
    <w:name w:val="Colorful Grid - Accent 31"/>
    <w:basedOn w:val="TableNormal"/>
    <w:next w:val="ColorfulGrid-Accent3"/>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EC7EA"/>
    </w:tcPr>
    <w:tblStylePr w:type="firstRow">
      <w:rPr>
        <w:b/>
        <w:bCs/>
      </w:rPr>
      <w:tblPr/>
      <w:tcPr>
        <w:shd w:val="clear" w:color="auto" w:fill="DE90D5"/>
      </w:tcPr>
    </w:tblStylePr>
    <w:tblStylePr w:type="lastRow">
      <w:rPr>
        <w:b/>
        <w:bCs/>
        <w:color w:val="242828"/>
      </w:rPr>
      <w:tblPr/>
      <w:tcPr>
        <w:shd w:val="clear" w:color="auto" w:fill="DE90D5"/>
      </w:tcPr>
    </w:tblStylePr>
    <w:tblStylePr w:type="firstCol">
      <w:rPr>
        <w:color w:val="FFFFFF"/>
      </w:rPr>
      <w:tblPr/>
      <w:tcPr>
        <w:shd w:val="clear" w:color="auto" w:fill="581A51"/>
      </w:tcPr>
    </w:tblStylePr>
    <w:tblStylePr w:type="lastCol">
      <w:rPr>
        <w:color w:val="FFFFFF"/>
      </w:rPr>
      <w:tblPr/>
      <w:tcPr>
        <w:shd w:val="clear" w:color="auto" w:fill="581A51"/>
      </w:tcPr>
    </w:tblStylePr>
  </w:style>
  <w:style w:type="table" w:customStyle="1" w:styleId="ColorfulGrid-Accent41">
    <w:name w:val="Colorful Grid - Accent 41"/>
    <w:basedOn w:val="TableNormal"/>
    <w:next w:val="ColorfulGrid-Accent4"/>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E2C7"/>
    </w:tcPr>
    <w:tblStylePr w:type="firstRow">
      <w:rPr>
        <w:b/>
        <w:bCs/>
      </w:rPr>
      <w:tblPr/>
      <w:tcPr>
        <w:shd w:val="clear" w:color="auto" w:fill="FFC690"/>
      </w:tcPr>
    </w:tblStylePr>
    <w:tblStylePr w:type="lastRow">
      <w:rPr>
        <w:b/>
        <w:bCs/>
        <w:color w:val="242828"/>
      </w:rPr>
      <w:tblPr/>
      <w:tcPr>
        <w:shd w:val="clear" w:color="auto" w:fill="FFC690"/>
      </w:tcPr>
    </w:tblStylePr>
    <w:tblStylePr w:type="firstCol">
      <w:rPr>
        <w:color w:val="FFFFFF"/>
      </w:rPr>
      <w:tblPr/>
      <w:tcPr>
        <w:shd w:val="clear" w:color="auto" w:fill="AE5500"/>
      </w:tcPr>
    </w:tblStylePr>
    <w:tblStylePr w:type="lastCol">
      <w:rPr>
        <w:color w:val="FFFFFF"/>
      </w:rPr>
    </w:tblStylePr>
  </w:style>
  <w:style w:type="table" w:customStyle="1" w:styleId="ColorfulGrid-Accent51">
    <w:name w:val="Colorful Grid - Accent 51"/>
    <w:basedOn w:val="TableNormal"/>
    <w:next w:val="ColorfulGrid-Accent5"/>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5F6F6"/>
    </w:tcPr>
    <w:tblStylePr w:type="firstRow">
      <w:rPr>
        <w:b/>
        <w:bCs/>
      </w:rPr>
      <w:tblPr/>
      <w:tcPr>
        <w:shd w:val="clear" w:color="auto" w:fill="ECEDED"/>
      </w:tcPr>
    </w:tblStylePr>
    <w:tblStylePr w:type="lastRow">
      <w:rPr>
        <w:b/>
        <w:bCs/>
        <w:color w:val="242828"/>
      </w:rPr>
      <w:tblPr/>
      <w:tcPr>
        <w:shd w:val="clear" w:color="auto" w:fill="ECEDED"/>
      </w:tcPr>
    </w:tblStylePr>
    <w:tblStylePr w:type="firstCol">
      <w:rPr>
        <w:color w:val="FFFFFF"/>
      </w:rPr>
      <w:tblPr/>
      <w:tcPr>
        <w:shd w:val="clear" w:color="auto" w:fill="9A9E9E"/>
      </w:tcPr>
    </w:tblStylePr>
    <w:tblStylePr w:type="lastCol">
      <w:rPr>
        <w:color w:val="FFFFFF"/>
      </w:rPr>
    </w:tblStylePr>
  </w:style>
  <w:style w:type="table" w:customStyle="1" w:styleId="ColorfulGrid-Accent61">
    <w:name w:val="Colorful Grid - Accent 61"/>
    <w:basedOn w:val="TableNormal"/>
    <w:next w:val="ColorfulGrid-Accent6"/>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List1">
    <w:name w:val="Colorful List1"/>
    <w:basedOn w:val="TableNormal"/>
    <w:next w:val="ColorfulList"/>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8EAEA"/>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CCC"/>
      </w:tcPr>
    </w:tblStylePr>
    <w:tblStylePr w:type="band1Horz">
      <w:tblPr/>
      <w:tcPr>
        <w:shd w:val="clear" w:color="auto" w:fill="D1D5D5"/>
      </w:tcPr>
    </w:tblStylePr>
  </w:style>
  <w:style w:type="table" w:customStyle="1" w:styleId="ColorfulList-Accent11">
    <w:name w:val="Colorful List - Accent 11"/>
    <w:basedOn w:val="TableNormal"/>
    <w:next w:val="ColorfulList-Accent1"/>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EFCFF"/>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F"/>
      </w:tcPr>
    </w:tblStylePr>
    <w:tblStylePr w:type="band1Horz">
      <w:tblPr/>
      <w:tcPr>
        <w:shd w:val="clear" w:color="auto" w:fill="BDF9FF"/>
      </w:tcPr>
    </w:tblStylePr>
  </w:style>
  <w:style w:type="table" w:customStyle="1" w:styleId="ColorfulList-Accent21">
    <w:name w:val="Colorful List - Accent 21"/>
    <w:basedOn w:val="TableNormal"/>
    <w:next w:val="ColorfulList-Accent2"/>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BFFF5"/>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7"/>
      </w:tcPr>
    </w:tblStylePr>
    <w:tblStylePr w:type="band1Horz">
      <w:tblPr/>
      <w:tcPr>
        <w:shd w:val="clear" w:color="auto" w:fill="B6FFEB"/>
      </w:tcPr>
    </w:tblStylePr>
  </w:style>
  <w:style w:type="table" w:customStyle="1" w:styleId="ColorfulList-Accent31">
    <w:name w:val="Colorful List - Accent 31"/>
    <w:basedOn w:val="TableNormal"/>
    <w:next w:val="ColorfulList-Accent3"/>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7E4F4"/>
    </w:tcPr>
    <w:tblStylePr w:type="firstRow">
      <w:rPr>
        <w:b/>
        <w:bCs/>
        <w:color w:val="FFFFFF"/>
      </w:rPr>
      <w:tblPr/>
      <w:tcPr>
        <w:tcBorders>
          <w:bottom w:val="single" w:sz="12" w:space="0" w:color="FFFFFF"/>
        </w:tcBorders>
        <w:shd w:val="clear" w:color="auto" w:fill="BA5B00"/>
      </w:tcPr>
    </w:tblStylePr>
    <w:tblStylePr w:type="lastRow">
      <w:rPr>
        <w:b/>
        <w:bCs/>
        <w:color w:val="BA5B00"/>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E5"/>
      </w:tcPr>
    </w:tblStylePr>
    <w:tblStylePr w:type="band1Horz">
      <w:tblPr/>
      <w:tcPr>
        <w:shd w:val="clear" w:color="auto" w:fill="EEC7EA"/>
      </w:tcPr>
    </w:tblStylePr>
  </w:style>
  <w:style w:type="table" w:customStyle="1" w:styleId="ColorfulList-Accent41">
    <w:name w:val="Colorful List - Accent 41"/>
    <w:basedOn w:val="TableNormal"/>
    <w:next w:val="ColorfulList-Accent4"/>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F1E3"/>
    </w:tcPr>
    <w:tblStylePr w:type="firstRow">
      <w:rPr>
        <w:b/>
        <w:bCs/>
        <w:color w:val="FFFFFF"/>
      </w:rPr>
      <w:tblPr/>
      <w:tcPr>
        <w:tcBorders>
          <w:bottom w:val="single" w:sz="12" w:space="0" w:color="FFFFFF"/>
        </w:tcBorders>
        <w:shd w:val="clear" w:color="auto" w:fill="5E1C57"/>
      </w:tcPr>
    </w:tblStylePr>
    <w:tblStylePr w:type="lastRow">
      <w:rPr>
        <w:b/>
        <w:bCs/>
        <w:color w:val="5E1C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cPr>
    </w:tblStylePr>
    <w:tblStylePr w:type="band1Horz">
      <w:tblPr/>
      <w:tcPr>
        <w:shd w:val="clear" w:color="auto" w:fill="FFE2C7"/>
      </w:tcPr>
    </w:tblStylePr>
  </w:style>
  <w:style w:type="table" w:customStyle="1" w:styleId="ColorfulList-Accent51">
    <w:name w:val="Colorful List - Accent 51"/>
    <w:basedOn w:val="TableNormal"/>
    <w:next w:val="ColorfulList-Accent5"/>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AFAFA"/>
    </w:tcPr>
    <w:tblStylePr w:type="firstRow">
      <w:rPr>
        <w:b/>
        <w:bCs/>
        <w:color w:val="FFFFFF"/>
      </w:rPr>
      <w:tblPr/>
      <w:tcPr>
        <w:tcBorders>
          <w:bottom w:val="single" w:sz="12" w:space="0" w:color="FFFFFF"/>
        </w:tcBorders>
        <w:shd w:val="clear" w:color="auto" w:fill="007BB2"/>
      </w:tcPr>
    </w:tblStylePr>
    <w:tblStylePr w:type="lastRow">
      <w:rPr>
        <w:b/>
        <w:bCs/>
        <w:color w:val="007BB2"/>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3"/>
      </w:tcPr>
    </w:tblStylePr>
    <w:tblStylePr w:type="band1Horz">
      <w:tblPr/>
      <w:tcPr>
        <w:shd w:val="clear" w:color="auto" w:fill="F5F6F6"/>
      </w:tcPr>
    </w:tblStylePr>
  </w:style>
  <w:style w:type="table" w:customStyle="1" w:styleId="ColorfulList-Accent61">
    <w:name w:val="Colorful List - Accent 61"/>
    <w:basedOn w:val="TableNormal"/>
    <w:next w:val="ColorfulList-Accent6"/>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2F6FF"/>
    </w:tcPr>
    <w:tblStylePr w:type="firstRow">
      <w:rPr>
        <w:b/>
        <w:bCs/>
        <w:color w:val="FFFFFF"/>
      </w:rPr>
      <w:tblPr/>
      <w:tcPr>
        <w:tcBorders>
          <w:bottom w:val="single" w:sz="12" w:space="0" w:color="FFFFFF"/>
        </w:tcBorders>
        <w:shd w:val="clear" w:color="auto" w:fill="A5A9A9"/>
      </w:tcPr>
    </w:tblStylePr>
    <w:tblStylePr w:type="lastRow">
      <w:rPr>
        <w:b/>
        <w:bCs/>
        <w:color w:val="A5A9A9"/>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9FF"/>
      </w:tcPr>
    </w:tblStylePr>
    <w:tblStylePr w:type="band1Horz">
      <w:tblPr/>
      <w:tcPr>
        <w:shd w:val="clear" w:color="auto" w:fill="C5EDFF"/>
      </w:tcPr>
    </w:tblStylePr>
  </w:style>
  <w:style w:type="table" w:customStyle="1" w:styleId="ColorfulShading1">
    <w:name w:val="Colorful Shading1"/>
    <w:basedOn w:val="TableNormal"/>
    <w:next w:val="ColorfulShading"/>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8EAEA"/>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51717"/>
      </w:tcPr>
    </w:tblStylePr>
    <w:tblStylePr w:type="firstCol">
      <w:rPr>
        <w:color w:val="FFFFFF"/>
      </w:rPr>
      <w:tblPr/>
      <w:tcPr>
        <w:tcBorders>
          <w:top w:val="nil"/>
          <w:left w:val="nil"/>
          <w:bottom w:val="nil"/>
          <w:right w:val="nil"/>
          <w:insideH w:val="single" w:sz="4" w:space="0" w:color="151717"/>
          <w:insideV w:val="nil"/>
        </w:tcBorders>
        <w:shd w:val="clear" w:color="auto" w:fill="151717"/>
      </w:tcPr>
    </w:tblStylePr>
    <w:tblStylePr w:type="lastCol">
      <w:rPr>
        <w:color w:val="FFFFFF"/>
      </w:rPr>
      <w:tblPr/>
      <w:tcPr>
        <w:tcBorders>
          <w:top w:val="nil"/>
          <w:left w:val="nil"/>
          <w:bottom w:val="nil"/>
          <w:right w:val="nil"/>
          <w:insideH w:val="nil"/>
          <w:insideV w:val="nil"/>
        </w:tcBorders>
        <w:shd w:val="clear" w:color="auto" w:fill="1B1D1D"/>
      </w:tcPr>
    </w:tblStylePr>
    <w:tblStylePr w:type="neCell">
      <w:rPr>
        <w:color w:val="242828"/>
      </w:rPr>
    </w:tblStylePr>
    <w:tblStylePr w:type="nwCell">
      <w:rPr>
        <w:color w:val="242828"/>
      </w:rPr>
    </w:tblStylePr>
  </w:style>
  <w:style w:type="table" w:customStyle="1" w:styleId="ColorfulShading-Accent11">
    <w:name w:val="Colorful Shading - Accent 11"/>
    <w:basedOn w:val="TableNormal"/>
    <w:next w:val="ColorfulShading-Accent1"/>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EFCFF"/>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636D"/>
      </w:tcPr>
    </w:tblStylePr>
    <w:tblStylePr w:type="firstCol">
      <w:rPr>
        <w:color w:val="FFFFFF"/>
      </w:rPr>
      <w:tblPr/>
      <w:tcPr>
        <w:tcBorders>
          <w:top w:val="nil"/>
          <w:left w:val="nil"/>
          <w:bottom w:val="nil"/>
          <w:right w:val="nil"/>
          <w:insideH w:val="single" w:sz="4" w:space="0" w:color="00636D"/>
          <w:insideV w:val="nil"/>
        </w:tcBorders>
        <w:shd w:val="clear" w:color="auto" w:fill="00636D"/>
      </w:tcPr>
    </w:tblStylePr>
    <w:tblStylePr w:type="lastCol">
      <w:rPr>
        <w:color w:val="FFFFFF"/>
      </w:rPr>
      <w:tblPr/>
      <w:tcPr>
        <w:tcBorders>
          <w:top w:val="nil"/>
          <w:left w:val="nil"/>
          <w:bottom w:val="nil"/>
          <w:right w:val="nil"/>
          <w:insideH w:val="nil"/>
          <w:insideV w:val="nil"/>
        </w:tcBorders>
        <w:shd w:val="clear" w:color="auto" w:fill="00636D"/>
      </w:tcPr>
    </w:tblStylePr>
    <w:tblStylePr w:type="band1Vert">
      <w:tblPr/>
      <w:tcPr>
        <w:shd w:val="clear" w:color="auto" w:fill="7BF3FF"/>
      </w:tcPr>
    </w:tblStylePr>
    <w:tblStylePr w:type="neCell">
      <w:rPr>
        <w:color w:val="242828"/>
      </w:rPr>
    </w:tblStylePr>
    <w:tblStylePr w:type="nwCell">
      <w:rPr>
        <w:color w:val="242828"/>
      </w:rPr>
    </w:tblStylePr>
  </w:style>
  <w:style w:type="table" w:customStyle="1" w:styleId="ColorfulShading-Accent21">
    <w:name w:val="Colorful Shading - Accent 21"/>
    <w:basedOn w:val="TableNormal"/>
    <w:next w:val="ColorfulShading-Accent2"/>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BFFF5"/>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941"/>
      </w:tcPr>
    </w:tblStylePr>
    <w:tblStylePr w:type="firstCol">
      <w:rPr>
        <w:color w:val="FFFFFF"/>
      </w:rPr>
      <w:tblPr/>
      <w:tcPr>
        <w:tcBorders>
          <w:top w:val="nil"/>
          <w:left w:val="nil"/>
          <w:bottom w:val="nil"/>
          <w:right w:val="nil"/>
          <w:insideH w:val="single" w:sz="4" w:space="0" w:color="005941"/>
          <w:insideV w:val="nil"/>
        </w:tcBorders>
        <w:shd w:val="clear" w:color="auto" w:fill="005941"/>
      </w:tcPr>
    </w:tblStylePr>
    <w:tblStylePr w:type="lastCol">
      <w:rPr>
        <w:color w:val="FFFFFF"/>
      </w:rPr>
      <w:tblPr/>
      <w:tcPr>
        <w:tcBorders>
          <w:top w:val="nil"/>
          <w:left w:val="nil"/>
          <w:bottom w:val="nil"/>
          <w:right w:val="nil"/>
          <w:insideH w:val="nil"/>
          <w:insideV w:val="nil"/>
        </w:tcBorders>
        <w:shd w:val="clear" w:color="auto" w:fill="005941"/>
      </w:tcPr>
    </w:tblStylePr>
    <w:tblStylePr w:type="band1Vert">
      <w:tblPr/>
      <w:tcPr>
        <w:shd w:val="clear" w:color="auto" w:fill="6EFFD8"/>
      </w:tcPr>
    </w:tblStylePr>
    <w:tblStylePr w:type="neCell">
      <w:rPr>
        <w:color w:val="242828"/>
      </w:rPr>
    </w:tblStylePr>
    <w:tblStylePr w:type="nwCell">
      <w:rPr>
        <w:color w:val="242828"/>
      </w:rPr>
    </w:tblStylePr>
  </w:style>
  <w:style w:type="table" w:customStyle="1" w:styleId="ColorfulShading-Accent31">
    <w:name w:val="Colorful Shading - Accent 31"/>
    <w:basedOn w:val="TableNormal"/>
    <w:next w:val="ColorfulShading-Accent3"/>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7E4F4"/>
    </w:tcPr>
    <w:tblStylePr w:type="firstRow">
      <w:rPr>
        <w:b/>
        <w:bCs/>
      </w:rPr>
      <w:tblPr/>
      <w:tcPr>
        <w:tcBorders>
          <w:top w:val="nil"/>
          <w:left w:val="nil"/>
          <w:bottom w:val="single" w:sz="24" w:space="0" w:color="E973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61541"/>
      </w:tcPr>
    </w:tblStylePr>
    <w:tblStylePr w:type="firstCol">
      <w:rPr>
        <w:color w:val="FFFFFF"/>
      </w:rPr>
    </w:tblStylePr>
    <w:tblStylePr w:type="lastCol">
      <w:rPr>
        <w:color w:val="FFFFFF"/>
      </w:rPr>
    </w:tblStylePr>
  </w:style>
  <w:style w:type="table" w:customStyle="1" w:styleId="ColorfulShading-Accent41">
    <w:name w:val="Colorful Shading - Accent 41"/>
    <w:basedOn w:val="TableNormal"/>
    <w:next w:val="ColorfulShading-Accent4"/>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tcBorders>
        <w:top w:val="nil"/>
        <w:left w:val="nil"/>
        <w:bottom w:val="nil"/>
        <w:right w:val="nil"/>
      </w:tcBorders>
      <w:shd w:val="clear" w:color="auto" w:fill="FFF1E3"/>
    </w:tcPr>
    <w:tblStylePr w:type="firstRow">
      <w:rPr>
        <w:b/>
        <w:bCs/>
      </w:rPr>
      <w:tblPr/>
      <w:tcPr>
        <w:tcBorders>
          <w:top w:val="nil"/>
          <w:left w:val="nil"/>
          <w:bottom w:val="single" w:sz="24" w:space="0" w:color="7623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B4400"/>
      </w:tcPr>
    </w:tblStylePr>
    <w:tblStylePr w:type="firstCol">
      <w:rPr>
        <w:color w:val="FFFFFF"/>
      </w:rPr>
      <w:tblPr/>
      <w:tcPr>
        <w:tcBorders>
          <w:top w:val="nil"/>
          <w:left w:val="nil"/>
          <w:bottom w:val="nil"/>
          <w:right w:val="nil"/>
          <w:insideH w:val="single" w:sz="4" w:space="0" w:color="8B4400"/>
          <w:insideV w:val="nil"/>
        </w:tcBorders>
        <w:shd w:val="clear" w:color="auto" w:fill="8B4400"/>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51">
    <w:name w:val="Colorful Shading - Accent 51"/>
    <w:basedOn w:val="TableNormal"/>
    <w:next w:val="ColorfulShading-Accent5"/>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AFAFA"/>
    </w:tcPr>
    <w:tblStylePr w:type="firstRow">
      <w:rPr>
        <w:b/>
        <w:bCs/>
      </w:rPr>
      <w:tblPr/>
      <w:tcPr>
        <w:tcBorders>
          <w:top w:val="nil"/>
          <w:left w:val="nil"/>
          <w:bottom w:val="single" w:sz="24" w:space="0" w:color="009BDF"/>
          <w:right w:val="nil"/>
          <w:insideH w:val="nil"/>
          <w:insideV w:val="nil"/>
        </w:tcBorders>
        <w:shd w:val="clear" w:color="auto" w:fill="FFFFFF"/>
      </w:tcPr>
    </w:tblStylePr>
    <w:tblStylePr w:type="lastRow">
      <w:rPr>
        <w:b/>
        <w:bCs/>
        <w:color w:val="FFFFFF"/>
      </w:rPr>
    </w:tblStylePr>
    <w:tblStylePr w:type="firstCol">
      <w:rPr>
        <w:color w:val="FFFFFF"/>
      </w:rPr>
    </w:tblStylePr>
    <w:tblStylePr w:type="lastCol">
      <w:rPr>
        <w:color w:val="FFFFFF"/>
      </w:rPr>
    </w:tblStylePr>
    <w:tblStylePr w:type="neCell">
      <w:rPr>
        <w:color w:val="242828"/>
      </w:rPr>
    </w:tblStylePr>
    <w:tblStylePr w:type="nwCell">
      <w:rPr>
        <w:color w:val="242828"/>
      </w:rPr>
    </w:tblStylePr>
  </w:style>
  <w:style w:type="table" w:customStyle="1" w:styleId="ColorfulShading-Accent61">
    <w:name w:val="Colorful Shading - Accent 61"/>
    <w:basedOn w:val="TableNormal"/>
    <w:next w:val="ColorfulShading-Accent6"/>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2F6FF"/>
    </w:tcPr>
    <w:tblStylePr w:type="firstRow">
      <w:rPr>
        <w:b/>
        <w:bCs/>
      </w:rPr>
      <w:tblPr/>
      <w:tcPr>
        <w:tcBorders>
          <w:top w:val="nil"/>
          <w:left w:val="nil"/>
          <w:bottom w:val="single" w:sz="24" w:space="0" w:color="D0D2D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C85"/>
      </w:tcPr>
    </w:tblStylePr>
    <w:tblStylePr w:type="firstCol">
      <w:rPr>
        <w:color w:val="FFFFFF"/>
      </w:rPr>
      <w:tblPr/>
      <w:tcPr>
        <w:tcBorders>
          <w:top w:val="nil"/>
          <w:left w:val="nil"/>
          <w:bottom w:val="nil"/>
          <w:right w:val="nil"/>
          <w:insideH w:val="single" w:sz="4" w:space="0" w:color="005C85"/>
          <w:insideV w:val="nil"/>
        </w:tcBorders>
        <w:shd w:val="clear" w:color="auto" w:fill="005C85"/>
      </w:tcPr>
    </w:tblStylePr>
    <w:tblStylePr w:type="lastCol">
      <w:rPr>
        <w:color w:val="FFFFFF"/>
      </w:rPr>
      <w:tblPr/>
      <w:tcPr>
        <w:tcBorders>
          <w:top w:val="nil"/>
          <w:left w:val="nil"/>
          <w:bottom w:val="nil"/>
          <w:right w:val="nil"/>
          <w:insideH w:val="nil"/>
          <w:insideV w:val="nil"/>
        </w:tcBorders>
        <w:shd w:val="clear" w:color="auto" w:fill="005C85"/>
      </w:tcPr>
    </w:tblStylePr>
    <w:tblStylePr w:type="neCell">
      <w:rPr>
        <w:color w:val="242828"/>
      </w:rPr>
    </w:tblStylePr>
    <w:tblStylePr w:type="nwCell">
      <w:rPr>
        <w:color w:val="242828"/>
      </w:rPr>
    </w:tblStylePr>
  </w:style>
  <w:style w:type="table" w:customStyle="1" w:styleId="DarkList1">
    <w:name w:val="Dark List1"/>
    <w:basedOn w:val="TableNormal"/>
    <w:next w:val="DarkList"/>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242828"/>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121313"/>
      </w:tcPr>
    </w:tblStylePr>
    <w:tblStylePr w:type="firstCol">
      <w:tblPr/>
      <w:tcPr>
        <w:tcBorders>
          <w:top w:val="nil"/>
          <w:left w:val="nil"/>
          <w:bottom w:val="nil"/>
          <w:right w:val="single" w:sz="18" w:space="0" w:color="FFFFFF"/>
          <w:insideH w:val="nil"/>
          <w:insideV w:val="nil"/>
        </w:tcBorders>
        <w:shd w:val="clear" w:color="auto" w:fill="1B1D1D"/>
      </w:tcPr>
    </w:tblStylePr>
    <w:tblStylePr w:type="lastCol">
      <w:tblPr/>
      <w:tcPr>
        <w:tcBorders>
          <w:top w:val="nil"/>
          <w:left w:val="single" w:sz="18" w:space="0" w:color="FFFFFF"/>
          <w:bottom w:val="nil"/>
          <w:right w:val="nil"/>
          <w:insideH w:val="nil"/>
          <w:insideV w:val="nil"/>
        </w:tcBorders>
        <w:shd w:val="clear" w:color="auto" w:fill="1B1D1D"/>
      </w:tcPr>
    </w:tblStylePr>
  </w:style>
  <w:style w:type="table" w:customStyle="1" w:styleId="DarkList-Accent11">
    <w:name w:val="Dark List - Accent 11"/>
    <w:basedOn w:val="TableNormal"/>
    <w:next w:val="DarkList-Accent1"/>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A6B6"/>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525A"/>
      </w:tcPr>
    </w:tblStylePr>
    <w:tblStylePr w:type="firstCol">
      <w:tblPr/>
      <w:tcPr>
        <w:tcBorders>
          <w:top w:val="nil"/>
          <w:left w:val="nil"/>
          <w:bottom w:val="nil"/>
          <w:right w:val="single" w:sz="18" w:space="0" w:color="FFFFFF"/>
          <w:insideH w:val="nil"/>
          <w:insideV w:val="nil"/>
        </w:tcBorders>
        <w:shd w:val="clear" w:color="auto" w:fill="007B88"/>
      </w:tcPr>
    </w:tblStylePr>
    <w:tblStylePr w:type="lastCol">
      <w:tblPr/>
      <w:tcPr>
        <w:tcBorders>
          <w:top w:val="nil"/>
          <w:left w:val="single" w:sz="18" w:space="0" w:color="FFFFFF"/>
          <w:bottom w:val="nil"/>
          <w:right w:val="nil"/>
          <w:insideH w:val="nil"/>
          <w:insideV w:val="nil"/>
        </w:tcBorders>
        <w:shd w:val="clear" w:color="auto" w:fill="007B88"/>
      </w:tcPr>
    </w:tblStylePr>
  </w:style>
  <w:style w:type="table" w:customStyle="1" w:styleId="DarkList-Accent21">
    <w:name w:val="Dark List - Accent 21"/>
    <w:basedOn w:val="TableNormal"/>
    <w:next w:val="DarkList-Accent2"/>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956E"/>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4A36"/>
      </w:tcPr>
    </w:tblStylePr>
    <w:tblStylePr w:type="firstCol">
      <w:tblPr/>
      <w:tcPr>
        <w:tcBorders>
          <w:top w:val="nil"/>
          <w:left w:val="nil"/>
          <w:bottom w:val="nil"/>
          <w:right w:val="single" w:sz="18" w:space="0" w:color="FFFFFF"/>
          <w:insideH w:val="nil"/>
          <w:insideV w:val="nil"/>
        </w:tcBorders>
        <w:shd w:val="clear" w:color="auto" w:fill="006F52"/>
      </w:tcPr>
    </w:tblStylePr>
    <w:tblStylePr w:type="lastCol">
      <w:tblPr/>
      <w:tcPr>
        <w:tcBorders>
          <w:top w:val="nil"/>
          <w:left w:val="single" w:sz="18" w:space="0" w:color="FFFFFF"/>
          <w:bottom w:val="nil"/>
          <w:right w:val="nil"/>
          <w:insideH w:val="nil"/>
          <w:insideV w:val="nil"/>
        </w:tcBorders>
        <w:shd w:val="clear" w:color="auto" w:fill="006F52"/>
      </w:tcPr>
    </w:tblStylePr>
  </w:style>
  <w:style w:type="table" w:customStyle="1" w:styleId="DarkList-Accent31">
    <w:name w:val="Dark List - Accent 31"/>
    <w:basedOn w:val="TableNormal"/>
    <w:next w:val="DarkList-Accent3"/>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76236D"/>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3A1135"/>
      </w:tcPr>
    </w:tblStylePr>
    <w:tblStylePr w:type="firstCol">
      <w:tblPr/>
      <w:tcPr>
        <w:tcBorders>
          <w:top w:val="nil"/>
          <w:left w:val="nil"/>
          <w:bottom w:val="nil"/>
          <w:right w:val="single" w:sz="18" w:space="0" w:color="FFFFFF"/>
          <w:insideH w:val="nil"/>
          <w:insideV w:val="nil"/>
        </w:tcBorders>
        <w:shd w:val="clear" w:color="auto" w:fill="581A51"/>
      </w:tcPr>
    </w:tblStylePr>
    <w:tblStylePr w:type="lastCol">
      <w:tblPr/>
      <w:tcPr>
        <w:tcBorders>
          <w:top w:val="nil"/>
          <w:left w:val="single" w:sz="18" w:space="0" w:color="FFFFFF"/>
          <w:bottom w:val="nil"/>
          <w:right w:val="nil"/>
          <w:insideH w:val="nil"/>
          <w:insideV w:val="nil"/>
        </w:tcBorders>
        <w:shd w:val="clear" w:color="auto" w:fill="581A51"/>
      </w:tcPr>
    </w:tblStylePr>
  </w:style>
  <w:style w:type="table" w:customStyle="1" w:styleId="DarkList-Accent41">
    <w:name w:val="Dark List - Accent 41"/>
    <w:basedOn w:val="TableNormal"/>
    <w:next w:val="DarkList-Accent4"/>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bottom w:val="nil"/>
        <w:right w:val="nil"/>
      </w:tcBorders>
      <w:shd w:val="clear" w:color="auto" w:fill="E97300"/>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743800"/>
      </w:tcPr>
    </w:tblStylePr>
    <w:tblStylePr w:type="firstCol">
      <w:tblPr/>
      <w:tcPr>
        <w:tcBorders>
          <w:top w:val="nil"/>
          <w:left w:val="nil"/>
          <w:bottom w:val="nil"/>
          <w:right w:val="single" w:sz="18" w:space="0" w:color="FFFFFF"/>
          <w:insideH w:val="nil"/>
          <w:insideV w:val="nil"/>
        </w:tcBorders>
        <w:shd w:val="clear" w:color="auto" w:fill="AE5500"/>
      </w:tcPr>
    </w:tblStylePr>
  </w:style>
  <w:style w:type="table" w:customStyle="1" w:styleId="DarkList-Accent51">
    <w:name w:val="Dark List - Accent 51"/>
    <w:basedOn w:val="TableNormal"/>
    <w:next w:val="DarkList-Accent5"/>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bottom w:val="nil"/>
        <w:right w:val="nil"/>
      </w:tcBorders>
      <w:shd w:val="clear" w:color="auto" w:fill="D0D2D2"/>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656A6A"/>
      </w:tcPr>
    </w:tblStylePr>
    <w:tblStylePr w:type="firstCol">
      <w:tblPr/>
      <w:tcPr>
        <w:tcBorders>
          <w:top w:val="nil"/>
          <w:left w:val="nil"/>
          <w:bottom w:val="nil"/>
          <w:right w:val="single" w:sz="18" w:space="0" w:color="FFFFFF"/>
          <w:insideH w:val="nil"/>
          <w:insideV w:val="nil"/>
        </w:tcBorders>
        <w:shd w:val="clear" w:color="auto" w:fill="9A9E9E"/>
      </w:tcPr>
    </w:tblStylePr>
  </w:style>
  <w:style w:type="table" w:customStyle="1" w:styleId="DarkList-Accent61">
    <w:name w:val="Dark List - Accent 61"/>
    <w:basedOn w:val="TableNormal"/>
    <w:next w:val="DarkList-Accent6"/>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9BDF"/>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4D6F"/>
      </w:tcPr>
    </w:tblStylePr>
    <w:tblStylePr w:type="firstCol">
      <w:tblPr/>
      <w:tcPr>
        <w:tcBorders>
          <w:top w:val="nil"/>
          <w:left w:val="nil"/>
          <w:bottom w:val="nil"/>
          <w:right w:val="single" w:sz="18" w:space="0" w:color="FFFFFF"/>
          <w:insideH w:val="nil"/>
          <w:insideV w:val="nil"/>
        </w:tcBorders>
        <w:shd w:val="clear" w:color="auto" w:fill="0073A7"/>
      </w:tcPr>
    </w:tblStylePr>
    <w:tblStylePr w:type="lastCol">
      <w:tblPr/>
      <w:tcPr>
        <w:tcBorders>
          <w:top w:val="nil"/>
          <w:left w:val="single" w:sz="18" w:space="0" w:color="FFFFFF"/>
          <w:bottom w:val="nil"/>
          <w:right w:val="nil"/>
          <w:insideH w:val="nil"/>
          <w:insideV w:val="nil"/>
        </w:tcBorders>
        <w:shd w:val="clear" w:color="auto" w:fill="0073A7"/>
      </w:tcPr>
    </w:tblStylePr>
  </w:style>
  <w:style w:type="paragraph" w:customStyle="1" w:styleId="EnvelopeAddress1">
    <w:name w:val="Envelope Address1"/>
    <w:basedOn w:val="Normal"/>
    <w:next w:val="EnvelopeAddress"/>
    <w:uiPriority w:val="99"/>
    <w:semiHidden/>
    <w:unhideWhenUsed/>
    <w:rsid w:val="1FC5E705"/>
    <w:pPr>
      <w:spacing w:after="0"/>
      <w:ind w:left="2880"/>
      <w:jc w:val="left"/>
    </w:pPr>
    <w:rPr>
      <w:rFonts w:ascii="Arial" w:eastAsia="MS PGothic" w:hAnsi="Arial" w:cs="Arial"/>
      <w:color w:val="auto"/>
      <w:lang w:val="en-US"/>
    </w:rPr>
  </w:style>
  <w:style w:type="character" w:customStyle="1" w:styleId="FollowedHyperlink1">
    <w:name w:val="FollowedHyperlink1"/>
    <w:basedOn w:val="DefaultParagraphFont"/>
    <w:uiPriority w:val="99"/>
    <w:semiHidden/>
    <w:unhideWhenUsed/>
    <w:rsid w:val="00A24B35"/>
    <w:rPr>
      <w:rFonts w:ascii="Arial" w:hAnsi="Arial" w:cs="Arial"/>
      <w:color w:val="A3AAAE"/>
      <w:u w:val="single"/>
    </w:rPr>
  </w:style>
  <w:style w:type="table" w:customStyle="1" w:styleId="GridTable1Light1">
    <w:name w:val="Grid Table 1 Light1"/>
    <w:basedOn w:val="TableNormal"/>
    <w:next w:val="GridTable1Light"/>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A3ACAC"/>
        <w:left w:val="single" w:sz="4" w:space="0" w:color="A3ACAC"/>
        <w:bottom w:val="single" w:sz="4" w:space="0" w:color="A3ACAC"/>
        <w:right w:val="single" w:sz="4" w:space="0" w:color="A3ACAC"/>
        <w:insideH w:val="single" w:sz="4" w:space="0" w:color="A3ACAC"/>
        <w:insideV w:val="single" w:sz="4" w:space="0" w:color="A3ACAC"/>
      </w:tblBorders>
    </w:tblPr>
    <w:tblStylePr w:type="firstRow">
      <w:rPr>
        <w:b/>
        <w:bCs/>
      </w:rPr>
      <w:tblPr/>
      <w:tcPr>
        <w:tcBorders>
          <w:bottom w:val="single" w:sz="12" w:space="0" w:color="768383"/>
        </w:tcBorders>
      </w:tcPr>
    </w:tblStylePr>
    <w:tblStylePr w:type="lastRow">
      <w:rPr>
        <w:b/>
        <w:bCs/>
      </w:rPr>
      <w:tblPr/>
      <w:tcPr>
        <w:tcBorders>
          <w:top w:val="double" w:sz="2" w:space="0" w:color="768383"/>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BF3FF"/>
        <w:left w:val="single" w:sz="4" w:space="0" w:color="7BF3FF"/>
        <w:bottom w:val="single" w:sz="4" w:space="0" w:color="7BF3FF"/>
        <w:right w:val="single" w:sz="4" w:space="0" w:color="7BF3FF"/>
        <w:insideH w:val="single" w:sz="4" w:space="0" w:color="7BF3FF"/>
        <w:insideV w:val="single" w:sz="4" w:space="0" w:color="7BF3FF"/>
      </w:tblBorders>
    </w:tblPr>
    <w:tblStylePr w:type="firstRow">
      <w:rPr>
        <w:b/>
        <w:bCs/>
      </w:rPr>
      <w:tblPr/>
      <w:tcPr>
        <w:tcBorders>
          <w:bottom w:val="single" w:sz="12" w:space="0" w:color="3AEDFF"/>
        </w:tcBorders>
      </w:tcPr>
    </w:tblStylePr>
    <w:tblStylePr w:type="lastRow">
      <w:rPr>
        <w:b/>
        <w:bCs/>
      </w:rPr>
      <w:tblPr/>
      <w:tcPr>
        <w:tcBorders>
          <w:top w:val="double" w:sz="2" w:space="0" w:color="3AED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6EFFD8"/>
        <w:left w:val="single" w:sz="4" w:space="0" w:color="6EFFD8"/>
        <w:bottom w:val="single" w:sz="4" w:space="0" w:color="6EFFD8"/>
        <w:right w:val="single" w:sz="4" w:space="0" w:color="6EFFD8"/>
        <w:insideH w:val="single" w:sz="4" w:space="0" w:color="6EFFD8"/>
        <w:insideV w:val="single" w:sz="4" w:space="0" w:color="6EFFD8"/>
      </w:tblBorders>
    </w:tblPr>
    <w:tblStylePr w:type="firstRow">
      <w:rPr>
        <w:b/>
        <w:bCs/>
      </w:rPr>
      <w:tblPr/>
      <w:tcPr>
        <w:tcBorders>
          <w:bottom w:val="single" w:sz="12" w:space="0" w:color="26FFC6"/>
        </w:tcBorders>
      </w:tcPr>
    </w:tblStylePr>
    <w:tblStylePr w:type="lastRow">
      <w:rPr>
        <w:b/>
        <w:bCs/>
      </w:rPr>
      <w:tblPr/>
      <w:tcPr>
        <w:tcBorders>
          <w:top w:val="double" w:sz="2" w:space="0" w:color="26FFC6"/>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DE90D5"/>
        <w:left w:val="single" w:sz="4" w:space="0" w:color="DE90D5"/>
        <w:bottom w:val="single" w:sz="4" w:space="0" w:color="DE90D5"/>
        <w:right w:val="single" w:sz="4" w:space="0" w:color="DE90D5"/>
        <w:insideH w:val="single" w:sz="4" w:space="0" w:color="DE90D5"/>
        <w:insideV w:val="single" w:sz="4" w:space="0" w:color="DE90D5"/>
      </w:tblBorders>
    </w:tblPr>
    <w:tblStylePr w:type="firstRow">
      <w:rPr>
        <w:b/>
        <w:bCs/>
      </w:rPr>
      <w:tblPr/>
      <w:tcPr>
        <w:tcBorders>
          <w:bottom w:val="single" w:sz="12" w:space="0" w:color="CE59C1"/>
        </w:tcBorders>
      </w:tcPr>
    </w:tblStylePr>
    <w:tblStylePr w:type="lastRow">
      <w:rPr>
        <w:b/>
        <w:bCs/>
      </w:rPr>
      <w:tblPr/>
      <w:tcPr>
        <w:tcBorders>
          <w:top w:val="double" w:sz="2" w:space="0" w:color="CE59C1"/>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CEDED"/>
        <w:left w:val="single" w:sz="4" w:space="0" w:color="ECEDED"/>
        <w:bottom w:val="single" w:sz="4" w:space="0" w:color="ECEDED"/>
        <w:right w:val="single" w:sz="4" w:space="0" w:color="ECEDED"/>
        <w:insideH w:val="single" w:sz="4" w:space="0" w:color="ECEDED"/>
        <w:insideV w:val="single" w:sz="4" w:space="0" w:color="ECEDED"/>
      </w:tblBorders>
    </w:tblPr>
    <w:tblStylePr w:type="firstRow">
      <w:rPr>
        <w:b/>
        <w:bCs/>
      </w:rPr>
      <w:tblPr/>
      <w:tcPr>
        <w:tcBorders>
          <w:bottom w:val="single" w:sz="12" w:space="0" w:color="E2E4E4"/>
        </w:tcBorders>
      </w:tcPr>
    </w:tblStylePr>
    <w:tblStylePr w:type="lastRow">
      <w:rPr>
        <w:b/>
        <w:bCs/>
      </w:rPr>
      <w:tblPr/>
      <w:tcPr>
        <w:tcBorders>
          <w:top w:val="double" w:sz="2" w:space="0" w:color="E2E4E4"/>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8CDBFF"/>
        <w:left w:val="single" w:sz="4" w:space="0" w:color="8CDBFF"/>
        <w:bottom w:val="single" w:sz="4" w:space="0" w:color="8CDBFF"/>
        <w:right w:val="single" w:sz="4" w:space="0" w:color="8CDBFF"/>
        <w:insideH w:val="single" w:sz="4" w:space="0" w:color="8CDBFF"/>
        <w:insideV w:val="single" w:sz="4" w:space="0" w:color="8CDBFF"/>
      </w:tblBorders>
    </w:tblPr>
    <w:tblStylePr w:type="firstRow">
      <w:rPr>
        <w:b/>
        <w:bCs/>
      </w:rPr>
      <w:tblPr/>
      <w:tcPr>
        <w:tcBorders>
          <w:bottom w:val="single" w:sz="12" w:space="0" w:color="52CAFF"/>
        </w:tcBorders>
      </w:tcPr>
    </w:tblStylePr>
    <w:tblStylePr w:type="lastRow">
      <w:rPr>
        <w:b/>
        <w:bCs/>
      </w:rPr>
      <w:tblPr/>
      <w:tcPr>
        <w:tcBorders>
          <w:top w:val="double" w:sz="2" w:space="0" w:color="52CAF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rPr>
      <w:tblPr/>
      <w:tcPr>
        <w:tcBorders>
          <w:top w:val="nil"/>
          <w:bottom w:val="single" w:sz="12" w:space="0" w:color="768383"/>
          <w:insideH w:val="nil"/>
          <w:insideV w:val="nil"/>
        </w:tcBorders>
        <w:shd w:val="clear" w:color="auto" w:fill="FFFFFF"/>
      </w:tcPr>
    </w:tblStylePr>
    <w:tblStylePr w:type="lastRow">
      <w:rPr>
        <w:b/>
        <w:bCs/>
      </w:rPr>
      <w:tblPr/>
      <w:tcPr>
        <w:tcBorders>
          <w:top w:val="double" w:sz="2" w:space="0" w:color="7683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2-Accent11">
    <w:name w:val="Grid Table 2 - Accent 11"/>
    <w:basedOn w:val="TableNormal"/>
    <w:next w:val="GridTable2-Accent1"/>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3AEDFF"/>
          <w:insideH w:val="nil"/>
          <w:insideV w:val="nil"/>
        </w:tcBorders>
        <w:shd w:val="clear" w:color="auto" w:fill="FFFFFF"/>
      </w:tcPr>
    </w:tblStylePr>
    <w:tblStylePr w:type="lastRow">
      <w:rPr>
        <w:b/>
        <w:bCs/>
      </w:rPr>
      <w:tblPr/>
      <w:tcPr>
        <w:tcBorders>
          <w:top w:val="double" w:sz="2" w:space="0" w:color="3AEDFF"/>
          <w:bottom w:val="nil"/>
          <w:insideH w:val="nil"/>
          <w:insideV w:val="nil"/>
        </w:tcBorders>
        <w:shd w:val="clear" w:color="auto" w:fill="FFFFFF"/>
      </w:tcPr>
    </w:tblStylePr>
    <w:tblStylePr w:type="firstCol">
      <w:rPr>
        <w:b/>
        <w:bCs/>
      </w:rPr>
    </w:tblStylePr>
    <w:tblStylePr w:type="lastCol">
      <w:rPr>
        <w:b/>
        <w:bCs/>
      </w:rPr>
    </w:tblStylePr>
  </w:style>
  <w:style w:type="table" w:customStyle="1" w:styleId="GridTable2-Accent21">
    <w:name w:val="Grid Table 2 - Accent 21"/>
    <w:basedOn w:val="TableNormal"/>
    <w:next w:val="GridTable2-Accent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26FFC6"/>
          <w:insideH w:val="nil"/>
          <w:insideV w:val="nil"/>
        </w:tcBorders>
        <w:shd w:val="clear" w:color="auto" w:fill="FFFFFF"/>
      </w:tcPr>
    </w:tblStylePr>
    <w:tblStylePr w:type="lastRow">
      <w:rPr>
        <w:b/>
        <w:bCs/>
      </w:rPr>
      <w:tblPr/>
      <w:tcPr>
        <w:tcBorders>
          <w:top w:val="double" w:sz="2" w:space="0" w:color="26FFC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2-Accent31">
    <w:name w:val="Grid Table 2 - Accent 31"/>
    <w:basedOn w:val="TableNormal"/>
    <w:next w:val="GridTable2-Accent3"/>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CE59C1"/>
          <w:insideH w:val="nil"/>
          <w:insideV w:val="nil"/>
        </w:tcBorders>
        <w:shd w:val="clear" w:color="auto" w:fill="FFFFFF"/>
      </w:tcPr>
    </w:tblStylePr>
    <w:tblStylePr w:type="lastRow">
      <w:rPr>
        <w:b/>
        <w:bCs/>
      </w:rPr>
    </w:tblStylePr>
    <w:tblStylePr w:type="firstCol">
      <w:rPr>
        <w:b/>
        <w:bCs/>
      </w:rPr>
    </w:tblStylePr>
    <w:tblStylePr w:type="lastCol">
      <w:rPr>
        <w:b/>
        <w:bCs/>
      </w:rPr>
    </w:tblStylePr>
  </w:style>
  <w:style w:type="table" w:customStyle="1" w:styleId="GridTable2-Accent41">
    <w:name w:val="Grid Table 2 - Accent 41"/>
    <w:basedOn w:val="TableNormal"/>
    <w:next w:val="GridTable2-Accent4"/>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cPr>
    <w:tblStylePr w:type="firstRow">
      <w:rPr>
        <w:b/>
        <w:bCs/>
      </w:rPr>
      <w:tblPr/>
      <w:tcPr>
        <w:tcBorders>
          <w:top w:val="nil"/>
          <w:bottom w:val="single" w:sz="12" w:space="0" w:color="FFAA58"/>
          <w:insideH w:val="nil"/>
          <w:insideV w:val="nil"/>
        </w:tcBorders>
        <w:shd w:val="clear" w:color="auto" w:fill="FFFFFF"/>
      </w:tcPr>
    </w:tblStylePr>
    <w:tblStylePr w:type="lastRow">
      <w:rPr>
        <w:b/>
        <w:bCs/>
      </w:rPr>
      <w:tblPr/>
      <w:tcPr>
        <w:tcBorders>
          <w:top w:val="double" w:sz="2" w:space="0" w:color="FFAA5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2-Accent51">
    <w:name w:val="Grid Table 2 - Accent 51"/>
    <w:basedOn w:val="TableNormal"/>
    <w:next w:val="GridTable2-Accent5"/>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cPr>
    <w:tblStylePr w:type="firstRow">
      <w:rPr>
        <w:b/>
        <w:bCs/>
      </w:rPr>
      <w:tblPr/>
      <w:tcPr>
        <w:tcBorders>
          <w:top w:val="nil"/>
          <w:bottom w:val="single" w:sz="12" w:space="0" w:color="E2E4E4"/>
          <w:insideH w:val="nil"/>
          <w:insideV w:val="nil"/>
        </w:tcBorders>
        <w:shd w:val="clear" w:color="auto" w:fill="FFFFFF"/>
      </w:tcPr>
    </w:tblStylePr>
    <w:tblStylePr w:type="lastRow">
      <w:rPr>
        <w:b/>
        <w:bCs/>
      </w:rPr>
      <w:tblPr/>
      <w:tcPr>
        <w:tcBorders>
          <w:top w:val="double" w:sz="2" w:space="0" w:color="E2E4E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F6F6"/>
      </w:tcPr>
    </w:tblStylePr>
  </w:style>
  <w:style w:type="table" w:customStyle="1" w:styleId="GridTable2-Accent61">
    <w:name w:val="Grid Table 2 - Accent 61"/>
    <w:basedOn w:val="TableNormal"/>
    <w:next w:val="GridTable2-Accent6"/>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31">
    <w:name w:val="Grid Table 31"/>
    <w:basedOn w:val="TableNormal"/>
    <w:next w:val="GridTable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3-Accent11">
    <w:name w:val="Grid Table 3 - Accent 11"/>
    <w:basedOn w:val="TableNormal"/>
    <w:next w:val="GridTable3-Accent1"/>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3-Accent21">
    <w:name w:val="Grid Table 3 - Accent 21"/>
    <w:basedOn w:val="TableNormal"/>
    <w:next w:val="GridTable3-Accent2"/>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3-Accent31">
    <w:name w:val="Grid Table 3 - Accent 31"/>
    <w:basedOn w:val="TableNormal"/>
    <w:next w:val="GridTable3-Accent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EC7EA"/>
      </w:tcPr>
    </w:tblStylePr>
    <w:tblStylePr w:type="band1Horz">
      <w:tblPr/>
      <w:tcPr>
        <w:shd w:val="clear" w:color="auto" w:fill="EEC7EA"/>
      </w:tc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3-Accent41">
    <w:name w:val="Grid Table 3 - Accent 41"/>
    <w:basedOn w:val="TableNormal"/>
    <w:next w:val="GridTable3-Accent4"/>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3-Accent51">
    <w:name w:val="Grid Table 3 - Accent 51"/>
    <w:basedOn w:val="TableNormal"/>
    <w:next w:val="GridTable3-Accent5"/>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3-Accent61">
    <w:name w:val="Grid Table 3 - Accent 61"/>
    <w:basedOn w:val="TableNormal"/>
    <w:next w:val="GridTable3-Accent6"/>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5EDFF"/>
      </w:tcPr>
    </w:tblStylePr>
    <w:tblStylePr w:type="band1Horz">
      <w:tblPr/>
      <w:tcPr>
        <w:shd w:val="clear" w:color="auto" w:fill="C5EDFF"/>
      </w:tc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table" w:customStyle="1" w:styleId="GridTable41">
    <w:name w:val="Grid Table 41"/>
    <w:basedOn w:val="TableNormal"/>
    <w:next w:val="GridTable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color w:val="FFFFFF"/>
      </w:rPr>
      <w:tblPr/>
      <w:tcPr>
        <w:tcBorders>
          <w:top w:val="single" w:sz="4" w:space="0" w:color="242828"/>
          <w:left w:val="single" w:sz="4" w:space="0" w:color="242828"/>
          <w:bottom w:val="single" w:sz="4" w:space="0" w:color="242828"/>
          <w:right w:val="single" w:sz="4" w:space="0" w:color="242828"/>
          <w:insideH w:val="nil"/>
          <w:insideV w:val="nil"/>
        </w:tcBorders>
        <w:shd w:val="clear" w:color="auto" w:fill="242828"/>
      </w:tcPr>
    </w:tblStylePr>
    <w:tblStylePr w:type="lastRow">
      <w:rPr>
        <w:b/>
        <w:bCs/>
      </w:rPr>
      <w:tblPr/>
      <w:tcPr>
        <w:tcBorders>
          <w:top w:val="double" w:sz="4" w:space="0" w:color="242828"/>
        </w:tcBorders>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4-Accent11">
    <w:name w:val="Grid Table 4 - Accent 11"/>
    <w:basedOn w:val="TableNormal"/>
    <w:next w:val="GridTable4-Accent1"/>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Pr/>
      <w:tcPr>
        <w:tcBorders>
          <w:top w:val="single" w:sz="4" w:space="0" w:color="00A6B6"/>
          <w:left w:val="single" w:sz="4" w:space="0" w:color="00A6B6"/>
          <w:bottom w:val="single" w:sz="4" w:space="0" w:color="00A6B6"/>
          <w:right w:val="single" w:sz="4" w:space="0" w:color="00A6B6"/>
          <w:insideH w:val="nil"/>
          <w:insideV w:val="nil"/>
        </w:tcBorders>
        <w:shd w:val="clear" w:color="auto" w:fill="00A6B6"/>
      </w:tcPr>
    </w:tblStylePr>
    <w:tblStylePr w:type="lastRow">
      <w:rPr>
        <w:b/>
        <w:bCs/>
      </w:rPr>
      <w:tblPr/>
      <w:tcPr>
        <w:tcBorders>
          <w:top w:val="double" w:sz="4" w:space="0" w:color="00A6B6"/>
        </w:tcBorders>
      </w:tcPr>
    </w:tblStylePr>
    <w:tblStylePr w:type="firstCol">
      <w:rPr>
        <w:b/>
        <w:bCs/>
      </w:rPr>
    </w:tblStylePr>
    <w:tblStylePr w:type="lastCol">
      <w:rPr>
        <w:b/>
        <w:bCs/>
      </w:rPr>
    </w:tblStylePr>
  </w:style>
  <w:style w:type="table" w:customStyle="1" w:styleId="GridTable4-Accent21">
    <w:name w:val="Grid Table 4 - Accent 21"/>
    <w:basedOn w:val="TableNormal"/>
    <w:next w:val="GridTable4-Accent2"/>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Pr/>
      <w:tcPr>
        <w:tcBorders>
          <w:top w:val="single" w:sz="4" w:space="0" w:color="00956E"/>
          <w:left w:val="single" w:sz="4" w:space="0" w:color="00956E"/>
          <w:bottom w:val="single" w:sz="4" w:space="0" w:color="00956E"/>
          <w:right w:val="single" w:sz="4" w:space="0" w:color="00956E"/>
          <w:insideH w:val="nil"/>
          <w:insideV w:val="nil"/>
        </w:tcBorders>
        <w:shd w:val="clear" w:color="auto" w:fill="00956E"/>
      </w:tcPr>
    </w:tblStylePr>
    <w:tblStylePr w:type="lastRow">
      <w:rPr>
        <w:b/>
        <w:bCs/>
      </w:rPr>
      <w:tblPr/>
      <w:tcPr>
        <w:tcBorders>
          <w:top w:val="double" w:sz="4" w:space="0" w:color="00956E"/>
        </w:tcBorders>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4-Accent31">
    <w:name w:val="Grid Table 4 - Accent 31"/>
    <w:basedOn w:val="TableNormal"/>
    <w:next w:val="GridTable4-Accent3"/>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4-Accent41">
    <w:name w:val="Grid Table 4 - Accent 41"/>
    <w:basedOn w:val="TableNormal"/>
    <w:next w:val="GridTable4-Accent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cPr>
    <w:tblStylePr w:type="firstRow">
      <w:rPr>
        <w:b/>
        <w:bCs/>
        <w:color w:val="FFFFFF"/>
      </w:rPr>
      <w:tblPr/>
      <w:tcPr>
        <w:tcBorders>
          <w:top w:val="single" w:sz="4" w:space="0" w:color="E97300"/>
          <w:left w:val="single" w:sz="4" w:space="0" w:color="E97300"/>
          <w:bottom w:val="single" w:sz="4" w:space="0" w:color="E97300"/>
          <w:right w:val="single" w:sz="4" w:space="0" w:color="E97300"/>
          <w:insideH w:val="nil"/>
          <w:insideV w:val="nil"/>
        </w:tcBorders>
        <w:shd w:val="clear" w:color="auto" w:fill="E97300"/>
      </w:tcPr>
    </w:tblStylePr>
    <w:tblStylePr w:type="lastRow">
      <w:rPr>
        <w:b/>
        <w:bCs/>
      </w:rPr>
      <w:tblPr/>
      <w:tcPr>
        <w:tcBorders>
          <w:top w:val="double" w:sz="4" w:space="0" w:color="E97300"/>
        </w:tcBorders>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4-Accent51">
    <w:name w:val="Grid Table 4 - Accent 51"/>
    <w:basedOn w:val="TableNormal"/>
    <w:next w:val="GridTable4-Accent5"/>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D0D2D2"/>
        <w:left w:val="single" w:sz="4" w:space="0" w:color="D0D2D2"/>
        <w:bottom w:val="single" w:sz="4" w:space="0" w:color="D0D2D2"/>
        <w:right w:val="single" w:sz="4" w:space="0" w:color="D0D2D2"/>
      </w:tcBorders>
      <w:shd w:val="clear" w:color="auto" w:fill="D0D2D2"/>
    </w:tc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4-Accent61">
    <w:name w:val="Grid Table 4 - Accent 61"/>
    <w:basedOn w:val="TableNormal"/>
    <w:next w:val="GridTable4-Accent6"/>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5Dark1">
    <w:name w:val="Grid Table 5 Dark1"/>
    <w:basedOn w:val="TableNormal"/>
    <w:next w:val="GridTable5Dark"/>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4282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4282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4282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42828"/>
      </w:tcPr>
    </w:tblStylePr>
  </w:style>
  <w:style w:type="table" w:customStyle="1" w:styleId="GridTable5Dark-Accent11">
    <w:name w:val="Grid Table 5 Dark - Accent 11"/>
    <w:basedOn w:val="TableNormal"/>
    <w:next w:val="GridTable5Dark-Accent1"/>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FFFFFF"/>
        <w:right w:val="single" w:sz="4" w:space="0" w:color="FFFFFF"/>
      </w:tcBorders>
      <w:shd w:val="clear" w:color="auto" w:fill="BDF9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A6B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A6B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A6B6"/>
      </w:tcPr>
    </w:tblStylePr>
    <w:tblStylePr w:type="lastCol">
      <w:rPr>
        <w:b/>
        <w:bCs/>
        <w:color w:val="FFFFFF"/>
      </w:rPr>
    </w:tblStylePr>
  </w:style>
  <w:style w:type="table" w:customStyle="1" w:styleId="GridTable5Dark-Accent21">
    <w:name w:val="Grid Table 5 Dark - Accent 21"/>
    <w:basedOn w:val="TableNormal"/>
    <w:next w:val="GridTable5Dark-Accent2"/>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FFFFFF"/>
        <w:right w:val="single" w:sz="4" w:space="0" w:color="FFFFFF"/>
      </w:tcBorders>
      <w:shd w:val="clear" w:color="auto" w:fill="B6FFE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56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56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56E"/>
      </w:tcPr>
    </w:tblStylePr>
    <w:tblStylePr w:type="lastCol">
      <w:rPr>
        <w:b/>
        <w:bCs/>
        <w:color w:val="FFFFFF"/>
      </w:rPr>
    </w:tblStylePr>
  </w:style>
  <w:style w:type="table" w:customStyle="1" w:styleId="GridTable5Dark-Accent31">
    <w:name w:val="Grid Table 5 Dark - Accent 31"/>
    <w:basedOn w:val="TableNormal"/>
    <w:next w:val="GridTable5Dark-Accent3"/>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EEC7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6236D"/>
      </w:tc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GridTable5Dark-Accent41">
    <w:name w:val="Grid Table 5 Dark - Accent 41"/>
    <w:basedOn w:val="TableNormal"/>
    <w:next w:val="GridTable5Dark-Accent4"/>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FFE2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3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300"/>
      </w:tcPr>
    </w:tblStylePr>
    <w:tblStylePr w:type="firstCol">
      <w:rPr>
        <w:b/>
        <w:bCs/>
        <w:color w:val="FFFFFF"/>
      </w:rPr>
    </w:tblStylePr>
    <w:tblStylePr w:type="lastCol">
      <w:rPr>
        <w:b/>
        <w:bCs/>
        <w:color w:val="FFFFFF"/>
      </w:rPr>
    </w:tblStylePr>
  </w:style>
  <w:style w:type="table" w:customStyle="1" w:styleId="GridTable5Dark-Accent51">
    <w:name w:val="Grid Table 5 Dark - Accent 51"/>
    <w:basedOn w:val="TableNormal"/>
    <w:next w:val="GridTable5Dark-Accent5"/>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F5F6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0D2D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0D2D2"/>
      </w:tcPr>
    </w:tblStylePr>
    <w:tblStylePr w:type="firstCol">
      <w:rPr>
        <w:b/>
        <w:bCs/>
        <w:color w:val="FFFFFF"/>
      </w:rPr>
    </w:tblStylePr>
    <w:tblStylePr w:type="lastCol">
      <w:rPr>
        <w:b/>
        <w:bCs/>
        <w:color w:val="FFFFFF"/>
      </w:rPr>
    </w:tblStylePr>
  </w:style>
  <w:style w:type="table" w:customStyle="1" w:styleId="GridTable5Dark-Accent61">
    <w:name w:val="Grid Table 5 Dark - Accent 61"/>
    <w:basedOn w:val="TableNormal"/>
    <w:next w:val="GridTable5Dark-Accent6"/>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BD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BD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BD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9BDF"/>
      </w:tcPr>
    </w:tblStylePr>
  </w:style>
  <w:style w:type="table" w:customStyle="1" w:styleId="GridTable6Colorful1">
    <w:name w:val="Grid Table 6 Colorful1"/>
    <w:basedOn w:val="TableNormal"/>
    <w:next w:val="GridTable6Colorful"/>
    <w:uiPriority w:val="51"/>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bottom w:val="single" w:sz="12" w:space="0" w:color="768383"/>
        </w:tcBorders>
      </w:tcPr>
    </w:tblStylePr>
    <w:tblStylePr w:type="lastRow">
      <w:rPr>
        <w:b/>
        <w:bCs/>
      </w:rPr>
      <w:tblPr/>
      <w:tcPr>
        <w:tcBorders>
          <w:top w:val="doub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GridTable6Colorful-Accent11">
    <w:name w:val="Grid Table 6 Colorful - Accent 11"/>
    <w:basedOn w:val="TableNormal"/>
    <w:next w:val="GridTable6Colorful-Accent1"/>
    <w:uiPriority w:val="51"/>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bottom w:val="single" w:sz="12" w:space="0" w:color="3AEDFF"/>
        </w:tcBorders>
      </w:tcPr>
    </w:tblStylePr>
    <w:tblStylePr w:type="lastRow">
      <w:rPr>
        <w:b/>
        <w:bCs/>
      </w:rPr>
      <w:tblPr/>
      <w:tcPr>
        <w:tcBorders>
          <w:top w:val="doub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GridTable6Colorful-Accent21">
    <w:name w:val="Grid Table 6 Colorful - Accent 21"/>
    <w:basedOn w:val="TableNormal"/>
    <w:next w:val="GridTable6Colorful-Accent2"/>
    <w:uiPriority w:val="51"/>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bottom w:val="single" w:sz="12" w:space="0" w:color="26FFC6"/>
        </w:tcBorders>
      </w:tcPr>
    </w:tblStylePr>
    <w:tblStylePr w:type="lastRow">
      <w:rPr>
        <w:b/>
        <w:bCs/>
      </w:rPr>
      <w:tblPr/>
      <w:tcPr>
        <w:tcBorders>
          <w:top w:val="doub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GridTable6Colorful-Accent31">
    <w:name w:val="Grid Table 6 Colorful - Accent 31"/>
    <w:basedOn w:val="TableNormal"/>
    <w:next w:val="GridTable6Colorful-Accent3"/>
    <w:uiPriority w:val="51"/>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bottom w:val="single" w:sz="12" w:space="0" w:color="CE59C1"/>
        </w:tcBorders>
      </w:tcPr>
    </w:tblStylePr>
    <w:tblStylePr w:type="lastRow">
      <w:rPr>
        <w:b/>
        <w:bCs/>
      </w:rPr>
      <w:tblPr/>
      <w:tcPr>
        <w:tcBorders>
          <w:top w:val="doub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GridTable6Colorful-Accent41">
    <w:name w:val="Grid Table 6 Colorful - Accent 41"/>
    <w:basedOn w:val="TableNormal"/>
    <w:next w:val="GridTable6Colorful-Accent4"/>
    <w:uiPriority w:val="51"/>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bottom w:val="single" w:sz="12" w:space="0" w:color="FFAA58"/>
        </w:tcBorders>
      </w:tcPr>
    </w:tblStylePr>
    <w:tblStylePr w:type="lastRow">
      <w:rPr>
        <w:b/>
        <w:bCs/>
      </w:rPr>
      <w:tblPr/>
      <w:tcPr>
        <w:tcBorders>
          <w:top w:val="doub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GridTable6Colorful-Accent51">
    <w:name w:val="Grid Table 6 Colorful - Accent 51"/>
    <w:basedOn w:val="TableNormal"/>
    <w:next w:val="GridTable6Colorful-Accent5"/>
    <w:uiPriority w:val="51"/>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bottom w:val="single" w:sz="12" w:space="0" w:color="E2E4E4"/>
        </w:tcBorders>
      </w:tcPr>
    </w:tblStylePr>
    <w:tblStylePr w:type="lastRow">
      <w:rPr>
        <w:b/>
        <w:bCs/>
      </w:rPr>
      <w:tblPr/>
      <w:tcPr>
        <w:tcBorders>
          <w:top w:val="doub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GridTable6Colorful-Accent61">
    <w:name w:val="Grid Table 6 Colorful - Accent 61"/>
    <w:basedOn w:val="TableNormal"/>
    <w:next w:val="GridTable6Colorful-Accent6"/>
    <w:uiPriority w:val="51"/>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bottom w:val="single" w:sz="12" w:space="0" w:color="52CAFF"/>
        </w:tcBorders>
      </w:tcPr>
    </w:tblStylePr>
    <w:tblStylePr w:type="lastRow">
      <w:rPr>
        <w:b/>
        <w:bCs/>
      </w:rPr>
      <w:tblPr/>
      <w:tcPr>
        <w:tcBorders>
          <w:top w:val="doub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GridTable7Colorful1">
    <w:name w:val="Grid Table 7 Colorful1"/>
    <w:basedOn w:val="TableNormal"/>
    <w:next w:val="GridTable7Colorful"/>
    <w:uiPriority w:val="52"/>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7Colorful-Accent11">
    <w:name w:val="Grid Table 7 Colorful - Accent 11"/>
    <w:basedOn w:val="TableNormal"/>
    <w:next w:val="GridTable7Colorful-Accent1"/>
    <w:uiPriority w:val="52"/>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7Colorful-Accent21">
    <w:name w:val="Grid Table 7 Colorful - Accent 21"/>
    <w:basedOn w:val="TableNormal"/>
    <w:next w:val="GridTable7Colorful-Accent2"/>
    <w:uiPriority w:val="52"/>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7Colorful-Accent31">
    <w:name w:val="Grid Table 7 Colorful - Accent 31"/>
    <w:basedOn w:val="TableNormal"/>
    <w:next w:val="GridTable7Colorful-Accent3"/>
    <w:uiPriority w:val="52"/>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EC7EA"/>
      </w:tcPr>
    </w:tblStylePr>
    <w:tblStylePr w:type="band1Horz">
      <w:tblPr/>
      <w:tcPr>
        <w:shd w:val="clear" w:color="auto" w:fill="EEC7EA"/>
      </w:tc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7Colorful-Accent41">
    <w:name w:val="Grid Table 7 Colorful - Accent 41"/>
    <w:basedOn w:val="TableNormal"/>
    <w:next w:val="GridTable7Colorful-Accent4"/>
    <w:uiPriority w:val="52"/>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7Colorful-Accent51">
    <w:name w:val="Grid Table 7 Colorful - Accent 51"/>
    <w:basedOn w:val="TableNormal"/>
    <w:next w:val="GridTable7Colorful-Accent5"/>
    <w:uiPriority w:val="52"/>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7Colorful-Accent61">
    <w:name w:val="Grid Table 7 Colorful - Accent 61"/>
    <w:basedOn w:val="TableNormal"/>
    <w:next w:val="GridTable7Colorful-Accent6"/>
    <w:uiPriority w:val="52"/>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5EDFF"/>
      </w:tcPr>
    </w:tblStylePr>
    <w:tblStylePr w:type="band1Horz">
      <w:tblPr/>
      <w:tcPr>
        <w:shd w:val="clear" w:color="auto" w:fill="C5EDFF"/>
      </w:tc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paragraph" w:customStyle="1" w:styleId="IndexHeading1">
    <w:name w:val="Index Heading1"/>
    <w:basedOn w:val="Normal"/>
    <w:next w:val="Index1"/>
    <w:uiPriority w:val="99"/>
    <w:semiHidden/>
    <w:unhideWhenUsed/>
    <w:rsid w:val="1FC5E705"/>
    <w:pPr>
      <w:spacing w:before="60" w:after="60"/>
      <w:jc w:val="left"/>
    </w:pPr>
    <w:rPr>
      <w:rFonts w:ascii="Arial" w:eastAsia="MS PGothic" w:hAnsi="Arial" w:cs="Arial"/>
      <w:b/>
      <w:bCs/>
      <w:color w:val="auto"/>
      <w:sz w:val="22"/>
      <w:szCs w:val="22"/>
      <w:lang w:val="en-US"/>
    </w:rPr>
  </w:style>
  <w:style w:type="table" w:customStyle="1" w:styleId="LightGrid1">
    <w:name w:val="Light Grid1"/>
    <w:basedOn w:val="TableNormal"/>
    <w:next w:val="LightGrid"/>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insideH w:val="single" w:sz="8" w:space="0" w:color="242828"/>
        <w:insideV w:val="single" w:sz="8" w:space="0" w:color="242828"/>
      </w:tblBorders>
    </w:tblPr>
    <w:tblStylePr w:type="firstRow">
      <w:pPr>
        <w:spacing w:before="0" w:after="0" w:line="240" w:lineRule="auto"/>
      </w:pPr>
      <w:rPr>
        <w:rFonts w:ascii="Arial" w:eastAsia="Roboto" w:hAnsi="Arial" w:cs="Arial"/>
        <w:b/>
        <w:bCs/>
      </w:rPr>
      <w:tblPr/>
      <w:tcPr>
        <w:tcBorders>
          <w:top w:val="single" w:sz="8" w:space="0" w:color="242828"/>
          <w:left w:val="single" w:sz="8" w:space="0" w:color="242828"/>
          <w:bottom w:val="single" w:sz="18" w:space="0" w:color="242828"/>
          <w:right w:val="single" w:sz="8" w:space="0" w:color="242828"/>
          <w:insideH w:val="nil"/>
          <w:insideV w:val="single" w:sz="8" w:space="0" w:color="242828"/>
        </w:tcBorders>
      </w:tcPr>
    </w:tblStylePr>
    <w:tblStylePr w:type="lastRow">
      <w:pPr>
        <w:spacing w:before="0" w:after="0" w:line="240" w:lineRule="auto"/>
      </w:pPr>
      <w:rPr>
        <w:rFonts w:ascii="Arial" w:eastAsia="Roboto" w:hAnsi="Arial" w:cs="Arial"/>
        <w:b/>
        <w:bCs/>
      </w:rPr>
      <w:tblPr/>
      <w:tcPr>
        <w:tcBorders>
          <w:top w:val="double" w:sz="6" w:space="0" w:color="242828"/>
          <w:left w:val="single" w:sz="8" w:space="0" w:color="242828"/>
          <w:bottom w:val="single" w:sz="8" w:space="0" w:color="242828"/>
          <w:right w:val="single" w:sz="8" w:space="0" w:color="242828"/>
          <w:insideH w:val="nil"/>
          <w:insideV w:val="single" w:sz="8" w:space="0" w:color="242828"/>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242828"/>
          <w:left w:val="single" w:sz="8" w:space="0" w:color="242828"/>
          <w:bottom w:val="single" w:sz="8" w:space="0" w:color="242828"/>
          <w:right w:val="single" w:sz="8" w:space="0" w:color="242828"/>
        </w:tcBorders>
      </w:tcPr>
    </w:tblStylePr>
    <w:tblStylePr w:type="band1Vert">
      <w:tblPr/>
      <w:tcPr>
        <w:tcBorders>
          <w:top w:val="single" w:sz="8" w:space="0" w:color="242828"/>
          <w:left w:val="single" w:sz="8" w:space="0" w:color="242828"/>
          <w:bottom w:val="single" w:sz="8" w:space="0" w:color="242828"/>
          <w:right w:val="single" w:sz="8" w:space="0" w:color="242828"/>
        </w:tcBorders>
        <w:shd w:val="clear" w:color="auto" w:fill="C6CCCC"/>
      </w:tcPr>
    </w:tblStylePr>
    <w:tblStylePr w:type="band1Horz">
      <w:tblPr/>
      <w:tcPr>
        <w:tcBorders>
          <w:top w:val="single" w:sz="8" w:space="0" w:color="242828"/>
          <w:left w:val="single" w:sz="8" w:space="0" w:color="242828"/>
          <w:bottom w:val="single" w:sz="8" w:space="0" w:color="242828"/>
          <w:right w:val="single" w:sz="8" w:space="0" w:color="242828"/>
          <w:insideV w:val="single" w:sz="8" w:space="0" w:color="242828"/>
        </w:tcBorders>
        <w:shd w:val="clear" w:color="auto" w:fill="C6CCCC"/>
      </w:tcPr>
    </w:tblStylePr>
    <w:tblStylePr w:type="band2Horz">
      <w:tblPr/>
      <w:tcPr>
        <w:tcBorders>
          <w:top w:val="single" w:sz="8" w:space="0" w:color="242828"/>
          <w:left w:val="single" w:sz="8" w:space="0" w:color="242828"/>
          <w:bottom w:val="single" w:sz="8" w:space="0" w:color="242828"/>
          <w:right w:val="single" w:sz="8" w:space="0" w:color="242828"/>
          <w:insideV w:val="single" w:sz="8" w:space="0" w:color="242828"/>
        </w:tcBorders>
      </w:tcPr>
    </w:tblStylePr>
  </w:style>
  <w:style w:type="table" w:customStyle="1" w:styleId="LightGrid-Accent11">
    <w:name w:val="Light Grid - Accent 11"/>
    <w:basedOn w:val="TableNormal"/>
    <w:next w:val="LightGrid-Accent1"/>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insideH w:val="single" w:sz="8" w:space="0" w:color="00A6B6"/>
        <w:insideV w:val="single" w:sz="8" w:space="0" w:color="00A6B6"/>
      </w:tblBorders>
    </w:tblPr>
    <w:tblStylePr w:type="firstRow">
      <w:pPr>
        <w:spacing w:before="0" w:after="0" w:line="240" w:lineRule="auto"/>
      </w:pPr>
      <w:rPr>
        <w:rFonts w:ascii="Arial" w:eastAsia="Roboto" w:hAnsi="Arial" w:cs="Arial"/>
        <w:b/>
        <w:bCs/>
      </w:rPr>
      <w:tblPr/>
      <w:tcPr>
        <w:tcBorders>
          <w:top w:val="single" w:sz="8" w:space="0" w:color="00A6B6"/>
          <w:left w:val="single" w:sz="8" w:space="0" w:color="00A6B6"/>
          <w:bottom w:val="single" w:sz="18" w:space="0" w:color="00A6B6"/>
          <w:right w:val="single" w:sz="8" w:space="0" w:color="00A6B6"/>
          <w:insideH w:val="nil"/>
          <w:insideV w:val="single" w:sz="8" w:space="0" w:color="00A6B6"/>
        </w:tcBorders>
      </w:tcPr>
    </w:tblStylePr>
    <w:tblStylePr w:type="lastRow">
      <w:pPr>
        <w:spacing w:before="0" w:after="0" w:line="240" w:lineRule="auto"/>
      </w:pPr>
      <w:rPr>
        <w:rFonts w:ascii="Arial" w:eastAsia="Roboto" w:hAnsi="Arial" w:cs="Arial"/>
        <w:b/>
        <w:bCs/>
      </w:rPr>
      <w:tblPr/>
      <w:tcPr>
        <w:tcBorders>
          <w:top w:val="double" w:sz="6" w:space="0" w:color="00A6B6"/>
          <w:left w:val="single" w:sz="8" w:space="0" w:color="00A6B6"/>
          <w:bottom w:val="single" w:sz="8" w:space="0" w:color="00A6B6"/>
          <w:right w:val="single" w:sz="8" w:space="0" w:color="00A6B6"/>
          <w:insideH w:val="nil"/>
          <w:insideV w:val="single" w:sz="8" w:space="0" w:color="00A6B6"/>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00A6B6"/>
          <w:left w:val="single" w:sz="8" w:space="0" w:color="00A6B6"/>
          <w:bottom w:val="single" w:sz="8" w:space="0" w:color="00A6B6"/>
          <w:right w:val="single" w:sz="8" w:space="0" w:color="00A6B6"/>
        </w:tcBorders>
      </w:tcPr>
    </w:tblStylePr>
    <w:tblStylePr w:type="band1Vert">
      <w:tblPr/>
      <w:tcPr>
        <w:tcBorders>
          <w:top w:val="single" w:sz="8" w:space="0" w:color="00A6B6"/>
          <w:left w:val="single" w:sz="8" w:space="0" w:color="00A6B6"/>
          <w:bottom w:val="single" w:sz="8" w:space="0" w:color="00A6B6"/>
          <w:right w:val="single" w:sz="8" w:space="0" w:color="00A6B6"/>
        </w:tcBorders>
        <w:shd w:val="clear" w:color="auto" w:fill="ADF7FF"/>
      </w:tcPr>
    </w:tblStylePr>
    <w:tblStylePr w:type="band1Horz">
      <w:tblPr/>
      <w:tcPr>
        <w:tcBorders>
          <w:top w:val="single" w:sz="8" w:space="0" w:color="00A6B6"/>
          <w:left w:val="single" w:sz="8" w:space="0" w:color="00A6B6"/>
          <w:bottom w:val="single" w:sz="8" w:space="0" w:color="00A6B6"/>
          <w:right w:val="single" w:sz="8" w:space="0" w:color="00A6B6"/>
          <w:insideV w:val="single" w:sz="8" w:space="0" w:color="00A6B6"/>
        </w:tcBorders>
        <w:shd w:val="clear" w:color="auto" w:fill="ADF7FF"/>
      </w:tcPr>
    </w:tblStylePr>
    <w:tblStylePr w:type="band2Horz">
      <w:tblPr/>
      <w:tcPr>
        <w:tcBorders>
          <w:top w:val="single" w:sz="8" w:space="0" w:color="00A6B6"/>
          <w:left w:val="single" w:sz="8" w:space="0" w:color="00A6B6"/>
          <w:bottom w:val="single" w:sz="8" w:space="0" w:color="00A6B6"/>
          <w:right w:val="single" w:sz="8" w:space="0" w:color="00A6B6"/>
          <w:insideV w:val="single" w:sz="8" w:space="0" w:color="00A6B6"/>
        </w:tcBorders>
      </w:tcPr>
    </w:tblStylePr>
  </w:style>
  <w:style w:type="table" w:customStyle="1" w:styleId="LightGrid-Accent21">
    <w:name w:val="Light Grid - Accent 21"/>
    <w:basedOn w:val="TableNormal"/>
    <w:next w:val="LightGrid-Accent2"/>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insideH w:val="single" w:sz="8" w:space="0" w:color="00956E"/>
        <w:insideV w:val="single" w:sz="8" w:space="0" w:color="00956E"/>
      </w:tblBorders>
    </w:tblPr>
    <w:tblStylePr w:type="firstRow">
      <w:pPr>
        <w:spacing w:before="0" w:after="0" w:line="240" w:lineRule="auto"/>
      </w:pPr>
      <w:rPr>
        <w:rFonts w:ascii="Arial" w:eastAsia="Roboto" w:hAnsi="Arial" w:cs="Arial"/>
        <w:b/>
        <w:bCs/>
      </w:rPr>
      <w:tblPr/>
      <w:tcPr>
        <w:tcBorders>
          <w:top w:val="single" w:sz="8" w:space="0" w:color="00956E"/>
          <w:left w:val="single" w:sz="8" w:space="0" w:color="00956E"/>
          <w:bottom w:val="single" w:sz="18" w:space="0" w:color="00956E"/>
          <w:right w:val="single" w:sz="8" w:space="0" w:color="00956E"/>
          <w:insideH w:val="nil"/>
          <w:insideV w:val="single" w:sz="8" w:space="0" w:color="00956E"/>
        </w:tcBorders>
      </w:tcPr>
    </w:tblStylePr>
    <w:tblStylePr w:type="lastRow">
      <w:pPr>
        <w:spacing w:before="0" w:after="0" w:line="240" w:lineRule="auto"/>
      </w:pPr>
      <w:rPr>
        <w:rFonts w:ascii="Arial" w:eastAsia="Roboto" w:hAnsi="Arial" w:cs="Arial"/>
        <w:b/>
        <w:bCs/>
      </w:rPr>
      <w:tblPr/>
      <w:tcPr>
        <w:tcBorders>
          <w:top w:val="double" w:sz="6" w:space="0" w:color="00956E"/>
          <w:left w:val="single" w:sz="8" w:space="0" w:color="00956E"/>
          <w:bottom w:val="single" w:sz="8" w:space="0" w:color="00956E"/>
          <w:right w:val="single" w:sz="8" w:space="0" w:color="00956E"/>
          <w:insideH w:val="nil"/>
          <w:insideV w:val="single" w:sz="8" w:space="0" w:color="00956E"/>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00956E"/>
          <w:left w:val="single" w:sz="8" w:space="0" w:color="00956E"/>
          <w:bottom w:val="single" w:sz="8" w:space="0" w:color="00956E"/>
          <w:right w:val="single" w:sz="8" w:space="0" w:color="00956E"/>
        </w:tcBorders>
      </w:tcPr>
    </w:tblStylePr>
    <w:tblStylePr w:type="band1Vert">
      <w:tblPr/>
      <w:tcPr>
        <w:tcBorders>
          <w:top w:val="single" w:sz="8" w:space="0" w:color="00956E"/>
          <w:left w:val="single" w:sz="8" w:space="0" w:color="00956E"/>
          <w:bottom w:val="single" w:sz="8" w:space="0" w:color="00956E"/>
          <w:right w:val="single" w:sz="8" w:space="0" w:color="00956E"/>
        </w:tcBorders>
        <w:shd w:val="clear" w:color="auto" w:fill="A5FFE7"/>
      </w:tcPr>
    </w:tblStylePr>
    <w:tblStylePr w:type="band1Horz">
      <w:tblPr/>
      <w:tcPr>
        <w:tcBorders>
          <w:top w:val="single" w:sz="8" w:space="0" w:color="00956E"/>
          <w:left w:val="single" w:sz="8" w:space="0" w:color="00956E"/>
          <w:bottom w:val="single" w:sz="8" w:space="0" w:color="00956E"/>
          <w:right w:val="single" w:sz="8" w:space="0" w:color="00956E"/>
          <w:insideV w:val="single" w:sz="8" w:space="0" w:color="00956E"/>
        </w:tcBorders>
        <w:shd w:val="clear" w:color="auto" w:fill="A5FFE7"/>
      </w:tcPr>
    </w:tblStylePr>
    <w:tblStylePr w:type="band2Horz">
      <w:tblPr/>
      <w:tcPr>
        <w:tcBorders>
          <w:top w:val="single" w:sz="8" w:space="0" w:color="00956E"/>
          <w:left w:val="single" w:sz="8" w:space="0" w:color="00956E"/>
          <w:bottom w:val="single" w:sz="8" w:space="0" w:color="00956E"/>
          <w:right w:val="single" w:sz="8" w:space="0" w:color="00956E"/>
          <w:insideV w:val="single" w:sz="8" w:space="0" w:color="00956E"/>
        </w:tcBorders>
      </w:tcPr>
    </w:tblStylePr>
  </w:style>
  <w:style w:type="table" w:customStyle="1" w:styleId="LightGrid-Accent31">
    <w:name w:val="Light Grid - Accent 31"/>
    <w:basedOn w:val="TableNormal"/>
    <w:next w:val="LightGrid-Accent3"/>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insideH w:val="single" w:sz="8" w:space="0" w:color="76236D"/>
        <w:insideV w:val="single" w:sz="8" w:space="0" w:color="76236D"/>
      </w:tblBorders>
    </w:tblPr>
    <w:tblStylePr w:type="firstRow">
      <w:pPr>
        <w:spacing w:before="0" w:after="0" w:line="240" w:lineRule="auto"/>
      </w:pPr>
      <w:rPr>
        <w:rFonts w:ascii="Arial" w:eastAsia="Roboto" w:hAnsi="Arial" w:cs="Arial"/>
        <w:b/>
        <w:bCs/>
      </w:rPr>
      <w:tblPr/>
      <w:tcPr>
        <w:tcBorders>
          <w:top w:val="single" w:sz="8" w:space="0" w:color="76236D"/>
          <w:left w:val="single" w:sz="8" w:space="0" w:color="76236D"/>
          <w:bottom w:val="single" w:sz="18" w:space="0" w:color="76236D"/>
          <w:right w:val="single" w:sz="8" w:space="0" w:color="76236D"/>
          <w:insideH w:val="nil"/>
          <w:insideV w:val="single" w:sz="8" w:space="0" w:color="76236D"/>
        </w:tcBorders>
      </w:tcPr>
    </w:tblStylePr>
    <w:tblStylePr w:type="lastRow">
      <w:pPr>
        <w:spacing w:before="0" w:after="0" w:line="240" w:lineRule="auto"/>
      </w:pPr>
      <w:rPr>
        <w:rFonts w:ascii="Arial" w:eastAsia="Roboto" w:hAnsi="Arial" w:cs="Arial"/>
        <w:b/>
        <w:bCs/>
      </w:rPr>
      <w:tblPr/>
      <w:tcPr>
        <w:tcBorders>
          <w:top w:val="double" w:sz="6" w:space="0" w:color="76236D"/>
          <w:left w:val="single" w:sz="8" w:space="0" w:color="76236D"/>
          <w:bottom w:val="single" w:sz="8" w:space="0" w:color="76236D"/>
          <w:right w:val="single" w:sz="8" w:space="0" w:color="76236D"/>
          <w:insideH w:val="nil"/>
          <w:insideV w:val="single" w:sz="8" w:space="0" w:color="76236D"/>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76236D"/>
          <w:left w:val="single" w:sz="8" w:space="0" w:color="76236D"/>
          <w:bottom w:val="single" w:sz="8" w:space="0" w:color="76236D"/>
          <w:right w:val="single" w:sz="8" w:space="0" w:color="76236D"/>
        </w:tcBorders>
      </w:tcPr>
    </w:tblStylePr>
    <w:tblStylePr w:type="band1Vert">
      <w:tblPr/>
      <w:tcPr>
        <w:tcBorders>
          <w:top w:val="single" w:sz="8" w:space="0" w:color="76236D"/>
          <w:left w:val="single" w:sz="8" w:space="0" w:color="76236D"/>
          <w:bottom w:val="single" w:sz="8" w:space="0" w:color="76236D"/>
          <w:right w:val="single" w:sz="8" w:space="0" w:color="76236D"/>
        </w:tcBorders>
        <w:shd w:val="clear" w:color="auto" w:fill="EABAE5"/>
      </w:tcPr>
    </w:tblStylePr>
    <w:tblStylePr w:type="band1Horz">
      <w:tblPr/>
      <w:tcPr>
        <w:tcBorders>
          <w:top w:val="single" w:sz="8" w:space="0" w:color="76236D"/>
          <w:left w:val="single" w:sz="8" w:space="0" w:color="76236D"/>
          <w:bottom w:val="single" w:sz="8" w:space="0" w:color="76236D"/>
          <w:right w:val="single" w:sz="8" w:space="0" w:color="76236D"/>
          <w:insideV w:val="single" w:sz="8" w:space="0" w:color="76236D"/>
        </w:tcBorders>
        <w:shd w:val="clear" w:color="auto" w:fill="EABAE5"/>
      </w:tcPr>
    </w:tblStylePr>
    <w:tblStylePr w:type="band2Horz">
      <w:tblPr/>
      <w:tcPr>
        <w:tcBorders>
          <w:top w:val="single" w:sz="8" w:space="0" w:color="76236D"/>
          <w:left w:val="single" w:sz="8" w:space="0" w:color="76236D"/>
          <w:bottom w:val="single" w:sz="8" w:space="0" w:color="76236D"/>
          <w:right w:val="single" w:sz="8" w:space="0" w:color="76236D"/>
          <w:insideV w:val="single" w:sz="8" w:space="0" w:color="76236D"/>
        </w:tcBorders>
      </w:tcPr>
    </w:tblStylePr>
  </w:style>
  <w:style w:type="table" w:customStyle="1" w:styleId="LightGrid-Accent41">
    <w:name w:val="Light Grid - Accent 41"/>
    <w:basedOn w:val="TableNormal"/>
    <w:next w:val="LightGrid-Accent4"/>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insideH w:val="single" w:sz="8" w:space="0" w:color="E97300"/>
        <w:insideV w:val="single" w:sz="8" w:space="0" w:color="E97300"/>
      </w:tblBorders>
    </w:tblPr>
    <w:tblStylePr w:type="firstRow">
      <w:pPr>
        <w:spacing w:before="0" w:after="0" w:line="240" w:lineRule="auto"/>
      </w:pPr>
      <w:rPr>
        <w:rFonts w:ascii="Arial" w:eastAsia="Roboto" w:hAnsi="Arial" w:cs="Arial"/>
        <w:b/>
        <w:bCs/>
      </w:rPr>
      <w:tblPr/>
      <w:tcPr>
        <w:tcBorders>
          <w:top w:val="single" w:sz="8" w:space="0" w:color="E97300"/>
          <w:left w:val="single" w:sz="8" w:space="0" w:color="E97300"/>
          <w:bottom w:val="single" w:sz="18" w:space="0" w:color="E97300"/>
          <w:right w:val="single" w:sz="8" w:space="0" w:color="E97300"/>
          <w:insideH w:val="nil"/>
          <w:insideV w:val="single" w:sz="8" w:space="0" w:color="E97300"/>
        </w:tcBorders>
      </w:tcPr>
    </w:tblStylePr>
    <w:tblStylePr w:type="lastRow">
      <w:pPr>
        <w:spacing w:before="0" w:after="0" w:line="240" w:lineRule="auto"/>
      </w:pPr>
      <w:rPr>
        <w:rFonts w:ascii="Arial" w:eastAsia="Roboto" w:hAnsi="Arial" w:cs="Arial"/>
        <w:b/>
        <w:bCs/>
      </w:rPr>
      <w:tblPr/>
      <w:tcPr>
        <w:tcBorders>
          <w:top w:val="double" w:sz="6" w:space="0" w:color="E97300"/>
          <w:left w:val="single" w:sz="8" w:space="0" w:color="E97300"/>
          <w:bottom w:val="single" w:sz="8" w:space="0" w:color="E97300"/>
          <w:right w:val="single" w:sz="8" w:space="0" w:color="E97300"/>
          <w:insideH w:val="nil"/>
          <w:insideV w:val="single" w:sz="8" w:space="0" w:color="E97300"/>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E97300"/>
          <w:left w:val="single" w:sz="8" w:space="0" w:color="E97300"/>
          <w:bottom w:val="single" w:sz="8" w:space="0" w:color="E97300"/>
          <w:right w:val="single" w:sz="8" w:space="0" w:color="E97300"/>
        </w:tcBorders>
      </w:tcPr>
    </w:tblStylePr>
    <w:tblStylePr w:type="band1Vert">
      <w:tblPr/>
      <w:tcPr>
        <w:tcBorders>
          <w:top w:val="single" w:sz="8" w:space="0" w:color="E97300"/>
          <w:left w:val="single" w:sz="8" w:space="0" w:color="E97300"/>
          <w:bottom w:val="single" w:sz="8" w:space="0" w:color="E97300"/>
          <w:right w:val="single" w:sz="8" w:space="0" w:color="E97300"/>
        </w:tcBorders>
        <w:shd w:val="clear" w:color="auto" w:fill="FFDBBA"/>
      </w:tcPr>
    </w:tblStylePr>
    <w:tblStylePr w:type="band1Horz">
      <w:tblPr/>
      <w:tcPr>
        <w:tcBorders>
          <w:top w:val="single" w:sz="8" w:space="0" w:color="E97300"/>
          <w:left w:val="single" w:sz="8" w:space="0" w:color="E97300"/>
          <w:bottom w:val="single" w:sz="8" w:space="0" w:color="E97300"/>
          <w:right w:val="single" w:sz="8" w:space="0" w:color="E97300"/>
          <w:insideV w:val="single" w:sz="8" w:space="0" w:color="E97300"/>
        </w:tcBorders>
        <w:shd w:val="clear" w:color="auto" w:fill="FFDBBA"/>
      </w:tcPr>
    </w:tblStylePr>
    <w:tblStylePr w:type="band2Horz">
      <w:tblPr/>
      <w:tcPr>
        <w:tcBorders>
          <w:top w:val="single" w:sz="8" w:space="0" w:color="E97300"/>
          <w:left w:val="single" w:sz="8" w:space="0" w:color="E97300"/>
          <w:bottom w:val="single" w:sz="8" w:space="0" w:color="E97300"/>
          <w:right w:val="single" w:sz="8" w:space="0" w:color="E97300"/>
          <w:insideV w:val="single" w:sz="8" w:space="0" w:color="E97300"/>
        </w:tcBorders>
      </w:tcPr>
    </w:tblStylePr>
  </w:style>
  <w:style w:type="table" w:customStyle="1" w:styleId="LightGrid-Accent51">
    <w:name w:val="Light Grid - Accent 51"/>
    <w:basedOn w:val="TableNormal"/>
    <w:next w:val="LightGrid-Accent5"/>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insideH w:val="single" w:sz="8" w:space="0" w:color="D0D2D2"/>
        <w:insideV w:val="single" w:sz="8" w:space="0" w:color="D0D2D2"/>
      </w:tblBorders>
    </w:tblPr>
    <w:tblStylePr w:type="firstRow">
      <w:pPr>
        <w:spacing w:before="0" w:after="0" w:line="240" w:lineRule="auto"/>
      </w:pPr>
      <w:rPr>
        <w:rFonts w:ascii="Arial" w:eastAsia="Roboto" w:hAnsi="Arial" w:cs="Arial"/>
        <w:b/>
        <w:bCs/>
      </w:rPr>
      <w:tblPr/>
      <w:tcPr>
        <w:tcBorders>
          <w:top w:val="single" w:sz="8" w:space="0" w:color="D0D2D2"/>
          <w:left w:val="single" w:sz="8" w:space="0" w:color="D0D2D2"/>
          <w:bottom w:val="single" w:sz="18" w:space="0" w:color="D0D2D2"/>
          <w:right w:val="single" w:sz="8" w:space="0" w:color="D0D2D2"/>
          <w:insideH w:val="nil"/>
          <w:insideV w:val="single" w:sz="8" w:space="0" w:color="D0D2D2"/>
        </w:tcBorders>
      </w:tcPr>
    </w:tblStylePr>
    <w:tblStylePr w:type="lastRow">
      <w:pPr>
        <w:spacing w:before="0" w:after="0" w:line="240" w:lineRule="auto"/>
      </w:pPr>
      <w:rPr>
        <w:rFonts w:ascii="Arial" w:eastAsia="Roboto" w:hAnsi="Arial" w:cs="Arial"/>
        <w:b/>
        <w:bCs/>
      </w:rPr>
      <w:tblPr/>
      <w:tcPr>
        <w:tcBorders>
          <w:top w:val="double" w:sz="6" w:space="0" w:color="D0D2D2"/>
          <w:left w:val="single" w:sz="8" w:space="0" w:color="D0D2D2"/>
          <w:bottom w:val="single" w:sz="8" w:space="0" w:color="D0D2D2"/>
          <w:right w:val="single" w:sz="8" w:space="0" w:color="D0D2D2"/>
          <w:insideH w:val="nil"/>
          <w:insideV w:val="single" w:sz="8" w:space="0" w:color="D0D2D2"/>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D0D2D2"/>
          <w:left w:val="single" w:sz="8" w:space="0" w:color="D0D2D2"/>
          <w:bottom w:val="single" w:sz="8" w:space="0" w:color="D0D2D2"/>
          <w:right w:val="single" w:sz="8" w:space="0" w:color="D0D2D2"/>
        </w:tcBorders>
      </w:tcPr>
    </w:tblStylePr>
    <w:tblStylePr w:type="band1Vert">
      <w:tblPr/>
      <w:tcPr>
        <w:tcBorders>
          <w:top w:val="single" w:sz="8" w:space="0" w:color="D0D2D2"/>
          <w:left w:val="single" w:sz="8" w:space="0" w:color="D0D2D2"/>
          <w:bottom w:val="single" w:sz="8" w:space="0" w:color="D0D2D2"/>
          <w:right w:val="single" w:sz="8" w:space="0" w:color="D0D2D2"/>
        </w:tcBorders>
        <w:shd w:val="clear" w:color="auto" w:fill="F3F3F3"/>
      </w:tcPr>
    </w:tblStylePr>
    <w:tblStylePr w:type="band1Horz">
      <w:tblPr/>
      <w:tcPr>
        <w:tcBorders>
          <w:top w:val="single" w:sz="8" w:space="0" w:color="D0D2D2"/>
          <w:left w:val="single" w:sz="8" w:space="0" w:color="D0D2D2"/>
          <w:bottom w:val="single" w:sz="8" w:space="0" w:color="D0D2D2"/>
          <w:right w:val="single" w:sz="8" w:space="0" w:color="D0D2D2"/>
          <w:insideV w:val="single" w:sz="8" w:space="0" w:color="D0D2D2"/>
        </w:tcBorders>
        <w:shd w:val="clear" w:color="auto" w:fill="F3F3F3"/>
      </w:tcPr>
    </w:tblStylePr>
    <w:tblStylePr w:type="band2Horz">
      <w:tblPr/>
      <w:tcPr>
        <w:tcBorders>
          <w:top w:val="single" w:sz="8" w:space="0" w:color="D0D2D2"/>
          <w:left w:val="single" w:sz="8" w:space="0" w:color="D0D2D2"/>
          <w:bottom w:val="single" w:sz="8" w:space="0" w:color="D0D2D2"/>
          <w:right w:val="single" w:sz="8" w:space="0" w:color="D0D2D2"/>
          <w:insideV w:val="single" w:sz="8" w:space="0" w:color="D0D2D2"/>
        </w:tcBorders>
      </w:tcPr>
    </w:tblStylePr>
  </w:style>
  <w:style w:type="table" w:customStyle="1" w:styleId="LightGrid-Accent61">
    <w:name w:val="Light Grid - Accent 61"/>
    <w:basedOn w:val="TableNormal"/>
    <w:next w:val="LightGrid-Accent6"/>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insideH w:val="single" w:sz="8" w:space="0" w:color="009BDF"/>
        <w:insideV w:val="single" w:sz="8" w:space="0" w:color="009BDF"/>
      </w:tblBorders>
    </w:tblPr>
    <w:tblStylePr w:type="firstRow">
      <w:pPr>
        <w:spacing w:before="0" w:after="0" w:line="240" w:lineRule="auto"/>
      </w:pPr>
      <w:rPr>
        <w:rFonts w:ascii="Arial" w:eastAsia="Roboto" w:hAnsi="Arial" w:cs="Arial"/>
        <w:b/>
        <w:bCs/>
      </w:rPr>
      <w:tblPr/>
      <w:tcPr>
        <w:tcBorders>
          <w:top w:val="single" w:sz="8" w:space="0" w:color="009BDF"/>
          <w:left w:val="single" w:sz="8" w:space="0" w:color="009BDF"/>
          <w:bottom w:val="single" w:sz="18" w:space="0" w:color="009BDF"/>
          <w:right w:val="single" w:sz="8" w:space="0" w:color="009BDF"/>
          <w:insideH w:val="nil"/>
          <w:insideV w:val="single" w:sz="8" w:space="0" w:color="009BDF"/>
        </w:tcBorders>
      </w:tcPr>
    </w:tblStylePr>
    <w:tblStylePr w:type="lastRow">
      <w:pPr>
        <w:spacing w:before="0" w:after="0" w:line="240" w:lineRule="auto"/>
      </w:pPr>
      <w:rPr>
        <w:rFonts w:ascii="Arial" w:eastAsia="Roboto" w:hAnsi="Arial" w:cs="Arial"/>
        <w:b/>
        <w:bCs/>
      </w:rPr>
      <w:tblPr/>
      <w:tcPr>
        <w:tcBorders>
          <w:top w:val="double" w:sz="6" w:space="0" w:color="009BDF"/>
          <w:left w:val="single" w:sz="8" w:space="0" w:color="009BDF"/>
          <w:bottom w:val="single" w:sz="8" w:space="0" w:color="009BDF"/>
          <w:right w:val="single" w:sz="8" w:space="0" w:color="009BDF"/>
          <w:insideH w:val="nil"/>
          <w:insideV w:val="single" w:sz="8" w:space="0" w:color="009BDF"/>
        </w:tcBorders>
      </w:tcPr>
    </w:tblStylePr>
    <w:tblStylePr w:type="firstCol">
      <w:rPr>
        <w:rFonts w:ascii="Arial" w:eastAsia="Roboto" w:hAnsi="Arial" w:cs="Arial"/>
        <w:b/>
        <w:bCs/>
      </w:rPr>
    </w:tblStylePr>
    <w:tblStylePr w:type="lastCol">
      <w:rPr>
        <w:rFonts w:ascii="Arial" w:eastAsia="Roboto" w:hAnsi="Arial" w:cs="Arial"/>
        <w:b/>
        <w:bCs/>
      </w:rPr>
      <w:tblPr/>
      <w:tcPr>
        <w:tcBorders>
          <w:top w:val="single" w:sz="8" w:space="0" w:color="009BDF"/>
          <w:left w:val="single" w:sz="8" w:space="0" w:color="009BDF"/>
          <w:bottom w:val="single" w:sz="8" w:space="0" w:color="009BDF"/>
          <w:right w:val="single" w:sz="8" w:space="0" w:color="009BDF"/>
        </w:tcBorders>
      </w:tcPr>
    </w:tblStylePr>
    <w:tblStylePr w:type="band1Vert">
      <w:tblPr/>
      <w:tcPr>
        <w:tcBorders>
          <w:top w:val="single" w:sz="8" w:space="0" w:color="009BDF"/>
          <w:left w:val="single" w:sz="8" w:space="0" w:color="009BDF"/>
          <w:bottom w:val="single" w:sz="8" w:space="0" w:color="009BDF"/>
          <w:right w:val="single" w:sz="8" w:space="0" w:color="009BDF"/>
        </w:tcBorders>
        <w:shd w:val="clear" w:color="auto" w:fill="B8E9FF"/>
      </w:tcPr>
    </w:tblStylePr>
    <w:tblStylePr w:type="band1Horz">
      <w:tblPr/>
      <w:tcPr>
        <w:tcBorders>
          <w:top w:val="single" w:sz="8" w:space="0" w:color="009BDF"/>
          <w:left w:val="single" w:sz="8" w:space="0" w:color="009BDF"/>
          <w:bottom w:val="single" w:sz="8" w:space="0" w:color="009BDF"/>
          <w:right w:val="single" w:sz="8" w:space="0" w:color="009BDF"/>
          <w:insideV w:val="single" w:sz="8" w:space="0" w:color="009BDF"/>
        </w:tcBorders>
        <w:shd w:val="clear" w:color="auto" w:fill="B8E9FF"/>
      </w:tcPr>
    </w:tblStylePr>
    <w:tblStylePr w:type="band2Horz">
      <w:tblPr/>
      <w:tcPr>
        <w:tcBorders>
          <w:top w:val="single" w:sz="8" w:space="0" w:color="009BDF"/>
          <w:left w:val="single" w:sz="8" w:space="0" w:color="009BDF"/>
          <w:bottom w:val="single" w:sz="8" w:space="0" w:color="009BDF"/>
          <w:right w:val="single" w:sz="8" w:space="0" w:color="009BDF"/>
          <w:insideV w:val="single" w:sz="8" w:space="0" w:color="009BDF"/>
        </w:tcBorders>
      </w:tcPr>
    </w:tblStylePr>
  </w:style>
  <w:style w:type="table" w:customStyle="1" w:styleId="LightList1">
    <w:name w:val="Light List1"/>
    <w:basedOn w:val="TableNormal"/>
    <w:next w:val="LightList"/>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242828"/>
        <w:left w:val="single" w:sz="8" w:space="0" w:color="242828"/>
        <w:bottom w:val="single" w:sz="8" w:space="0" w:color="242828"/>
        <w:right w:val="single" w:sz="8" w:space="0" w:color="242828"/>
      </w:tcBorders>
    </w:tcPr>
    <w:tblStylePr w:type="firstRow">
      <w:pPr>
        <w:spacing w:before="0" w:after="0" w:line="240" w:lineRule="auto"/>
      </w:pPr>
      <w:rPr>
        <w:b/>
        <w:bCs/>
        <w:color w:val="FFFFFF"/>
      </w:rPr>
      <w:tblPr/>
      <w:tcPr>
        <w:shd w:val="clear" w:color="auto" w:fill="242828"/>
      </w:tcPr>
    </w:tblStylePr>
    <w:tblStylePr w:type="lastRow">
      <w:pPr>
        <w:spacing w:before="0" w:after="0" w:line="240" w:lineRule="auto"/>
      </w:pPr>
      <w:rPr>
        <w:b/>
        <w:bCs/>
      </w:rPr>
      <w:tblPr/>
      <w:tcPr>
        <w:tcBorders>
          <w:top w:val="double" w:sz="6" w:space="0" w:color="242828"/>
          <w:left w:val="single" w:sz="8" w:space="0" w:color="242828"/>
          <w:bottom w:val="single" w:sz="8" w:space="0" w:color="242828"/>
          <w:right w:val="single" w:sz="8" w:space="0" w:color="242828"/>
        </w:tcBorders>
      </w:tcPr>
    </w:tblStylePr>
    <w:tblStylePr w:type="firstCol">
      <w:rPr>
        <w:b/>
        <w:bCs/>
      </w:rPr>
    </w:tblStylePr>
    <w:tblStylePr w:type="lastCol">
      <w:rPr>
        <w:b/>
        <w:bCs/>
      </w:rPr>
    </w:tblStylePr>
  </w:style>
  <w:style w:type="table" w:customStyle="1" w:styleId="LightList-Accent11">
    <w:name w:val="Light List - Accent 11"/>
    <w:basedOn w:val="TableNormal"/>
    <w:next w:val="LightList-Accent1"/>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A6B6"/>
        <w:left w:val="single" w:sz="8" w:space="0" w:color="00A6B6"/>
        <w:bottom w:val="single" w:sz="8" w:space="0" w:color="00A6B6"/>
        <w:right w:val="single" w:sz="8" w:space="0" w:color="00A6B6"/>
      </w:tcBorders>
    </w:tcPr>
    <w:tblStylePr w:type="firstRow">
      <w:pPr>
        <w:spacing w:before="0" w:after="0" w:line="240" w:lineRule="auto"/>
      </w:pPr>
      <w:rPr>
        <w:b/>
        <w:bCs/>
        <w:color w:val="FFFFFF"/>
      </w:rPr>
      <w:tblPr/>
      <w:tcPr>
        <w:shd w:val="clear" w:color="auto" w:fill="00A6B6"/>
      </w:tcPr>
    </w:tblStylePr>
    <w:tblStylePr w:type="lastRow">
      <w:pPr>
        <w:spacing w:before="0" w:after="0" w:line="240" w:lineRule="auto"/>
      </w:pPr>
      <w:rPr>
        <w:b/>
        <w:bCs/>
      </w:rPr>
      <w:tblPr/>
      <w:tcPr>
        <w:tcBorders>
          <w:top w:val="double" w:sz="6" w:space="0" w:color="00A6B6"/>
          <w:left w:val="single" w:sz="8" w:space="0" w:color="00A6B6"/>
          <w:bottom w:val="single" w:sz="8" w:space="0" w:color="00A6B6"/>
          <w:right w:val="single" w:sz="8" w:space="0" w:color="00A6B6"/>
        </w:tcBorders>
      </w:tcPr>
    </w:tblStylePr>
    <w:tblStylePr w:type="firstCol">
      <w:rPr>
        <w:b/>
        <w:bCs/>
      </w:rPr>
    </w:tblStylePr>
    <w:tblStylePr w:type="lastCol">
      <w:rPr>
        <w:b/>
        <w:bCs/>
      </w:rPr>
    </w:tblStylePr>
  </w:style>
  <w:style w:type="table" w:customStyle="1" w:styleId="LightList-Accent21">
    <w:name w:val="Light List - Accent 21"/>
    <w:basedOn w:val="TableNormal"/>
    <w:next w:val="LightList-Accent2"/>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56E"/>
        <w:left w:val="single" w:sz="8" w:space="0" w:color="00956E"/>
        <w:bottom w:val="single" w:sz="8" w:space="0" w:color="00956E"/>
        <w:right w:val="single" w:sz="8" w:space="0" w:color="00956E"/>
      </w:tcBorders>
    </w:tcPr>
    <w:tblStylePr w:type="firstRow">
      <w:pPr>
        <w:spacing w:before="0" w:after="0" w:line="240" w:lineRule="auto"/>
      </w:pPr>
      <w:rPr>
        <w:b/>
        <w:bCs/>
        <w:color w:val="FFFFFF"/>
      </w:rPr>
      <w:tblPr/>
      <w:tcPr>
        <w:shd w:val="clear" w:color="auto" w:fill="00956E"/>
      </w:tcPr>
    </w:tblStylePr>
    <w:tblStylePr w:type="lastRow">
      <w:pPr>
        <w:spacing w:before="0" w:after="0" w:line="240" w:lineRule="auto"/>
      </w:pPr>
      <w:rPr>
        <w:b/>
        <w:bCs/>
      </w:rPr>
      <w:tblPr/>
      <w:tcPr>
        <w:tcBorders>
          <w:top w:val="double" w:sz="6" w:space="0" w:color="00956E"/>
          <w:left w:val="single" w:sz="8" w:space="0" w:color="00956E"/>
          <w:bottom w:val="single" w:sz="8" w:space="0" w:color="00956E"/>
          <w:right w:val="single" w:sz="8" w:space="0" w:color="00956E"/>
        </w:tcBorders>
      </w:tcPr>
    </w:tblStylePr>
    <w:tblStylePr w:type="firstCol">
      <w:rPr>
        <w:b/>
        <w:bCs/>
      </w:rPr>
    </w:tblStylePr>
    <w:tblStylePr w:type="lastCol">
      <w:rPr>
        <w:b/>
        <w:bCs/>
      </w:rPr>
    </w:tblStylePr>
  </w:style>
  <w:style w:type="table" w:customStyle="1" w:styleId="LightList-Accent31">
    <w:name w:val="Light List - Accent 31"/>
    <w:basedOn w:val="TableNormal"/>
    <w:next w:val="LightList-Accent3"/>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76236D"/>
        <w:left w:val="single" w:sz="8" w:space="0" w:color="76236D"/>
        <w:bottom w:val="single" w:sz="8" w:space="0" w:color="76236D"/>
        <w:right w:val="single" w:sz="8" w:space="0" w:color="76236D"/>
      </w:tcBorders>
    </w:tcPr>
    <w:tblStylePr w:type="firstRow">
      <w:pPr>
        <w:spacing w:before="0" w:after="0" w:line="240" w:lineRule="auto"/>
      </w:pPr>
      <w:rPr>
        <w:b/>
        <w:bCs/>
        <w:color w:val="FFFFFF"/>
      </w:rPr>
      <w:tblPr/>
      <w:tcPr>
        <w:shd w:val="clear" w:color="auto" w:fill="76236D"/>
      </w:tcPr>
    </w:tblStylePr>
    <w:tblStylePr w:type="lastRow">
      <w:pPr>
        <w:spacing w:before="0" w:after="0" w:line="240" w:lineRule="auto"/>
      </w:pPr>
      <w:rPr>
        <w:b/>
        <w:bCs/>
      </w:rPr>
      <w:tblPr/>
      <w:tcPr>
        <w:tcBorders>
          <w:top w:val="double" w:sz="6" w:space="0" w:color="76236D"/>
          <w:left w:val="single" w:sz="8" w:space="0" w:color="76236D"/>
          <w:bottom w:val="single" w:sz="8" w:space="0" w:color="76236D"/>
          <w:right w:val="single" w:sz="8" w:space="0" w:color="76236D"/>
        </w:tcBorders>
      </w:tcPr>
    </w:tblStylePr>
    <w:tblStylePr w:type="firstCol">
      <w:rPr>
        <w:b/>
        <w:bCs/>
      </w:rPr>
    </w:tblStylePr>
    <w:tblStylePr w:type="lastCol">
      <w:rPr>
        <w:b/>
        <w:bCs/>
      </w:rPr>
    </w:tblStylePr>
  </w:style>
  <w:style w:type="table" w:customStyle="1" w:styleId="LightList-Accent41">
    <w:name w:val="Light List - Accent 41"/>
    <w:basedOn w:val="TableNormal"/>
    <w:next w:val="LightList-Accent4"/>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E97300"/>
        <w:left w:val="single" w:sz="8" w:space="0" w:color="E97300"/>
        <w:bottom w:val="single" w:sz="8" w:space="0" w:color="E97300"/>
        <w:right w:val="single" w:sz="8" w:space="0" w:color="E97300"/>
      </w:tcBorders>
    </w:tcPr>
    <w:tblStylePr w:type="firstRow">
      <w:pPr>
        <w:spacing w:before="0" w:after="0" w:line="240" w:lineRule="auto"/>
      </w:pPr>
      <w:rPr>
        <w:b/>
        <w:bCs/>
        <w:color w:val="FFFFFF"/>
      </w:rPr>
      <w:tblPr/>
      <w:tcPr>
        <w:shd w:val="clear" w:color="auto" w:fill="E97300"/>
      </w:tcPr>
    </w:tblStylePr>
    <w:tblStylePr w:type="lastRow">
      <w:pPr>
        <w:spacing w:before="0" w:after="0" w:line="240" w:lineRule="auto"/>
      </w:pPr>
      <w:rPr>
        <w:b/>
        <w:bCs/>
      </w:rPr>
      <w:tblPr/>
      <w:tcPr>
        <w:tcBorders>
          <w:top w:val="double" w:sz="6" w:space="0" w:color="E97300"/>
          <w:left w:val="single" w:sz="8" w:space="0" w:color="E97300"/>
          <w:bottom w:val="single" w:sz="8" w:space="0" w:color="E97300"/>
          <w:right w:val="single" w:sz="8" w:space="0" w:color="E97300"/>
        </w:tcBorders>
      </w:tcPr>
    </w:tblStylePr>
    <w:tblStylePr w:type="firstCol">
      <w:rPr>
        <w:b/>
        <w:bCs/>
      </w:rPr>
    </w:tblStylePr>
    <w:tblStylePr w:type="lastCol">
      <w:rPr>
        <w:b/>
        <w:bCs/>
      </w:rPr>
    </w:tblStylePr>
  </w:style>
  <w:style w:type="table" w:customStyle="1" w:styleId="LightList-Accent51">
    <w:name w:val="Light List - Accent 51"/>
    <w:basedOn w:val="TableNormal"/>
    <w:next w:val="LightList-Accent5"/>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61">
    <w:name w:val="Light List - Accent 61"/>
    <w:basedOn w:val="TableNormal"/>
    <w:next w:val="LightList-Accent6"/>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BDF"/>
        <w:left w:val="single" w:sz="8" w:space="0" w:color="009BDF"/>
        <w:bottom w:val="single" w:sz="8" w:space="0" w:color="009BDF"/>
        <w:right w:val="single" w:sz="8" w:space="0" w:color="009BDF"/>
      </w:tcBorders>
    </w:tcPr>
    <w:tblStylePr w:type="firstRow">
      <w:pPr>
        <w:spacing w:before="0" w:after="0" w:line="240" w:lineRule="auto"/>
      </w:pPr>
      <w:rPr>
        <w:b/>
        <w:bCs/>
        <w:color w:val="FFFFFF"/>
      </w:rPr>
      <w:tblPr/>
      <w:tcPr>
        <w:shd w:val="clear" w:color="auto" w:fill="009BDF"/>
      </w:tcPr>
    </w:tblStylePr>
    <w:tblStylePr w:type="lastRow">
      <w:pPr>
        <w:spacing w:before="0" w:after="0" w:line="240" w:lineRule="auto"/>
      </w:pPr>
      <w:rPr>
        <w:b/>
        <w:bCs/>
      </w:rPr>
      <w:tblPr/>
      <w:tcPr>
        <w:tcBorders>
          <w:top w:val="double" w:sz="6" w:space="0" w:color="009BDF"/>
          <w:left w:val="single" w:sz="8" w:space="0" w:color="009BDF"/>
          <w:bottom w:val="single" w:sz="8" w:space="0" w:color="009BDF"/>
          <w:right w:val="single" w:sz="8" w:space="0" w:color="009BDF"/>
        </w:tcBorders>
      </w:tcPr>
    </w:tblStylePr>
    <w:tblStylePr w:type="firstCol">
      <w:rPr>
        <w:b/>
        <w:bCs/>
      </w:rPr>
    </w:tblStylePr>
    <w:tblStylePr w:type="lastCol">
      <w:rPr>
        <w:b/>
        <w:bCs/>
      </w:rPr>
    </w:tblStylePr>
  </w:style>
  <w:style w:type="table" w:customStyle="1" w:styleId="LightShading1">
    <w:name w:val="Light Shading1"/>
    <w:basedOn w:val="TableNormal"/>
    <w:next w:val="LightShading"/>
    <w:uiPriority w:val="60"/>
    <w:semiHidden/>
    <w:unhideWhenUsed/>
    <w:rsid w:val="00A24B35"/>
    <w:pPr>
      <w:spacing w:after="0" w:line="240" w:lineRule="auto"/>
      <w:jc w:val="left"/>
    </w:pPr>
    <w:rPr>
      <w:rFonts w:asciiTheme="minorHAnsi" w:eastAsia="Times New Roman" w:hAnsiTheme="minorHAnsi" w:cs="Times New Roman"/>
      <w:color w:val="1B1D1D"/>
      <w:sz w:val="22"/>
      <w:szCs w:val="22"/>
      <w:lang w:val="en-US"/>
    </w:rPr>
    <w:tblPr>
      <w:tblStyleRowBandSize w:val="1"/>
      <w:tblStyleColBandSize w:val="1"/>
      <w:tblBorders>
        <w:top w:val="single" w:sz="8" w:space="0" w:color="242828"/>
        <w:bottom w:val="single" w:sz="8" w:space="0" w:color="242828"/>
      </w:tblBorders>
    </w:tblPr>
    <w:tblStylePr w:type="fir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la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CCC"/>
      </w:tcPr>
    </w:tblStylePr>
    <w:tblStylePr w:type="band1Horz">
      <w:tblPr/>
      <w:tcPr>
        <w:tcBorders>
          <w:left w:val="nil"/>
          <w:right w:val="nil"/>
          <w:insideH w:val="nil"/>
          <w:insideV w:val="nil"/>
        </w:tcBorders>
        <w:shd w:val="clear" w:color="auto" w:fill="C6CCCC"/>
      </w:tcPr>
    </w:tblStylePr>
  </w:style>
  <w:style w:type="table" w:customStyle="1" w:styleId="LightShading-Accent11">
    <w:name w:val="Light Shading - Accent 11"/>
    <w:basedOn w:val="TableNormal"/>
    <w:next w:val="LightShading-Accent1"/>
    <w:uiPriority w:val="60"/>
    <w:semiHidden/>
    <w:unhideWhenUsed/>
    <w:rsid w:val="00A24B35"/>
    <w:pPr>
      <w:spacing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8" w:space="0" w:color="00A6B6"/>
        <w:bottom w:val="single" w:sz="8" w:space="0" w:color="00A6B6"/>
      </w:tblBorders>
    </w:tblPr>
    <w:tblStylePr w:type="fir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la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7FF"/>
      </w:tcPr>
    </w:tblStylePr>
    <w:tblStylePr w:type="band1Horz">
      <w:tblPr/>
      <w:tcPr>
        <w:tcBorders>
          <w:left w:val="nil"/>
          <w:right w:val="nil"/>
          <w:insideH w:val="nil"/>
          <w:insideV w:val="nil"/>
        </w:tcBorders>
        <w:shd w:val="clear" w:color="auto" w:fill="ADF7FF"/>
      </w:tcPr>
    </w:tblStylePr>
  </w:style>
  <w:style w:type="table" w:customStyle="1" w:styleId="LightShading-Accent21">
    <w:name w:val="Light Shading - Accent 21"/>
    <w:basedOn w:val="TableNormal"/>
    <w:next w:val="LightShading-Accent2"/>
    <w:uiPriority w:val="60"/>
    <w:semiHidden/>
    <w:unhideWhenUsed/>
    <w:rsid w:val="00A24B35"/>
    <w:pPr>
      <w:spacing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8" w:space="0" w:color="00956E"/>
        <w:bottom w:val="single" w:sz="8" w:space="0" w:color="00956E"/>
      </w:tblBorders>
    </w:tblPr>
    <w:tblStylePr w:type="fir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la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7"/>
      </w:tcPr>
    </w:tblStylePr>
    <w:tblStylePr w:type="band1Horz">
      <w:tblPr/>
      <w:tcPr>
        <w:tcBorders>
          <w:left w:val="nil"/>
          <w:right w:val="nil"/>
          <w:insideH w:val="nil"/>
          <w:insideV w:val="nil"/>
        </w:tcBorders>
        <w:shd w:val="clear" w:color="auto" w:fill="A5FFE7"/>
      </w:tcPr>
    </w:tblStylePr>
  </w:style>
  <w:style w:type="table" w:customStyle="1" w:styleId="LightShading-Accent31">
    <w:name w:val="Light Shading - Accent 31"/>
    <w:basedOn w:val="TableNormal"/>
    <w:next w:val="LightShading-Accent3"/>
    <w:uiPriority w:val="60"/>
    <w:semiHidden/>
    <w:unhideWhenUsed/>
    <w:rsid w:val="00A24B35"/>
    <w:pPr>
      <w:spacing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8" w:space="0" w:color="76236D"/>
        <w:bottom w:val="single" w:sz="8" w:space="0" w:color="76236D"/>
      </w:tblBorders>
    </w:tblPr>
    <w:tblStylePr w:type="fir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la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E5"/>
      </w:tcPr>
    </w:tblStylePr>
    <w:tblStylePr w:type="band1Horz">
      <w:tblPr/>
      <w:tcPr>
        <w:tcBorders>
          <w:left w:val="nil"/>
          <w:right w:val="nil"/>
          <w:insideH w:val="nil"/>
          <w:insideV w:val="nil"/>
        </w:tcBorders>
        <w:shd w:val="clear" w:color="auto" w:fill="EABAE5"/>
      </w:tcPr>
    </w:tblStylePr>
  </w:style>
  <w:style w:type="table" w:customStyle="1" w:styleId="LightShading-Accent41">
    <w:name w:val="Light Shading - Accent 41"/>
    <w:basedOn w:val="TableNormal"/>
    <w:next w:val="LightShading-Accent4"/>
    <w:uiPriority w:val="60"/>
    <w:semiHidden/>
    <w:unhideWhenUsed/>
    <w:rsid w:val="00A24B35"/>
    <w:pPr>
      <w:spacing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8" w:space="0" w:color="E97300"/>
        <w:bottom w:val="single" w:sz="8" w:space="0" w:color="E97300"/>
      </w:tblBorders>
    </w:tblPr>
    <w:tblStylePr w:type="fir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la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cPr>
    </w:tblStylePr>
    <w:tblStylePr w:type="band1Horz">
      <w:tblPr/>
      <w:tcPr>
        <w:tcBorders>
          <w:left w:val="nil"/>
          <w:right w:val="nil"/>
          <w:insideH w:val="nil"/>
          <w:insideV w:val="nil"/>
        </w:tcBorders>
        <w:shd w:val="clear" w:color="auto" w:fill="FFDBBA"/>
      </w:tcPr>
    </w:tblStylePr>
  </w:style>
  <w:style w:type="table" w:customStyle="1" w:styleId="LightShading-Accent51">
    <w:name w:val="Light Shading - Accent 51"/>
    <w:basedOn w:val="TableNormal"/>
    <w:next w:val="LightShading-Accent5"/>
    <w:uiPriority w:val="60"/>
    <w:semiHidden/>
    <w:unhideWhenUsed/>
    <w:rsid w:val="00A24B35"/>
    <w:pPr>
      <w:spacing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8" w:space="0" w:color="D0D2D2"/>
        <w:bottom w:val="single" w:sz="8" w:space="0" w:color="D0D2D2"/>
      </w:tblBorders>
    </w:tblPr>
    <w:tblStylePr w:type="fir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la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3"/>
      </w:tcPr>
    </w:tblStylePr>
    <w:tblStylePr w:type="band1Horz">
      <w:tblPr/>
      <w:tcPr>
        <w:tcBorders>
          <w:left w:val="nil"/>
          <w:right w:val="nil"/>
          <w:insideH w:val="nil"/>
          <w:insideV w:val="nil"/>
        </w:tcBorders>
        <w:shd w:val="clear" w:color="auto" w:fill="F3F3F3"/>
      </w:tcPr>
    </w:tblStylePr>
  </w:style>
  <w:style w:type="table" w:customStyle="1" w:styleId="LightShading-Accent61">
    <w:name w:val="Light Shading - Accent 61"/>
    <w:basedOn w:val="TableNormal"/>
    <w:next w:val="LightShading-Accent6"/>
    <w:uiPriority w:val="60"/>
    <w:semiHidden/>
    <w:unhideWhenUsed/>
    <w:rsid w:val="00A24B35"/>
    <w:pPr>
      <w:spacing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8" w:space="0" w:color="009BDF"/>
        <w:bottom w:val="single" w:sz="8" w:space="0" w:color="009BDF"/>
      </w:tblBorders>
    </w:tblPr>
    <w:tblStylePr w:type="fir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la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cPr>
    </w:tblStylePr>
    <w:tblStylePr w:type="band1Horz">
      <w:tblPr/>
      <w:tcPr>
        <w:tcBorders>
          <w:left w:val="nil"/>
          <w:right w:val="nil"/>
          <w:insideH w:val="nil"/>
          <w:insideV w:val="nil"/>
        </w:tcBorders>
        <w:shd w:val="clear" w:color="auto" w:fill="B8E9FF"/>
      </w:tcPr>
    </w:tblStylePr>
  </w:style>
  <w:style w:type="table" w:customStyle="1" w:styleId="ListTable1Light1">
    <w:name w:val="List Table 1 Light1"/>
    <w:basedOn w:val="TableNormal"/>
    <w:next w:val="ListTable1Light"/>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768383"/>
        </w:tcBorders>
      </w:tcPr>
    </w:tblStylePr>
    <w:tblStylePr w:type="lastRow">
      <w:rPr>
        <w:b/>
        <w:bCs/>
      </w:rPr>
      <w:tblPr/>
      <w:tcPr>
        <w:tcBorders>
          <w:top w:val="sing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1Light-Accent11">
    <w:name w:val="List Table 1 Light - Accent 11"/>
    <w:basedOn w:val="TableNormal"/>
    <w:next w:val="ListTable1Light-Accent1"/>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3AEDFF"/>
        </w:tcBorders>
      </w:tcPr>
    </w:tblStylePr>
    <w:tblStylePr w:type="lastRow">
      <w:rPr>
        <w:b/>
        <w:bCs/>
      </w:rPr>
      <w:tblPr/>
      <w:tcPr>
        <w:tcBorders>
          <w:top w:val="sing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1Light-Accent21">
    <w:name w:val="List Table 1 Light - Accent 21"/>
    <w:basedOn w:val="TableNormal"/>
    <w:next w:val="ListTable1Light-Accent2"/>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26FFC6"/>
        </w:tcBorders>
      </w:tcPr>
    </w:tblStylePr>
    <w:tblStylePr w:type="lastRow">
      <w:rPr>
        <w:b/>
        <w:bCs/>
      </w:rPr>
      <w:tblPr/>
      <w:tcPr>
        <w:tcBorders>
          <w:top w:val="sing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1Light-Accent31">
    <w:name w:val="List Table 1 Light - Accent 31"/>
    <w:basedOn w:val="TableNormal"/>
    <w:next w:val="ListTable1Light-Accent3"/>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CE59C1"/>
        </w:tcBorders>
      </w:tcPr>
    </w:tblStylePr>
    <w:tblStylePr w:type="lastRow">
      <w:rPr>
        <w:b/>
        <w:bCs/>
      </w:rPr>
      <w:tblPr/>
      <w:tcPr>
        <w:tcBorders>
          <w:top w:val="sing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1Light-Accent41">
    <w:name w:val="List Table 1 Light - Accent 41"/>
    <w:basedOn w:val="TableNormal"/>
    <w:next w:val="ListTable1Light-Accent4"/>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FFAA58"/>
        </w:tcBorders>
      </w:tcPr>
    </w:tblStylePr>
    <w:tblStylePr w:type="lastRow">
      <w:rPr>
        <w:b/>
        <w:bCs/>
      </w:rPr>
      <w:tblPr/>
      <w:tcPr>
        <w:tcBorders>
          <w:top w:val="sing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1Light-Accent51">
    <w:name w:val="List Table 1 Light - Accent 51"/>
    <w:basedOn w:val="TableNormal"/>
    <w:next w:val="ListTable1Light-Accent5"/>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E2E4E4"/>
        </w:tcBorders>
      </w:tcPr>
    </w:tblStylePr>
    <w:tblStylePr w:type="lastRow">
      <w:rPr>
        <w:b/>
        <w:bCs/>
      </w:rPr>
      <w:tblPr/>
      <w:tcPr>
        <w:tcBorders>
          <w:top w:val="sing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1Light-Accent61">
    <w:name w:val="List Table 1 Light - Accent 61"/>
    <w:basedOn w:val="TableNormal"/>
    <w:next w:val="ListTable1Light-Accent6"/>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52CAFF"/>
        </w:tcBorders>
      </w:tcPr>
    </w:tblStylePr>
    <w:tblStylePr w:type="lastRow">
      <w:rPr>
        <w:b/>
        <w:bCs/>
      </w:rPr>
      <w:tblPr/>
      <w:tcPr>
        <w:tcBorders>
          <w:top w:val="sing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21">
    <w:name w:val="List Table 21"/>
    <w:basedOn w:val="TableNormal"/>
    <w:next w:val="ListTable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11">
    <w:name w:val="List Table 2 - Accent 11"/>
    <w:basedOn w:val="TableNormal"/>
    <w:next w:val="ListTable2-Accent1"/>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21">
    <w:name w:val="List Table 2 - Accent 21"/>
    <w:basedOn w:val="TableNormal"/>
    <w:next w:val="ListTable2-Accent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31">
    <w:name w:val="List Table 2 - Accent 31"/>
    <w:basedOn w:val="TableNormal"/>
    <w:next w:val="ListTable2-Accent3"/>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41">
    <w:name w:val="List Table 2 - Accent 41"/>
    <w:basedOn w:val="TableNormal"/>
    <w:next w:val="ListTable2-Accent4"/>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
    <w:name w:val="List Table 2 - Accent 51"/>
    <w:basedOn w:val="TableNormal"/>
    <w:next w:val="ListTable2-Accent5"/>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61">
    <w:name w:val="List Table 2 - Accent 61"/>
    <w:basedOn w:val="TableNormal"/>
    <w:next w:val="ListTable2-Accent6"/>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31">
    <w:name w:val="List Table 31"/>
    <w:basedOn w:val="TableNormal"/>
    <w:next w:val="ListTable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42828"/>
        <w:left w:val="single" w:sz="4" w:space="0" w:color="242828"/>
        <w:bottom w:val="single" w:sz="4" w:space="0" w:color="242828"/>
        <w:right w:val="single" w:sz="4" w:space="0" w:color="242828"/>
      </w:tblBorders>
    </w:tblPr>
    <w:tblStylePr w:type="firstRow">
      <w:rPr>
        <w:b/>
        <w:bCs/>
        <w:color w:val="FFFFFF"/>
      </w:rPr>
      <w:tblPr/>
      <w:tcPr>
        <w:shd w:val="clear" w:color="auto" w:fill="242828"/>
      </w:tcPr>
    </w:tblStylePr>
    <w:tblStylePr w:type="lastRow">
      <w:rPr>
        <w:b/>
        <w:bCs/>
      </w:rPr>
      <w:tblPr/>
      <w:tcPr>
        <w:tcBorders>
          <w:top w:val="double" w:sz="4" w:space="0" w:color="24282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42828"/>
          <w:right w:val="single" w:sz="4" w:space="0" w:color="242828"/>
        </w:tcBorders>
      </w:tcPr>
    </w:tblStylePr>
    <w:tblStylePr w:type="band1Horz">
      <w:tblPr/>
      <w:tcPr>
        <w:tcBorders>
          <w:top w:val="single" w:sz="4" w:space="0" w:color="242828"/>
          <w:bottom w:val="single" w:sz="4" w:space="0" w:color="24282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2828"/>
          <w:left w:val="nil"/>
        </w:tcBorders>
      </w:tcPr>
    </w:tblStylePr>
    <w:tblStylePr w:type="swCell">
      <w:tblPr/>
      <w:tcPr>
        <w:tcBorders>
          <w:top w:val="double" w:sz="4" w:space="0" w:color="242828"/>
          <w:right w:val="nil"/>
        </w:tcBorders>
      </w:tcPr>
    </w:tblStylePr>
  </w:style>
  <w:style w:type="table" w:customStyle="1" w:styleId="ListTable3-Accent11">
    <w:name w:val="List Table 3 - Accent 11"/>
    <w:basedOn w:val="TableNormal"/>
    <w:next w:val="ListTable3-Accent1"/>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A6B6"/>
        <w:left w:val="single" w:sz="4" w:space="0" w:color="00A6B6"/>
        <w:bottom w:val="single" w:sz="4" w:space="0" w:color="00A6B6"/>
        <w:right w:val="single" w:sz="4" w:space="0" w:color="00A6B6"/>
      </w:tblBorders>
    </w:tblPr>
    <w:tblStylePr w:type="firstRow">
      <w:rPr>
        <w:b/>
        <w:bCs/>
        <w:color w:val="FFFFFF"/>
      </w:rPr>
      <w:tblPr/>
      <w:tcPr>
        <w:shd w:val="clear" w:color="auto" w:fill="00A6B6"/>
      </w:tcPr>
    </w:tblStylePr>
    <w:tblStylePr w:type="lastRow">
      <w:rPr>
        <w:b/>
        <w:bCs/>
      </w:rPr>
      <w:tblPr/>
      <w:tcPr>
        <w:tcBorders>
          <w:top w:val="double" w:sz="4" w:space="0" w:color="00A6B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A6B6"/>
          <w:right w:val="single" w:sz="4" w:space="0" w:color="00A6B6"/>
        </w:tcBorders>
      </w:tcPr>
    </w:tblStylePr>
    <w:tblStylePr w:type="band1Horz">
      <w:tblPr/>
      <w:tcPr>
        <w:tcBorders>
          <w:top w:val="single" w:sz="4" w:space="0" w:color="00A6B6"/>
          <w:bottom w:val="single" w:sz="4" w:space="0" w:color="00A6B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6B6"/>
          <w:left w:val="nil"/>
        </w:tcBorders>
      </w:tcPr>
    </w:tblStylePr>
    <w:tblStylePr w:type="swCell">
      <w:tblPr/>
      <w:tcPr>
        <w:tcBorders>
          <w:top w:val="double" w:sz="4" w:space="0" w:color="00A6B6"/>
          <w:right w:val="nil"/>
        </w:tcBorders>
      </w:tcPr>
    </w:tblStylePr>
  </w:style>
  <w:style w:type="table" w:customStyle="1" w:styleId="ListTable3-Accent21">
    <w:name w:val="List Table 3 - Accent 21"/>
    <w:basedOn w:val="TableNormal"/>
    <w:next w:val="ListTable3-Accent2"/>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956E"/>
        <w:left w:val="single" w:sz="4" w:space="0" w:color="00956E"/>
        <w:bottom w:val="single" w:sz="4" w:space="0" w:color="00956E"/>
        <w:right w:val="single" w:sz="4" w:space="0" w:color="00956E"/>
      </w:tblBorders>
    </w:tblPr>
    <w:tblStylePr w:type="firstRow">
      <w:rPr>
        <w:b/>
        <w:bCs/>
        <w:color w:val="FFFFFF"/>
      </w:rPr>
      <w:tblPr/>
      <w:tcPr>
        <w:shd w:val="clear" w:color="auto" w:fill="00956E"/>
      </w:tcPr>
    </w:tblStylePr>
    <w:tblStylePr w:type="lastRow">
      <w:rPr>
        <w:b/>
        <w:bCs/>
      </w:rPr>
      <w:tblPr/>
      <w:tcPr>
        <w:tcBorders>
          <w:top w:val="double" w:sz="4" w:space="0" w:color="00956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56E"/>
          <w:right w:val="single" w:sz="4" w:space="0" w:color="00956E"/>
        </w:tcBorders>
      </w:tcPr>
    </w:tblStylePr>
    <w:tblStylePr w:type="band1Horz">
      <w:tblPr/>
      <w:tcPr>
        <w:tcBorders>
          <w:top w:val="single" w:sz="4" w:space="0" w:color="00956E"/>
          <w:bottom w:val="single" w:sz="4" w:space="0" w:color="00956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56E"/>
          <w:left w:val="nil"/>
        </w:tcBorders>
      </w:tcPr>
    </w:tblStylePr>
    <w:tblStylePr w:type="swCell">
      <w:tblPr/>
      <w:tcPr>
        <w:tcBorders>
          <w:top w:val="double" w:sz="4" w:space="0" w:color="00956E"/>
          <w:right w:val="nil"/>
        </w:tcBorders>
      </w:tcPr>
    </w:tblStylePr>
  </w:style>
  <w:style w:type="table" w:customStyle="1" w:styleId="ListTable3-Accent31">
    <w:name w:val="List Table 3 - Accent 31"/>
    <w:basedOn w:val="TableNormal"/>
    <w:next w:val="ListTable3-Accent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236D"/>
        <w:left w:val="single" w:sz="4" w:space="0" w:color="76236D"/>
        <w:bottom w:val="single" w:sz="4" w:space="0" w:color="76236D"/>
        <w:right w:val="single" w:sz="4" w:space="0" w:color="76236D"/>
      </w:tblBorders>
    </w:tblPr>
    <w:tblStylePr w:type="firstRow">
      <w:rPr>
        <w:b/>
        <w:bCs/>
        <w:color w:val="FFFFFF"/>
      </w:rPr>
      <w:tblPr/>
      <w:tcPr>
        <w:shd w:val="clear" w:color="auto" w:fill="76236D"/>
      </w:tcPr>
    </w:tblStylePr>
    <w:tblStylePr w:type="lastRow">
      <w:rPr>
        <w:b/>
        <w:bCs/>
      </w:rPr>
      <w:tblPr/>
      <w:tcPr>
        <w:tcBorders>
          <w:top w:val="double" w:sz="4" w:space="0" w:color="76236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6236D"/>
          <w:right w:val="single" w:sz="4" w:space="0" w:color="76236D"/>
        </w:tcBorders>
      </w:tcPr>
    </w:tblStylePr>
    <w:tblStylePr w:type="band1Horz">
      <w:tblPr/>
      <w:tcPr>
        <w:tcBorders>
          <w:top w:val="single" w:sz="4" w:space="0" w:color="76236D"/>
          <w:bottom w:val="single" w:sz="4" w:space="0" w:color="76236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236D"/>
          <w:left w:val="nil"/>
        </w:tcBorders>
      </w:tcPr>
    </w:tblStylePr>
    <w:tblStylePr w:type="swCell">
      <w:tblPr/>
      <w:tcPr>
        <w:tcBorders>
          <w:top w:val="double" w:sz="4" w:space="0" w:color="76236D"/>
          <w:right w:val="nil"/>
        </w:tcBorders>
      </w:tcPr>
    </w:tblStylePr>
  </w:style>
  <w:style w:type="table" w:customStyle="1" w:styleId="ListTable3-Accent41">
    <w:name w:val="List Table 3 - Accent 41"/>
    <w:basedOn w:val="TableNormal"/>
    <w:next w:val="ListTable3-Accent4"/>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97300"/>
        <w:left w:val="single" w:sz="4" w:space="0" w:color="E97300"/>
        <w:bottom w:val="single" w:sz="4" w:space="0" w:color="E97300"/>
        <w:right w:val="single" w:sz="4" w:space="0" w:color="E97300"/>
      </w:tblBorders>
    </w:tblPr>
    <w:tblStylePr w:type="firstRow">
      <w:rPr>
        <w:b/>
        <w:bCs/>
        <w:color w:val="FFFFFF"/>
      </w:rPr>
      <w:tblPr/>
      <w:tcPr>
        <w:shd w:val="clear" w:color="auto" w:fill="E97300"/>
      </w:tcPr>
    </w:tblStylePr>
    <w:tblStylePr w:type="lastRow">
      <w:rPr>
        <w:b/>
        <w:bCs/>
      </w:rPr>
      <w:tblPr/>
      <w:tcPr>
        <w:tcBorders>
          <w:top w:val="double" w:sz="4" w:space="0" w:color="E973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300"/>
          <w:right w:val="single" w:sz="4" w:space="0" w:color="E97300"/>
        </w:tcBorders>
      </w:tcPr>
    </w:tblStylePr>
    <w:tblStylePr w:type="band1Horz">
      <w:tblPr/>
      <w:tcPr>
        <w:tcBorders>
          <w:top w:val="single" w:sz="4" w:space="0" w:color="E97300"/>
          <w:bottom w:val="single" w:sz="4" w:space="0" w:color="E973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300"/>
          <w:left w:val="nil"/>
        </w:tcBorders>
      </w:tcPr>
    </w:tblStylePr>
    <w:tblStylePr w:type="swCell">
      <w:tblPr/>
      <w:tcPr>
        <w:tcBorders>
          <w:top w:val="double" w:sz="4" w:space="0" w:color="E97300"/>
          <w:right w:val="nil"/>
        </w:tcBorders>
      </w:tcPr>
    </w:tblStylePr>
  </w:style>
  <w:style w:type="table" w:customStyle="1" w:styleId="ListTable3-Accent51">
    <w:name w:val="List Table 3 - Accent 51"/>
    <w:basedOn w:val="TableNormal"/>
    <w:next w:val="ListTable3-Accent5"/>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D0D2D2"/>
        <w:left w:val="single" w:sz="4" w:space="0" w:color="D0D2D2"/>
        <w:bottom w:val="single" w:sz="4" w:space="0" w:color="D0D2D2"/>
        <w:right w:val="single" w:sz="4" w:space="0" w:color="D0D2D2"/>
      </w:tblBorders>
    </w:tblPr>
    <w:tblStylePr w:type="firstRow">
      <w:rPr>
        <w:b/>
        <w:bCs/>
        <w:color w:val="FFFFFF"/>
      </w:rPr>
      <w:tblPr/>
      <w:tcPr>
        <w:shd w:val="clear" w:color="auto" w:fill="D0D2D2"/>
      </w:tcPr>
    </w:tblStylePr>
    <w:tblStylePr w:type="lastRow">
      <w:rPr>
        <w:b/>
        <w:bCs/>
      </w:rPr>
      <w:tblPr/>
      <w:tcPr>
        <w:tcBorders>
          <w:top w:val="double" w:sz="4" w:space="0" w:color="D0D2D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0D2D2"/>
          <w:right w:val="single" w:sz="4" w:space="0" w:color="D0D2D2"/>
        </w:tcBorders>
      </w:tcPr>
    </w:tblStylePr>
    <w:tblStylePr w:type="band1Horz">
      <w:tblPr/>
      <w:tcPr>
        <w:tcBorders>
          <w:top w:val="single" w:sz="4" w:space="0" w:color="D0D2D2"/>
          <w:bottom w:val="single" w:sz="4" w:space="0" w:color="D0D2D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D2D2"/>
          <w:left w:val="nil"/>
        </w:tcBorders>
      </w:tcPr>
    </w:tblStylePr>
    <w:tblStylePr w:type="swCell">
      <w:tblPr/>
      <w:tcPr>
        <w:tcBorders>
          <w:top w:val="double" w:sz="4" w:space="0" w:color="D0D2D2"/>
          <w:right w:val="nil"/>
        </w:tcBorders>
      </w:tcPr>
    </w:tblStylePr>
  </w:style>
  <w:style w:type="table" w:customStyle="1" w:styleId="ListTable3-Accent61">
    <w:name w:val="List Table 3 - Accent 61"/>
    <w:basedOn w:val="TableNormal"/>
    <w:next w:val="ListTable3-Accent6"/>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9BDF"/>
        <w:left w:val="single" w:sz="4" w:space="0" w:color="009BDF"/>
        <w:bottom w:val="single" w:sz="4" w:space="0" w:color="009BDF"/>
        <w:right w:val="single" w:sz="4" w:space="0" w:color="009BDF"/>
      </w:tblBorders>
    </w:tblPr>
    <w:tblStylePr w:type="firstRow">
      <w:rPr>
        <w:b/>
        <w:bCs/>
        <w:color w:val="FFFFFF"/>
      </w:rPr>
      <w:tblPr/>
      <w:tcPr>
        <w:shd w:val="clear" w:color="auto" w:fill="009BDF"/>
      </w:tcPr>
    </w:tblStylePr>
    <w:tblStylePr w:type="lastRow">
      <w:rPr>
        <w:b/>
        <w:bCs/>
      </w:rPr>
      <w:tblPr/>
      <w:tcPr>
        <w:tcBorders>
          <w:top w:val="double" w:sz="4" w:space="0" w:color="009B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BDF"/>
          <w:right w:val="single" w:sz="4" w:space="0" w:color="009BDF"/>
        </w:tcBorders>
      </w:tcPr>
    </w:tblStylePr>
    <w:tblStylePr w:type="band1Horz">
      <w:tblPr/>
      <w:tcPr>
        <w:tcBorders>
          <w:top w:val="single" w:sz="4" w:space="0" w:color="009BDF"/>
          <w:bottom w:val="single" w:sz="4" w:space="0" w:color="009B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BDF"/>
          <w:left w:val="nil"/>
        </w:tcBorders>
      </w:tcPr>
    </w:tblStylePr>
    <w:tblStylePr w:type="swCell">
      <w:tblPr/>
      <w:tcPr>
        <w:tcBorders>
          <w:top w:val="double" w:sz="4" w:space="0" w:color="009BDF"/>
          <w:right w:val="nil"/>
        </w:tcBorders>
      </w:tcPr>
    </w:tblStylePr>
  </w:style>
  <w:style w:type="table" w:customStyle="1" w:styleId="ListTable41">
    <w:name w:val="List Table 41"/>
    <w:basedOn w:val="TableNormal"/>
    <w:next w:val="ListTable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tblBorders>
    </w:tblPr>
    <w:tblStylePr w:type="firstRow">
      <w:rPr>
        <w:b/>
        <w:bCs/>
        <w:color w:val="FFFFFF"/>
      </w:rPr>
      <w:tblPr/>
      <w:tcPr>
        <w:tcBorders>
          <w:top w:val="single" w:sz="4" w:space="0" w:color="242828"/>
          <w:left w:val="single" w:sz="4" w:space="0" w:color="242828"/>
          <w:bottom w:val="single" w:sz="4" w:space="0" w:color="242828"/>
          <w:right w:val="single" w:sz="4" w:space="0" w:color="242828"/>
          <w:insideH w:val="nil"/>
        </w:tcBorders>
        <w:shd w:val="clear" w:color="auto" w:fill="242828"/>
      </w:tcPr>
    </w:tblStylePr>
    <w:tblStylePr w:type="lastRow">
      <w:rPr>
        <w:b/>
        <w:bCs/>
      </w:rPr>
      <w:tblPr/>
      <w:tcPr>
        <w:tcBorders>
          <w:top w:val="doub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4-Accent11">
    <w:name w:val="List Table 4 - Accent 11"/>
    <w:basedOn w:val="TableNormal"/>
    <w:next w:val="ListTable4-Accent1"/>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tblBorders>
    </w:tblPr>
    <w:tblStylePr w:type="firstRow">
      <w:rPr>
        <w:b/>
        <w:bCs/>
        <w:color w:val="FFFFFF"/>
      </w:rPr>
      <w:tblPr/>
      <w:tcPr>
        <w:tcBorders>
          <w:top w:val="single" w:sz="4" w:space="0" w:color="00A6B6"/>
          <w:left w:val="single" w:sz="4" w:space="0" w:color="00A6B6"/>
          <w:bottom w:val="single" w:sz="4" w:space="0" w:color="00A6B6"/>
          <w:right w:val="single" w:sz="4" w:space="0" w:color="00A6B6"/>
          <w:insideH w:val="nil"/>
        </w:tcBorders>
        <w:shd w:val="clear" w:color="auto" w:fill="00A6B6"/>
      </w:tcPr>
    </w:tblStylePr>
    <w:tblStylePr w:type="lastRow">
      <w:rPr>
        <w:b/>
        <w:bCs/>
      </w:rPr>
      <w:tblPr/>
      <w:tcPr>
        <w:tcBorders>
          <w:top w:val="doub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4-Accent21">
    <w:name w:val="List Table 4 - Accent 21"/>
    <w:basedOn w:val="TableNormal"/>
    <w:next w:val="ListTable4-Accent2"/>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tblBorders>
    </w:tblPr>
    <w:tblStylePr w:type="firstRow">
      <w:rPr>
        <w:b/>
        <w:bCs/>
        <w:color w:val="FFFFFF"/>
      </w:rPr>
      <w:tblPr/>
      <w:tcPr>
        <w:tcBorders>
          <w:top w:val="single" w:sz="4" w:space="0" w:color="00956E"/>
          <w:left w:val="single" w:sz="4" w:space="0" w:color="00956E"/>
          <w:bottom w:val="single" w:sz="4" w:space="0" w:color="00956E"/>
          <w:right w:val="single" w:sz="4" w:space="0" w:color="00956E"/>
          <w:insideH w:val="nil"/>
        </w:tcBorders>
        <w:shd w:val="clear" w:color="auto" w:fill="00956E"/>
      </w:tcPr>
    </w:tblStylePr>
    <w:tblStylePr w:type="lastRow">
      <w:rPr>
        <w:b/>
        <w:bCs/>
      </w:rPr>
      <w:tblPr/>
      <w:tcPr>
        <w:tcBorders>
          <w:top w:val="doub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4-Accent31">
    <w:name w:val="List Table 4 - Accent 31"/>
    <w:basedOn w:val="TableNormal"/>
    <w:next w:val="ListTable4-Accent3"/>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tblBorders>
    </w:tblPr>
    <w:tblStylePr w:type="firstRow">
      <w:rPr>
        <w:b/>
        <w:bCs/>
        <w:color w:val="FFFFFF"/>
      </w:rPr>
      <w:tblPr/>
      <w:tcPr>
        <w:tcBorders>
          <w:top w:val="single" w:sz="4" w:space="0" w:color="76236D"/>
          <w:left w:val="single" w:sz="4" w:space="0" w:color="76236D"/>
          <w:bottom w:val="single" w:sz="4" w:space="0" w:color="76236D"/>
          <w:right w:val="single" w:sz="4" w:space="0" w:color="76236D"/>
          <w:insideH w:val="nil"/>
        </w:tcBorders>
        <w:shd w:val="clear" w:color="auto" w:fill="76236D"/>
      </w:tcPr>
    </w:tblStylePr>
    <w:tblStylePr w:type="lastRow">
      <w:rPr>
        <w:b/>
        <w:bCs/>
      </w:rPr>
      <w:tblPr/>
      <w:tcPr>
        <w:tcBorders>
          <w:top w:val="doub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4-Accent41">
    <w:name w:val="List Table 4 - Accent 41"/>
    <w:basedOn w:val="TableNormal"/>
    <w:next w:val="ListTable4-Accent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tblBorders>
    </w:tblPr>
    <w:tblStylePr w:type="firstRow">
      <w:rPr>
        <w:b/>
        <w:bCs/>
        <w:color w:val="FFFFFF"/>
      </w:rPr>
      <w:tblPr/>
      <w:tcPr>
        <w:tcBorders>
          <w:top w:val="single" w:sz="4" w:space="0" w:color="E97300"/>
          <w:left w:val="single" w:sz="4" w:space="0" w:color="E97300"/>
          <w:bottom w:val="single" w:sz="4" w:space="0" w:color="E97300"/>
          <w:right w:val="single" w:sz="4" w:space="0" w:color="E97300"/>
          <w:insideH w:val="nil"/>
        </w:tcBorders>
        <w:shd w:val="clear" w:color="auto" w:fill="E97300"/>
      </w:tcPr>
    </w:tblStylePr>
    <w:tblStylePr w:type="lastRow">
      <w:rPr>
        <w:b/>
        <w:bCs/>
      </w:rPr>
      <w:tblPr/>
      <w:tcPr>
        <w:tcBorders>
          <w:top w:val="doub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4-Accent51">
    <w:name w:val="List Table 4 - Accent 51"/>
    <w:basedOn w:val="TableNormal"/>
    <w:next w:val="ListTable4-Accent5"/>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tblBorders>
    </w:tblPr>
    <w:tblStylePr w:type="firstRow">
      <w:rPr>
        <w:b/>
        <w:bCs/>
        <w:color w:val="FFFFFF"/>
      </w:rPr>
      <w:tblPr/>
      <w:tcPr>
        <w:tcBorders>
          <w:top w:val="single" w:sz="4" w:space="0" w:color="D0D2D2"/>
          <w:left w:val="single" w:sz="4" w:space="0" w:color="D0D2D2"/>
          <w:bottom w:val="single" w:sz="4" w:space="0" w:color="D0D2D2"/>
          <w:right w:val="single" w:sz="4" w:space="0" w:color="D0D2D2"/>
          <w:insideH w:val="nil"/>
        </w:tcBorders>
        <w:shd w:val="clear" w:color="auto" w:fill="D0D2D2"/>
      </w:tcPr>
    </w:tblStylePr>
    <w:tblStylePr w:type="lastRow">
      <w:rPr>
        <w:b/>
        <w:bCs/>
      </w:rPr>
      <w:tblPr/>
      <w:tcPr>
        <w:tcBorders>
          <w:top w:val="doub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4-Accent61">
    <w:name w:val="List Table 4 - Accent 61"/>
    <w:basedOn w:val="TableNormal"/>
    <w:next w:val="ListTable4-Accent6"/>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tblBorders>
    </w:tblPr>
    <w:tblStylePr w:type="firstRow">
      <w:rPr>
        <w:b/>
        <w:bCs/>
        <w:color w:val="FFFFFF"/>
      </w:rPr>
      <w:tblPr/>
      <w:tcPr>
        <w:tcBorders>
          <w:top w:val="single" w:sz="4" w:space="0" w:color="009BDF"/>
          <w:left w:val="single" w:sz="4" w:space="0" w:color="009BDF"/>
          <w:bottom w:val="single" w:sz="4" w:space="0" w:color="009BDF"/>
          <w:right w:val="single" w:sz="4" w:space="0" w:color="009BDF"/>
          <w:insideH w:val="nil"/>
        </w:tcBorders>
        <w:shd w:val="clear" w:color="auto" w:fill="009BDF"/>
      </w:tcPr>
    </w:tblStylePr>
    <w:tblStylePr w:type="lastRow">
      <w:rPr>
        <w:b/>
        <w:bCs/>
      </w:rPr>
      <w:tblPr/>
      <w:tcPr>
        <w:tcBorders>
          <w:top w:val="doub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5Dark1">
    <w:name w:val="List Table 5 Dark1"/>
    <w:basedOn w:val="TableNormal"/>
    <w:next w:val="ListTable5Dark"/>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242828"/>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A6B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956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76236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E973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right w:val="nil"/>
      </w:tcBorders>
      <w:shd w:val="clear" w:color="auto" w:fill="D0D2D2"/>
    </w:tcPr>
    <w:tblStylePr w:type="firstRow">
      <w:rPr>
        <w:b/>
        <w:bCs/>
      </w:rPr>
    </w:tblStylePr>
    <w:tblStylePr w:type="lastRow">
      <w:rPr>
        <w:b/>
        <w:bCs/>
      </w:rPr>
    </w:tblStylePr>
    <w:tblStylePr w:type="firstCol">
      <w:rPr>
        <w:b/>
        <w:bCs/>
      </w:rPr>
    </w:tblStylePr>
    <w:tblStylePr w:type="lastCol">
      <w:rPr>
        <w:b/>
        <w:bCs/>
      </w:rPr>
    </w:tblStylePr>
    <w:tblStylePr w:type="nwCell">
      <w:tblPr/>
      <w:tcPr>
        <w:tcBorders>
          <w:right w:val="nil"/>
        </w:tcBorders>
      </w:tcPr>
    </w:tblStylePr>
  </w:style>
  <w:style w:type="table" w:customStyle="1" w:styleId="ListTable5Dark-Accent61">
    <w:name w:val="List Table 5 Dark - Accent 61"/>
    <w:basedOn w:val="TableNormal"/>
    <w:next w:val="ListTable5Dark-Accent6"/>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9BD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242828"/>
        <w:bottom w:val="single" w:sz="4" w:space="0" w:color="242828"/>
      </w:tblBorders>
    </w:tblPr>
    <w:tblStylePr w:type="firstRow">
      <w:rPr>
        <w:b/>
        <w:bCs/>
      </w:rPr>
      <w:tblPr/>
      <w:tcPr>
        <w:tcBorders>
          <w:bottom w:val="single" w:sz="4" w:space="0" w:color="242828"/>
        </w:tcBorders>
      </w:tcPr>
    </w:tblStylePr>
    <w:tblStylePr w:type="lastRow">
      <w:rPr>
        <w:b/>
        <w:bCs/>
      </w:rPr>
      <w:tblPr/>
      <w:tcPr>
        <w:tcBorders>
          <w:top w:val="double" w:sz="4" w:space="0" w:color="242828"/>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6Colorful-Accent11">
    <w:name w:val="List Table 6 Colorful - Accent 11"/>
    <w:basedOn w:val="TableNormal"/>
    <w:next w:val="ListTable6Colorful-Accent1"/>
    <w:uiPriority w:val="51"/>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00A6B6"/>
        <w:bottom w:val="single" w:sz="4" w:space="0" w:color="00A6B6"/>
      </w:tblBorders>
    </w:tblPr>
    <w:tblStylePr w:type="firstRow">
      <w:rPr>
        <w:b/>
        <w:bCs/>
      </w:rPr>
      <w:tblPr/>
      <w:tcPr>
        <w:tcBorders>
          <w:bottom w:val="single" w:sz="4" w:space="0" w:color="00A6B6"/>
        </w:tcBorders>
      </w:tcPr>
    </w:tblStylePr>
    <w:tblStylePr w:type="lastRow">
      <w:rPr>
        <w:b/>
        <w:bCs/>
      </w:rPr>
      <w:tblPr/>
      <w:tcPr>
        <w:tcBorders>
          <w:top w:val="double" w:sz="4" w:space="0" w:color="00A6B6"/>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6Colorful-Accent21">
    <w:name w:val="List Table 6 Colorful - Accent 21"/>
    <w:basedOn w:val="TableNormal"/>
    <w:next w:val="ListTable6Colorful-Accent2"/>
    <w:uiPriority w:val="51"/>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00956E"/>
        <w:bottom w:val="single" w:sz="4" w:space="0" w:color="00956E"/>
      </w:tblBorders>
    </w:tblPr>
    <w:tblStylePr w:type="firstRow">
      <w:rPr>
        <w:b/>
        <w:bCs/>
      </w:rPr>
      <w:tblPr/>
      <w:tcPr>
        <w:tcBorders>
          <w:bottom w:val="single" w:sz="4" w:space="0" w:color="00956E"/>
        </w:tcBorders>
      </w:tcPr>
    </w:tblStylePr>
    <w:tblStylePr w:type="lastRow">
      <w:rPr>
        <w:b/>
        <w:bCs/>
      </w:rPr>
      <w:tblPr/>
      <w:tcPr>
        <w:tcBorders>
          <w:top w:val="double" w:sz="4" w:space="0" w:color="00956E"/>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6Colorful-Accent31">
    <w:name w:val="List Table 6 Colorful - Accent 31"/>
    <w:basedOn w:val="TableNormal"/>
    <w:next w:val="ListTable6Colorful-Accent3"/>
    <w:uiPriority w:val="51"/>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76236D"/>
        <w:bottom w:val="single" w:sz="4" w:space="0" w:color="76236D"/>
      </w:tblBorders>
    </w:tblPr>
    <w:tblStylePr w:type="firstRow">
      <w:rPr>
        <w:b/>
        <w:bCs/>
      </w:rPr>
      <w:tblPr/>
      <w:tcPr>
        <w:tcBorders>
          <w:bottom w:val="single" w:sz="4" w:space="0" w:color="76236D"/>
        </w:tcBorders>
      </w:tcPr>
    </w:tblStylePr>
    <w:tblStylePr w:type="lastRow">
      <w:rPr>
        <w:b/>
        <w:bCs/>
      </w:rPr>
      <w:tblPr/>
      <w:tcPr>
        <w:tcBorders>
          <w:top w:val="double" w:sz="4" w:space="0" w:color="76236D"/>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6Colorful-Accent41">
    <w:name w:val="List Table 6 Colorful - Accent 41"/>
    <w:basedOn w:val="TableNormal"/>
    <w:next w:val="ListTable6Colorful-Accent4"/>
    <w:uiPriority w:val="51"/>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E97300"/>
        <w:bottom w:val="single" w:sz="4" w:space="0" w:color="E97300"/>
      </w:tblBorders>
    </w:tblPr>
    <w:tblStylePr w:type="firstRow">
      <w:rPr>
        <w:b/>
        <w:bCs/>
      </w:rPr>
      <w:tblPr/>
      <w:tcPr>
        <w:tcBorders>
          <w:bottom w:val="single" w:sz="4" w:space="0" w:color="E97300"/>
        </w:tcBorders>
      </w:tcPr>
    </w:tblStylePr>
    <w:tblStylePr w:type="lastRow">
      <w:rPr>
        <w:b/>
        <w:bCs/>
      </w:rPr>
      <w:tblPr/>
      <w:tcPr>
        <w:tcBorders>
          <w:top w:val="double" w:sz="4" w:space="0" w:color="E97300"/>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6Colorful-Accent51">
    <w:name w:val="List Table 6 Colorful - Accent 51"/>
    <w:basedOn w:val="TableNormal"/>
    <w:next w:val="ListTable6Colorful-Accent5"/>
    <w:uiPriority w:val="51"/>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D0D2D2"/>
        <w:bottom w:val="single" w:sz="4" w:space="0" w:color="D0D2D2"/>
      </w:tblBorders>
    </w:tblPr>
    <w:tblStylePr w:type="firstRow">
      <w:rPr>
        <w:b/>
        <w:bCs/>
      </w:rPr>
      <w:tblPr/>
      <w:tcPr>
        <w:tcBorders>
          <w:bottom w:val="single" w:sz="4" w:space="0" w:color="D0D2D2"/>
        </w:tcBorders>
      </w:tcPr>
    </w:tblStylePr>
    <w:tblStylePr w:type="lastRow">
      <w:rPr>
        <w:b/>
        <w:bCs/>
      </w:rPr>
      <w:tblPr/>
      <w:tcPr>
        <w:tcBorders>
          <w:top w:val="double" w:sz="4" w:space="0" w:color="D0D2D2"/>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6Colorful-Accent61">
    <w:name w:val="List Table 6 Colorful - Accent 61"/>
    <w:basedOn w:val="TableNormal"/>
    <w:next w:val="ListTable6Colorful-Accent6"/>
    <w:uiPriority w:val="51"/>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009BDF"/>
        <w:bottom w:val="single" w:sz="4" w:space="0" w:color="009BDF"/>
      </w:tblBorders>
    </w:tblPr>
    <w:tblStylePr w:type="firstRow">
      <w:rPr>
        <w:b/>
        <w:bCs/>
      </w:rPr>
      <w:tblPr/>
      <w:tcPr>
        <w:tcBorders>
          <w:bottom w:val="single" w:sz="4" w:space="0" w:color="009BDF"/>
        </w:tcBorders>
      </w:tcPr>
    </w:tblStylePr>
    <w:tblStylePr w:type="lastRow">
      <w:rPr>
        <w:b/>
        <w:bCs/>
      </w:rPr>
      <w:tblPr/>
      <w:tcPr>
        <w:tcBorders>
          <w:top w:val="double" w:sz="4" w:space="0" w:color="009BD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7Colorful1">
    <w:name w:val="List Table 7 Colorful1"/>
    <w:basedOn w:val="TableNormal"/>
    <w:next w:val="ListTable7Colorful"/>
    <w:uiPriority w:val="52"/>
    <w:rsid w:val="00A24B35"/>
    <w:pPr>
      <w:spacing w:before="60" w:after="0" w:line="240" w:lineRule="auto"/>
      <w:jc w:val="left"/>
    </w:pPr>
    <w:rPr>
      <w:rFonts w:asciiTheme="minorHAnsi" w:eastAsia="Times New Roman" w:hAnsiTheme="minorHAnsi" w:cs="Times New Roman"/>
      <w:color w:val="242828"/>
      <w:sz w:val="22"/>
      <w:szCs w:val="22"/>
      <w:lang w:val="en-US"/>
    </w:rPr>
    <w:tblPr/>
    <w:tblStylePr w:type="firstRow">
      <w:rPr>
        <w:rFonts w:ascii="Arial" w:eastAsia="Roboto" w:hAnsi="Arial" w:cs="Arial"/>
        <w:i/>
        <w:iCs/>
        <w:sz w:val="26"/>
      </w:rPr>
    </w:tblStylePr>
    <w:tblStylePr w:type="lastRow">
      <w:rPr>
        <w:rFonts w:ascii="Arial" w:eastAsia="Roboto" w:hAnsi="Arial" w:cs="Arial"/>
        <w:i/>
        <w:iCs/>
        <w:sz w:val="26"/>
      </w:r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style>
  <w:style w:type="table" w:customStyle="1" w:styleId="ListTable7Colorful-Accent11">
    <w:name w:val="List Table 7 Colorful - Accent 11"/>
    <w:basedOn w:val="TableNormal"/>
    <w:next w:val="ListTable7Colorful-Accent1"/>
    <w:uiPriority w:val="52"/>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Pr>
    <w:tblStylePr w:type="firstRow">
      <w:rPr>
        <w:rFonts w:ascii="Arial" w:eastAsia="Roboto" w:hAnsi="Arial" w:cs="Arial"/>
        <w:i/>
        <w:iCs/>
        <w:sz w:val="26"/>
      </w:rPr>
      <w:tblPr/>
      <w:tcPr>
        <w:tcBorders>
          <w:bottom w:val="single" w:sz="4" w:space="0" w:color="00A6B6"/>
        </w:tcBorders>
        <w:shd w:val="clear" w:color="auto" w:fill="FFFFFF"/>
      </w:tcPr>
    </w:tblStylePr>
    <w:tblStylePr w:type="lastRow">
      <w:rPr>
        <w:rFonts w:ascii="Arial" w:eastAsia="Roboto" w:hAnsi="Arial" w:cs="Arial"/>
        <w:i/>
        <w:iCs/>
        <w:sz w:val="26"/>
      </w:rPr>
      <w:tblPr/>
      <w:tcPr>
        <w:tcBorders>
          <w:top w:val="single" w:sz="4" w:space="0" w:color="00A6B6"/>
        </w:tcBorders>
        <w:shd w:val="clear" w:color="auto" w:fill="FFFFFF"/>
      </w:tcPr>
    </w:tblStylePr>
    <w:tblStylePr w:type="firstCol">
      <w:pPr>
        <w:jc w:val="right"/>
      </w:pPr>
      <w:rPr>
        <w:rFonts w:ascii="Arial" w:eastAsia="Roboto" w:hAnsi="Arial" w:cs="Arial"/>
        <w:i/>
        <w:iCs/>
        <w:sz w:val="26"/>
      </w:rPr>
      <w:tblPr/>
      <w:tcPr>
        <w:tcBorders>
          <w:right w:val="single" w:sz="4" w:space="0" w:color="00A6B6"/>
        </w:tcBorders>
        <w:shd w:val="clear" w:color="auto" w:fill="FFFFFF"/>
      </w:tcPr>
    </w:tblStylePr>
    <w:tblStylePr w:type="lastCol">
      <w:rPr>
        <w:rFonts w:ascii="Arial" w:eastAsia="Roboto" w:hAnsi="Arial" w:cs="Arial"/>
        <w:i/>
        <w:iCs/>
        <w:sz w:val="26"/>
      </w:rPr>
      <w:tblPr/>
      <w:tcPr>
        <w:tcBorders>
          <w:left w:val="single" w:sz="4" w:space="0" w:color="00A6B6"/>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Pr>
    <w:tblStylePr w:type="firstRow">
      <w:rPr>
        <w:rFonts w:ascii="Arial" w:eastAsia="Roboto" w:hAnsi="Arial" w:cs="Arial"/>
        <w:i/>
        <w:iCs/>
        <w:sz w:val="26"/>
      </w:rPr>
      <w:tblPr/>
      <w:tcPr>
        <w:tcBorders>
          <w:bottom w:val="single" w:sz="4" w:space="0" w:color="00956E"/>
        </w:tcBorders>
        <w:shd w:val="clear" w:color="auto" w:fill="FFFFFF"/>
      </w:tcPr>
    </w:tblStylePr>
    <w:tblStylePr w:type="lastRow">
      <w:rPr>
        <w:rFonts w:ascii="Arial" w:eastAsia="Roboto" w:hAnsi="Arial" w:cs="Arial"/>
        <w:i/>
        <w:iCs/>
        <w:sz w:val="26"/>
      </w:rPr>
      <w:tblPr/>
      <w:tcPr>
        <w:tcBorders>
          <w:top w:val="single" w:sz="4" w:space="0" w:color="00956E"/>
        </w:tcBorders>
        <w:shd w:val="clear" w:color="auto" w:fill="FFFFFF"/>
      </w:tcPr>
    </w:tblStylePr>
    <w:tblStylePr w:type="firstCol">
      <w:pPr>
        <w:jc w:val="right"/>
      </w:pPr>
      <w:rPr>
        <w:rFonts w:ascii="Arial" w:eastAsia="Roboto" w:hAnsi="Arial" w:cs="Arial"/>
        <w:i/>
        <w:iCs/>
        <w:sz w:val="26"/>
      </w:rPr>
      <w:tblPr/>
      <w:tcPr>
        <w:tcBorders>
          <w:right w:val="single" w:sz="4" w:space="0" w:color="00956E"/>
        </w:tcBorders>
        <w:shd w:val="clear" w:color="auto" w:fill="FFFFFF"/>
      </w:tcPr>
    </w:tblStylePr>
    <w:tblStylePr w:type="lastCol">
      <w:rPr>
        <w:rFonts w:ascii="Arial" w:eastAsia="Roboto" w:hAnsi="Arial" w:cs="Arial"/>
        <w:i/>
        <w:iCs/>
        <w:sz w:val="26"/>
      </w:rPr>
      <w:tblPr/>
      <w:tcPr>
        <w:tcBorders>
          <w:left w:val="single" w:sz="4" w:space="0" w:color="00956E"/>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Pr>
    <w:tcPr>
      <w:tcBorders>
        <w:right w:val="single" w:sz="4" w:space="0" w:color="76236D"/>
      </w:tcBorders>
      <w:shd w:val="clear" w:color="auto" w:fill="FFFFFF"/>
    </w:tcPr>
    <w:tblStylePr w:type="firstRow">
      <w:rPr>
        <w:rFonts w:ascii="Arial" w:eastAsia="Roboto" w:hAnsi="Arial" w:cs="Arial"/>
        <w:i/>
        <w:iCs/>
        <w:sz w:val="26"/>
      </w:rPr>
      <w:tblPr/>
      <w:tcPr>
        <w:tcBorders>
          <w:bottom w:val="single" w:sz="4" w:space="0" w:color="76236D"/>
        </w:tcBorders>
        <w:shd w:val="clear" w:color="auto" w:fill="FFFFFF"/>
      </w:tcPr>
    </w:tblStylePr>
    <w:tblStylePr w:type="lastRow">
      <w:rPr>
        <w:rFonts w:ascii="Arial" w:eastAsia="Roboto" w:hAnsi="Arial" w:cs="Arial"/>
        <w:i/>
        <w:iCs/>
        <w:sz w:val="26"/>
      </w:rPr>
      <w:tblPr/>
      <w:tcPr>
        <w:tcBorders>
          <w:top w:val="single" w:sz="4" w:space="0" w:color="76236D"/>
        </w:tcBorders>
        <w:shd w:val="clear" w:color="auto" w:fill="FFFFFF"/>
      </w:tc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Pr>
    <w:tcPr>
      <w:tcBorders>
        <w:right w:val="single" w:sz="4" w:space="0" w:color="E97300"/>
      </w:tcBorders>
      <w:shd w:val="clear" w:color="auto" w:fill="FFFFFF"/>
    </w:tcPr>
    <w:tblStylePr w:type="firstRow">
      <w:rPr>
        <w:rFonts w:ascii="Arial" w:eastAsia="Roboto" w:hAnsi="Arial" w:cs="Arial"/>
        <w:i/>
        <w:iCs/>
        <w:sz w:val="26"/>
      </w:rPr>
      <w:tblPr/>
      <w:tcPr>
        <w:tcBorders>
          <w:bottom w:val="single" w:sz="4" w:space="0" w:color="E97300"/>
        </w:tcBorders>
        <w:shd w:val="clear" w:color="auto" w:fill="FFFFFF"/>
      </w:tcPr>
    </w:tblStylePr>
    <w:tblStylePr w:type="lastRow">
      <w:rPr>
        <w:rFonts w:ascii="Arial" w:eastAsia="Roboto" w:hAnsi="Arial" w:cs="Arial"/>
        <w:i/>
        <w:iCs/>
        <w:sz w:val="26"/>
      </w:rPr>
      <w:tblPr/>
      <w:tcPr>
        <w:tcBorders>
          <w:top w:val="single" w:sz="4" w:space="0" w:color="E97300"/>
        </w:tcBorders>
        <w:shd w:val="clear" w:color="auto" w:fill="FFFFFF"/>
      </w:tc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A24B35"/>
    <w:pPr>
      <w:spacing w:before="60" w:after="0" w:line="240" w:lineRule="auto"/>
      <w:jc w:val="left"/>
    </w:pPr>
    <w:rPr>
      <w:rFonts w:asciiTheme="minorHAnsi" w:eastAsia="Times New Roman" w:hAnsiTheme="minorHAnsi" w:cs="Times New Roman"/>
      <w:color w:val="9A9E9E"/>
      <w:sz w:val="22"/>
      <w:szCs w:val="22"/>
      <w:lang w:val="en-US"/>
    </w:rPr>
    <w:tblPr/>
    <w:tblStylePr w:type="firstRow">
      <w:rPr>
        <w:rFonts w:ascii="Arial" w:eastAsia="Roboto" w:hAnsi="Arial" w:cs="Arial"/>
        <w:i/>
        <w:iCs/>
        <w:sz w:val="26"/>
      </w:rPr>
    </w:tblStylePr>
    <w:tblStylePr w:type="lastRow">
      <w:rPr>
        <w:rFonts w:ascii="Arial" w:eastAsia="Roboto" w:hAnsi="Arial" w:cs="Arial"/>
        <w:i/>
        <w:iCs/>
        <w:sz w:val="26"/>
      </w:r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style>
  <w:style w:type="table" w:customStyle="1" w:styleId="ListTable7Colorful-Accent61">
    <w:name w:val="List Table 7 Colorful - Accent 61"/>
    <w:basedOn w:val="TableNormal"/>
    <w:next w:val="ListTable7Colorful-Accent6"/>
    <w:uiPriority w:val="52"/>
    <w:rsid w:val="00A24B35"/>
    <w:pPr>
      <w:spacing w:before="60" w:after="0" w:line="240" w:lineRule="auto"/>
      <w:jc w:val="left"/>
    </w:pPr>
    <w:rPr>
      <w:rFonts w:asciiTheme="minorHAnsi" w:eastAsia="Times New Roman" w:hAnsiTheme="minorHAnsi" w:cs="Times New Roman"/>
      <w:color w:val="0073A7"/>
      <w:sz w:val="22"/>
      <w:szCs w:val="22"/>
      <w:lang w:val="en-US"/>
    </w:rPr>
    <w:tblPr/>
    <w:tblStylePr w:type="firstRow">
      <w:rPr>
        <w:rFonts w:ascii="Arial" w:eastAsia="Roboto" w:hAnsi="Arial" w:cs="Arial"/>
        <w:i/>
        <w:iCs/>
        <w:sz w:val="26"/>
      </w:rPr>
    </w:tblStylePr>
    <w:tblStylePr w:type="lastRow">
      <w:rPr>
        <w:rFonts w:ascii="Arial" w:eastAsia="Roboto" w:hAnsi="Arial" w:cs="Arial"/>
        <w:i/>
        <w:iCs/>
        <w:sz w:val="26"/>
      </w:r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style>
  <w:style w:type="table" w:customStyle="1" w:styleId="MediumGrid11">
    <w:name w:val="Medium Grid 11"/>
    <w:basedOn w:val="TableNormal"/>
    <w:next w:val="MediumGrid1"/>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576161"/>
        <w:left w:val="single" w:sz="8" w:space="0" w:color="576161"/>
        <w:bottom w:val="single" w:sz="8" w:space="0" w:color="576161"/>
        <w:right w:val="single" w:sz="8" w:space="0" w:color="576161"/>
        <w:insideH w:val="single" w:sz="8" w:space="0" w:color="576161"/>
        <w:insideV w:val="single" w:sz="8" w:space="0" w:color="576161"/>
      </w:tblBorders>
    </w:tblPr>
    <w:tcPr>
      <w:shd w:val="clear" w:color="auto" w:fill="C6CCCC"/>
    </w:tcPr>
    <w:tblStylePr w:type="firstRow">
      <w:rPr>
        <w:b/>
        <w:bCs/>
      </w:rPr>
    </w:tblStylePr>
    <w:tblStylePr w:type="lastRow">
      <w:rPr>
        <w:b/>
        <w:bCs/>
      </w:rPr>
      <w:tblPr/>
      <w:tcPr>
        <w:tcBorders>
          <w:top w:val="single" w:sz="18" w:space="0" w:color="576161"/>
        </w:tcBorders>
      </w:tcPr>
    </w:tblStylePr>
    <w:tblStylePr w:type="firstCol">
      <w:rPr>
        <w:b/>
        <w:bCs/>
      </w:rPr>
    </w:tblStylePr>
    <w:tblStylePr w:type="lastCol">
      <w:rPr>
        <w:b/>
        <w:bCs/>
      </w:rPr>
    </w:tblStylePr>
    <w:tblStylePr w:type="band1Vert">
      <w:tblPr/>
      <w:tcPr>
        <w:shd w:val="clear" w:color="auto" w:fill="8D9898"/>
      </w:tcPr>
    </w:tblStylePr>
    <w:tblStylePr w:type="band1Horz">
      <w:tblPr/>
      <w:tcPr>
        <w:shd w:val="clear" w:color="auto" w:fill="8D9898"/>
      </w:tcPr>
    </w:tblStylePr>
  </w:style>
  <w:style w:type="table" w:customStyle="1" w:styleId="MediumGrid1-Accent11">
    <w:name w:val="Medium Grid 1 - Accent 11"/>
    <w:basedOn w:val="TableNormal"/>
    <w:next w:val="MediumGrid1-Accent1"/>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9E8FF"/>
        <w:left w:val="single" w:sz="8" w:space="0" w:color="09E8FF"/>
        <w:bottom w:val="single" w:sz="8" w:space="0" w:color="09E8FF"/>
        <w:right w:val="single" w:sz="8" w:space="0" w:color="09E8FF"/>
        <w:insideH w:val="single" w:sz="8" w:space="0" w:color="09E8FF"/>
        <w:insideV w:val="single" w:sz="8" w:space="0" w:color="09E8FF"/>
      </w:tblBorders>
    </w:tblPr>
    <w:tcPr>
      <w:shd w:val="clear" w:color="auto" w:fill="ADF7FF"/>
    </w:tcPr>
    <w:tblStylePr w:type="firstRow">
      <w:rPr>
        <w:b/>
        <w:bCs/>
      </w:rPr>
    </w:tblStylePr>
    <w:tblStylePr w:type="lastRow">
      <w:rPr>
        <w:b/>
        <w:bCs/>
      </w:rPr>
      <w:tblPr/>
      <w:tcPr>
        <w:tcBorders>
          <w:top w:val="single" w:sz="18" w:space="0" w:color="09E8FF"/>
        </w:tcBorders>
      </w:tcPr>
    </w:tblStylePr>
    <w:tblStylePr w:type="firstCol">
      <w:rPr>
        <w:b/>
        <w:bCs/>
      </w:rPr>
    </w:tblStylePr>
    <w:tblStylePr w:type="lastCol">
      <w:rPr>
        <w:b/>
        <w:bCs/>
      </w:rPr>
    </w:tblStylePr>
    <w:tblStylePr w:type="band1Vert">
      <w:tblPr/>
      <w:tcPr>
        <w:shd w:val="clear" w:color="auto" w:fill="5BF0FF"/>
      </w:tcPr>
    </w:tblStylePr>
    <w:tblStylePr w:type="band1Horz">
      <w:tblPr/>
      <w:tcPr>
        <w:shd w:val="clear" w:color="auto" w:fill="5BF0FF"/>
      </w:tcPr>
    </w:tblStylePr>
  </w:style>
  <w:style w:type="table" w:customStyle="1" w:styleId="MediumGrid1-Accent21">
    <w:name w:val="Medium Grid 1 - Accent 21"/>
    <w:basedOn w:val="TableNormal"/>
    <w:next w:val="MediumGrid1-Accent2"/>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EFB0"/>
        <w:left w:val="single" w:sz="8" w:space="0" w:color="00EFB0"/>
        <w:bottom w:val="single" w:sz="8" w:space="0" w:color="00EFB0"/>
        <w:right w:val="single" w:sz="8" w:space="0" w:color="00EFB0"/>
        <w:insideH w:val="single" w:sz="8" w:space="0" w:color="00EFB0"/>
        <w:insideV w:val="single" w:sz="8" w:space="0" w:color="00EFB0"/>
      </w:tblBorders>
    </w:tblPr>
    <w:tcPr>
      <w:shd w:val="clear" w:color="auto" w:fill="A5FFE7"/>
    </w:tcPr>
    <w:tblStylePr w:type="firstRow">
      <w:rPr>
        <w:b/>
        <w:bCs/>
      </w:rPr>
    </w:tblStylePr>
    <w:tblStylePr w:type="lastRow">
      <w:rPr>
        <w:b/>
        <w:bCs/>
      </w:rPr>
      <w:tblPr/>
      <w:tcPr>
        <w:tcBorders>
          <w:top w:val="single" w:sz="18" w:space="0" w:color="00EFB0"/>
        </w:tcBorders>
      </w:tcPr>
    </w:tblStylePr>
    <w:tblStylePr w:type="firstCol">
      <w:rPr>
        <w:b/>
        <w:bCs/>
      </w:rPr>
    </w:tblStylePr>
    <w:tblStylePr w:type="lastCol">
      <w:rPr>
        <w:b/>
        <w:bCs/>
      </w:rPr>
    </w:tblStylePr>
    <w:tblStylePr w:type="band1Vert">
      <w:tblPr/>
      <w:tcPr>
        <w:shd w:val="clear" w:color="auto" w:fill="4BFFCF"/>
      </w:tcPr>
    </w:tblStylePr>
    <w:tblStylePr w:type="band1Horz">
      <w:tblPr/>
      <w:tcPr>
        <w:shd w:val="clear" w:color="auto" w:fill="4BFFCF"/>
      </w:tcPr>
    </w:tblStylePr>
  </w:style>
  <w:style w:type="table" w:customStyle="1" w:styleId="MediumGrid1-Accent31">
    <w:name w:val="Medium Grid 1 - Accent 31"/>
    <w:basedOn w:val="TableNormal"/>
    <w:next w:val="MediumGrid1-Accent3"/>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BA37AC"/>
        <w:left w:val="single" w:sz="8" w:space="0" w:color="BA37AC"/>
        <w:bottom w:val="single" w:sz="8" w:space="0" w:color="BA37AC"/>
        <w:right w:val="single" w:sz="8" w:space="0" w:color="BA37AC"/>
        <w:insideH w:val="single" w:sz="8" w:space="0" w:color="BA37AC"/>
        <w:insideV w:val="single" w:sz="8" w:space="0" w:color="BA37AC"/>
      </w:tblBorders>
    </w:tblPr>
    <w:tcPr>
      <w:shd w:val="clear" w:color="auto" w:fill="EABAE5"/>
    </w:tcPr>
    <w:tblStylePr w:type="firstRow">
      <w:rPr>
        <w:b/>
        <w:bCs/>
      </w:rPr>
    </w:tblStylePr>
    <w:tblStylePr w:type="lastRow">
      <w:rPr>
        <w:b/>
        <w:bCs/>
      </w:rPr>
      <w:tblPr/>
      <w:tcPr>
        <w:tcBorders>
          <w:top w:val="single" w:sz="18" w:space="0" w:color="BA37AC"/>
        </w:tcBorders>
      </w:tcPr>
    </w:tblStylePr>
    <w:tblStylePr w:type="firstCol">
      <w:rPr>
        <w:b/>
        <w:bCs/>
      </w:rPr>
    </w:tblStylePr>
    <w:tblStylePr w:type="lastCol">
      <w:rPr>
        <w:b/>
        <w:bCs/>
      </w:rPr>
    </w:tblStylePr>
    <w:tblStylePr w:type="band1Vert">
      <w:tblPr/>
      <w:tcPr>
        <w:shd w:val="clear" w:color="auto" w:fill="D675CB"/>
      </w:tcPr>
    </w:tblStylePr>
    <w:tblStylePr w:type="band1Horz">
      <w:tblPr/>
      <w:tcPr>
        <w:shd w:val="clear" w:color="auto" w:fill="D675CB"/>
      </w:tcPr>
    </w:tblStylePr>
  </w:style>
  <w:style w:type="table" w:customStyle="1" w:styleId="MediumGrid1-Accent41">
    <w:name w:val="Medium Grid 1 - Accent 41"/>
    <w:basedOn w:val="TableNormal"/>
    <w:next w:val="MediumGrid1-Accent4"/>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FF952F"/>
        <w:left w:val="single" w:sz="8" w:space="0" w:color="FF952F"/>
        <w:bottom w:val="single" w:sz="8" w:space="0" w:color="FF952F"/>
        <w:right w:val="single" w:sz="8" w:space="0" w:color="FF952F"/>
        <w:insideH w:val="single" w:sz="8" w:space="0" w:color="FF952F"/>
        <w:insideV w:val="single" w:sz="8" w:space="0" w:color="FF952F"/>
      </w:tblBorders>
    </w:tblPr>
    <w:tcPr>
      <w:shd w:val="clear" w:color="auto" w:fill="FFDBBA"/>
    </w:tcPr>
    <w:tblStylePr w:type="firstRow">
      <w:rPr>
        <w:b/>
        <w:bCs/>
      </w:rPr>
    </w:tblStylePr>
    <w:tblStylePr w:type="lastRow">
      <w:rPr>
        <w:b/>
        <w:bCs/>
      </w:rPr>
      <w:tblPr/>
      <w:tcPr>
        <w:tcBorders>
          <w:top w:val="single" w:sz="18" w:space="0" w:color="FF952F"/>
        </w:tcBorders>
      </w:tcPr>
    </w:tblStylePr>
    <w:tblStylePr w:type="firstCol">
      <w:rPr>
        <w:b/>
        <w:bCs/>
      </w:rPr>
    </w:tblStylePr>
    <w:tblStylePr w:type="lastCol">
      <w:rPr>
        <w:b/>
        <w:bCs/>
      </w:rPr>
    </w:tblStylePr>
    <w:tblStylePr w:type="band1Vert">
      <w:tblPr/>
      <w:tcPr>
        <w:shd w:val="clear" w:color="auto" w:fill="FFB875"/>
      </w:tcPr>
    </w:tblStylePr>
    <w:tblStylePr w:type="band1Horz">
      <w:tblPr/>
      <w:tcPr>
        <w:shd w:val="clear" w:color="auto" w:fill="FFB875"/>
      </w:tcPr>
    </w:tblStylePr>
  </w:style>
  <w:style w:type="table" w:customStyle="1" w:styleId="MediumGrid1-Accent51">
    <w:name w:val="Medium Grid 1 - Accent 51"/>
    <w:basedOn w:val="TableNormal"/>
    <w:next w:val="MediumGrid1-Accent5"/>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BDDDD"/>
        <w:left w:val="single" w:sz="8" w:space="0" w:color="DBDDDD"/>
        <w:bottom w:val="single" w:sz="8" w:space="0" w:color="DBDDDD"/>
        <w:right w:val="single" w:sz="8" w:space="0" w:color="DBDDDD"/>
        <w:insideH w:val="single" w:sz="8" w:space="0" w:color="DBDDDD"/>
        <w:insideV w:val="single" w:sz="8" w:space="0" w:color="DBDDDD"/>
      </w:tblBorders>
    </w:tblPr>
    <w:tcPr>
      <w:shd w:val="clear" w:color="auto" w:fill="F3F3F3"/>
    </w:tcPr>
    <w:tblStylePr w:type="firstRow">
      <w:rPr>
        <w:b/>
        <w:bCs/>
      </w:rPr>
    </w:tblStylePr>
    <w:tblStylePr w:type="lastRow">
      <w:rPr>
        <w:b/>
        <w:bCs/>
      </w:rPr>
      <w:tblPr/>
      <w:tcPr>
        <w:tcBorders>
          <w:top w:val="single" w:sz="18" w:space="0" w:color="DBDDDD"/>
        </w:tcBorders>
      </w:tcPr>
    </w:tblStylePr>
    <w:tblStylePr w:type="firstCol">
      <w:rPr>
        <w:b/>
        <w:bCs/>
      </w:rPr>
    </w:tblStylePr>
    <w:tblStylePr w:type="lastCol">
      <w:rPr>
        <w:b/>
        <w:bCs/>
      </w:rPr>
    </w:tblStylePr>
    <w:tblStylePr w:type="band1Vert">
      <w:tblPr/>
      <w:tcPr>
        <w:shd w:val="clear" w:color="auto" w:fill="E7E8E8"/>
      </w:tcPr>
    </w:tblStylePr>
    <w:tblStylePr w:type="band1Horz">
      <w:tblPr/>
      <w:tcPr>
        <w:shd w:val="clear" w:color="auto" w:fill="E7E8E8"/>
      </w:tcPr>
    </w:tblStylePr>
  </w:style>
  <w:style w:type="table" w:customStyle="1" w:styleId="MediumGrid1-Accent61">
    <w:name w:val="Medium Grid 1 - Accent 61"/>
    <w:basedOn w:val="TableNormal"/>
    <w:next w:val="MediumGrid1-Accent6"/>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8BDFF"/>
        <w:left w:val="single" w:sz="8" w:space="0" w:color="28BDFF"/>
        <w:bottom w:val="single" w:sz="8" w:space="0" w:color="28BDFF"/>
        <w:right w:val="single" w:sz="8" w:space="0" w:color="28BDFF"/>
        <w:insideH w:val="single" w:sz="8" w:space="0" w:color="28BDFF"/>
        <w:insideV w:val="single" w:sz="8" w:space="0" w:color="28BDFF"/>
      </w:tblBorders>
    </w:tblPr>
    <w:tcPr>
      <w:shd w:val="clear" w:color="auto" w:fill="B8E9FF"/>
    </w:tcPr>
    <w:tblStylePr w:type="firstRow">
      <w:rPr>
        <w:b/>
        <w:bCs/>
      </w:rPr>
    </w:tblStylePr>
    <w:tblStylePr w:type="lastRow">
      <w:rPr>
        <w:b/>
        <w:bCs/>
      </w:rPr>
      <w:tblPr/>
      <w:tcPr>
        <w:tcBorders>
          <w:top w:val="single" w:sz="18" w:space="0" w:color="28BDFF"/>
        </w:tcBorders>
      </w:tcPr>
    </w:tblStylePr>
    <w:tblStylePr w:type="firstCol">
      <w:rPr>
        <w:b/>
        <w:bCs/>
      </w:rPr>
    </w:tblStylePr>
    <w:tblStylePr w:type="lastCol">
      <w:rPr>
        <w:b/>
        <w:bCs/>
      </w:rPr>
    </w:tblStylePr>
    <w:tblStylePr w:type="band1Vert">
      <w:tblPr/>
      <w:tcPr>
        <w:shd w:val="clear" w:color="auto" w:fill="70D3FF"/>
      </w:tcPr>
    </w:tblStylePr>
    <w:tblStylePr w:type="band1Horz">
      <w:tblPr/>
      <w:tcPr>
        <w:shd w:val="clear" w:color="auto" w:fill="70D3FF"/>
      </w:tcPr>
    </w:tblStylePr>
  </w:style>
  <w:style w:type="table" w:customStyle="1" w:styleId="MediumGrid21">
    <w:name w:val="Medium Grid 21"/>
    <w:basedOn w:val="TableNormal"/>
    <w:next w:val="MediumGrid2"/>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insideH w:val="single" w:sz="8" w:space="0" w:color="242828"/>
        <w:insideV w:val="single" w:sz="8" w:space="0" w:color="242828"/>
      </w:tblBorders>
    </w:tblPr>
    <w:tcPr>
      <w:shd w:val="clear" w:color="auto" w:fill="C6CCCC"/>
    </w:tcPr>
    <w:tblStylePr w:type="firstRow">
      <w:rPr>
        <w:b/>
        <w:bCs/>
        <w:color w:val="242828"/>
      </w:rPr>
      <w:tblPr/>
      <w:tcPr>
        <w:shd w:val="clear" w:color="auto" w:fill="E8EAEA"/>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D1D5D5"/>
      </w:tcPr>
    </w:tblStylePr>
    <w:tblStylePr w:type="band1Vert">
      <w:tblPr/>
      <w:tcPr>
        <w:shd w:val="clear" w:color="auto" w:fill="8D9898"/>
      </w:tcPr>
    </w:tblStylePr>
    <w:tblStylePr w:type="band1Horz">
      <w:tblPr/>
      <w:tcPr>
        <w:tcBorders>
          <w:insideH w:val="single" w:sz="6" w:space="0" w:color="242828"/>
          <w:insideV w:val="single" w:sz="6" w:space="0" w:color="242828"/>
        </w:tcBorders>
        <w:shd w:val="clear" w:color="auto" w:fill="8D9898"/>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insideH w:val="single" w:sz="8" w:space="0" w:color="00A6B6"/>
        <w:insideV w:val="single" w:sz="8" w:space="0" w:color="00A6B6"/>
      </w:tblBorders>
    </w:tblPr>
    <w:tcPr>
      <w:shd w:val="clear" w:color="auto" w:fill="ADF7FF"/>
    </w:tcPr>
    <w:tblStylePr w:type="firstRow">
      <w:rPr>
        <w:b/>
        <w:bCs/>
        <w:color w:val="242828"/>
      </w:rPr>
      <w:tblPr/>
      <w:tcPr>
        <w:shd w:val="clear" w:color="auto" w:fill="DEFCFF"/>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BDF9FF"/>
      </w:tcPr>
    </w:tblStylePr>
    <w:tblStylePr w:type="band1Vert">
      <w:tblPr/>
      <w:tcPr>
        <w:shd w:val="clear" w:color="auto" w:fill="5BF0FF"/>
      </w:tcPr>
    </w:tblStylePr>
    <w:tblStylePr w:type="band1Horz">
      <w:tblPr/>
      <w:tcPr>
        <w:tcBorders>
          <w:insideH w:val="single" w:sz="6" w:space="0" w:color="00A6B6"/>
          <w:insideV w:val="single" w:sz="6" w:space="0" w:color="00A6B6"/>
        </w:tcBorders>
        <w:shd w:val="clear" w:color="auto" w:fill="5BF0FF"/>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insideH w:val="single" w:sz="8" w:space="0" w:color="00956E"/>
        <w:insideV w:val="single" w:sz="8" w:space="0" w:color="00956E"/>
      </w:tblBorders>
    </w:tblPr>
    <w:tcPr>
      <w:shd w:val="clear" w:color="auto" w:fill="A5FFE7"/>
    </w:tcPr>
    <w:tblStylePr w:type="firstRow">
      <w:rPr>
        <w:b/>
        <w:bCs/>
        <w:color w:val="242828"/>
      </w:rPr>
      <w:tblPr/>
      <w:tcPr>
        <w:shd w:val="clear" w:color="auto" w:fill="DBFFF5"/>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B6FFEB"/>
      </w:tcPr>
    </w:tblStylePr>
    <w:tblStylePr w:type="band1Vert">
      <w:tblPr/>
      <w:tcPr>
        <w:shd w:val="clear" w:color="auto" w:fill="4BFFCF"/>
      </w:tcPr>
    </w:tblStylePr>
    <w:tblStylePr w:type="band1Horz">
      <w:tblPr/>
      <w:tcPr>
        <w:tcBorders>
          <w:insideH w:val="single" w:sz="6" w:space="0" w:color="00956E"/>
          <w:insideV w:val="single" w:sz="6" w:space="0" w:color="00956E"/>
        </w:tcBorders>
        <w:shd w:val="clear" w:color="auto" w:fill="4BFFCF"/>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insideH w:val="single" w:sz="8" w:space="0" w:color="76236D"/>
        <w:insideV w:val="single" w:sz="8" w:space="0" w:color="76236D"/>
      </w:tblBorders>
    </w:tblPr>
    <w:tcPr>
      <w:shd w:val="clear" w:color="auto" w:fill="EABAE5"/>
    </w:tcPr>
    <w:tblStylePr w:type="firstRow">
      <w:rPr>
        <w:b/>
        <w:bCs/>
        <w:color w:val="242828"/>
      </w:rPr>
      <w:tblPr/>
      <w:tcPr>
        <w:shd w:val="clear" w:color="auto" w:fill="F7E4F4"/>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EEC7EA"/>
      </w:tcPr>
    </w:tblStylePr>
    <w:tblStylePr w:type="band1Vert">
      <w:tblPr/>
      <w:tcPr>
        <w:shd w:val="clear" w:color="auto" w:fill="D675CB"/>
      </w:tcPr>
    </w:tblStylePr>
    <w:tblStylePr w:type="band1Horz">
      <w:tblPr/>
      <w:tcPr>
        <w:tcBorders>
          <w:insideH w:val="single" w:sz="6" w:space="0" w:color="76236D"/>
          <w:insideV w:val="single" w:sz="6" w:space="0" w:color="76236D"/>
        </w:tcBorders>
        <w:shd w:val="clear" w:color="auto" w:fill="D675CB"/>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insideH w:val="single" w:sz="8" w:space="0" w:color="E97300"/>
        <w:insideV w:val="single" w:sz="8" w:space="0" w:color="E97300"/>
      </w:tblBorders>
    </w:tblPr>
    <w:tcPr>
      <w:shd w:val="clear" w:color="auto" w:fill="FFDBBA"/>
    </w:tcPr>
    <w:tblStylePr w:type="firstRow">
      <w:rPr>
        <w:b/>
        <w:bCs/>
        <w:color w:val="242828"/>
      </w:rPr>
      <w:tblPr/>
      <w:tcPr>
        <w:shd w:val="clear" w:color="auto" w:fill="FFF1E3"/>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FFE2C7"/>
      </w:tcPr>
    </w:tblStylePr>
    <w:tblStylePr w:type="band1Vert">
      <w:tblPr/>
      <w:tcPr>
        <w:shd w:val="clear" w:color="auto" w:fill="FFB875"/>
      </w:tcPr>
    </w:tblStylePr>
    <w:tblStylePr w:type="band1Horz">
      <w:tblPr/>
      <w:tcPr>
        <w:tcBorders>
          <w:insideH w:val="single" w:sz="6" w:space="0" w:color="E97300"/>
          <w:insideV w:val="single" w:sz="6" w:space="0" w:color="E97300"/>
        </w:tcBorders>
        <w:shd w:val="clear" w:color="auto" w:fill="FFB875"/>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insideH w:val="single" w:sz="8" w:space="0" w:color="D0D2D2"/>
        <w:insideV w:val="single" w:sz="8" w:space="0" w:color="D0D2D2"/>
      </w:tblBorders>
    </w:tblPr>
    <w:tcPr>
      <w:shd w:val="clear" w:color="auto" w:fill="F3F3F3"/>
    </w:tcPr>
    <w:tblStylePr w:type="firstRow">
      <w:rPr>
        <w:b/>
        <w:bCs/>
        <w:color w:val="242828"/>
      </w:rPr>
      <w:tblPr/>
      <w:tcPr>
        <w:shd w:val="clear" w:color="auto" w:fill="FAFAFA"/>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F5F6F6"/>
      </w:tcPr>
    </w:tblStylePr>
    <w:tblStylePr w:type="band1Vert">
      <w:tblPr/>
      <w:tcPr>
        <w:shd w:val="clear" w:color="auto" w:fill="E7E8E8"/>
      </w:tcPr>
    </w:tblStylePr>
    <w:tblStylePr w:type="band1Horz">
      <w:tblPr/>
      <w:tcPr>
        <w:tcBorders>
          <w:insideH w:val="single" w:sz="6" w:space="0" w:color="D0D2D2"/>
          <w:insideV w:val="single" w:sz="6" w:space="0" w:color="D0D2D2"/>
        </w:tcBorders>
        <w:shd w:val="clear" w:color="auto" w:fill="E7E8E8"/>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insideH w:val="single" w:sz="8" w:space="0" w:color="009BDF"/>
        <w:insideV w:val="single" w:sz="8" w:space="0" w:color="009BDF"/>
      </w:tblBorders>
    </w:tblPr>
    <w:tcPr>
      <w:shd w:val="clear" w:color="auto" w:fill="B8E9FF"/>
    </w:tcPr>
    <w:tblStylePr w:type="firstRow">
      <w:rPr>
        <w:b/>
        <w:bCs/>
        <w:color w:val="242828"/>
      </w:rPr>
      <w:tblPr/>
      <w:tcPr>
        <w:shd w:val="clear" w:color="auto" w:fill="E2F6FF"/>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C5EDFF"/>
      </w:tcPr>
    </w:tblStylePr>
    <w:tblStylePr w:type="band1Vert">
      <w:tblPr/>
      <w:tcPr>
        <w:shd w:val="clear" w:color="auto" w:fill="70D3FF"/>
      </w:tcPr>
    </w:tblStylePr>
    <w:tblStylePr w:type="band1Horz">
      <w:tblPr/>
      <w:tcPr>
        <w:tcBorders>
          <w:insideH w:val="single" w:sz="6" w:space="0" w:color="009BDF"/>
          <w:insideV w:val="single" w:sz="6" w:space="0" w:color="009BDF"/>
        </w:tcBorders>
        <w:shd w:val="clear" w:color="auto" w:fill="70D3FF"/>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6CC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4282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4282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4282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4282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D9898"/>
      </w:tcPr>
    </w:tblStylePr>
  </w:style>
  <w:style w:type="table" w:customStyle="1" w:styleId="MediumGrid3-Accent11">
    <w:name w:val="Medium Grid 3 - Accent 11"/>
    <w:basedOn w:val="TableNormal"/>
    <w:next w:val="MediumGrid3-Accent1"/>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ADF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A6B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A6B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A6B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A6B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BF0FF"/>
      </w:tcPr>
    </w:tblStylePr>
  </w:style>
  <w:style w:type="table" w:customStyle="1" w:styleId="MediumGrid3-Accent21">
    <w:name w:val="Medium Grid 3 - Accent 21"/>
    <w:basedOn w:val="TableNormal"/>
    <w:next w:val="MediumGrid3-Accent2"/>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A5FFE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56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56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56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56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FFCF"/>
      </w:tcPr>
    </w:tblStylePr>
  </w:style>
  <w:style w:type="table" w:customStyle="1" w:styleId="MediumGrid3-Accent31">
    <w:name w:val="Medium Grid 3 - Accent 31"/>
    <w:basedOn w:val="TableNormal"/>
    <w:next w:val="MediumGrid3-Accent3"/>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ABA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6236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6236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6236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6236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675CB"/>
      </w:tcPr>
    </w:tblStylePr>
  </w:style>
  <w:style w:type="table" w:customStyle="1" w:styleId="MediumGrid3-Accent41">
    <w:name w:val="Medium Grid 3 - Accent 41"/>
    <w:basedOn w:val="TableNormal"/>
    <w:next w:val="MediumGrid3-Accent4"/>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FDB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3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3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3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3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B875"/>
      </w:tcPr>
    </w:tblStylePr>
  </w:style>
  <w:style w:type="table" w:customStyle="1" w:styleId="MediumGrid3-Accent51">
    <w:name w:val="Medium Grid 3 - Accent 51"/>
    <w:basedOn w:val="TableNormal"/>
    <w:next w:val="MediumGrid3-Accent5"/>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3F3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0D2D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0D2D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0D2D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0D2D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7E8E8"/>
      </w:tcPr>
    </w:tblStylePr>
  </w:style>
  <w:style w:type="table" w:customStyle="1" w:styleId="MediumGrid3-Accent61">
    <w:name w:val="Medium Grid 3 - Accent 61"/>
    <w:basedOn w:val="TableNormal"/>
    <w:next w:val="MediumGrid3-Accent6"/>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B8E9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BD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BD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BD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BD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0D3FF"/>
      </w:tcPr>
    </w:tblStylePr>
  </w:style>
  <w:style w:type="table" w:customStyle="1" w:styleId="MediumList11">
    <w:name w:val="Medium List 11"/>
    <w:basedOn w:val="TableNormal"/>
    <w:next w:val="MediumList1"/>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C6CCCC"/>
    </w:tcPr>
    <w:tblStylePr w:type="firstRow">
      <w:rPr>
        <w:rFonts w:ascii="Arial" w:eastAsia="Roboto" w:hAnsi="Arial" w:cs="Arial"/>
      </w:rPr>
      <w:tblPr/>
      <w:tcPr>
        <w:tcBorders>
          <w:top w:val="nil"/>
          <w:bottom w:val="single" w:sz="8" w:space="0" w:color="242828"/>
        </w:tcBorders>
      </w:tcPr>
    </w:tblStylePr>
    <w:tblStylePr w:type="lastRow">
      <w:rPr>
        <w:b/>
        <w:bCs/>
        <w:color w:val="003CA7"/>
      </w:rPr>
      <w:tblPr/>
      <w:tcPr>
        <w:tcBorders>
          <w:top w:val="single" w:sz="8" w:space="0" w:color="242828"/>
          <w:bottom w:val="single" w:sz="8" w:space="0" w:color="242828"/>
        </w:tcBorders>
      </w:tcPr>
    </w:tblStylePr>
    <w:tblStylePr w:type="firstCol">
      <w:rPr>
        <w:b/>
        <w:bCs/>
      </w:rPr>
    </w:tblStylePr>
    <w:tblStylePr w:type="lastCol">
      <w:rPr>
        <w:b/>
        <w:bCs/>
      </w:rPr>
      <w:tblPr/>
      <w:tcPr>
        <w:tcBorders>
          <w:top w:val="single" w:sz="8" w:space="0" w:color="242828"/>
          <w:bottom w:val="single" w:sz="8" w:space="0" w:color="242828"/>
        </w:tcBorders>
      </w:tcPr>
    </w:tblStylePr>
    <w:tblStylePr w:type="band1Vert">
      <w:tblPr/>
      <w:tcPr>
        <w:shd w:val="clear" w:color="auto" w:fill="C6CCCC"/>
      </w:tcPr>
    </w:tblStylePr>
  </w:style>
  <w:style w:type="table" w:customStyle="1" w:styleId="MediumList1-Accent11">
    <w:name w:val="Medium List 1 - Accent 11"/>
    <w:basedOn w:val="TableNormal"/>
    <w:next w:val="MediumList1-Accent1"/>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ADF7FF"/>
    </w:tcPr>
    <w:tblStylePr w:type="firstRow">
      <w:rPr>
        <w:rFonts w:ascii="Arial" w:eastAsia="Roboto" w:hAnsi="Arial" w:cs="Arial"/>
      </w:rPr>
      <w:tblPr/>
      <w:tcPr>
        <w:tcBorders>
          <w:top w:val="nil"/>
          <w:bottom w:val="single" w:sz="8" w:space="0" w:color="00A6B6"/>
        </w:tcBorders>
      </w:tcPr>
    </w:tblStylePr>
    <w:tblStylePr w:type="lastRow">
      <w:rPr>
        <w:b/>
        <w:bCs/>
        <w:color w:val="003CA7"/>
      </w:rPr>
      <w:tblPr/>
      <w:tcPr>
        <w:tcBorders>
          <w:top w:val="single" w:sz="8" w:space="0" w:color="00A6B6"/>
          <w:bottom w:val="single" w:sz="8" w:space="0" w:color="00A6B6"/>
        </w:tcBorders>
      </w:tcPr>
    </w:tblStylePr>
    <w:tblStylePr w:type="firstCol">
      <w:rPr>
        <w:b/>
        <w:bCs/>
      </w:rPr>
    </w:tblStylePr>
    <w:tblStylePr w:type="lastCol">
      <w:rPr>
        <w:b/>
        <w:bCs/>
      </w:rPr>
      <w:tblPr/>
      <w:tcPr>
        <w:tcBorders>
          <w:top w:val="single" w:sz="8" w:space="0" w:color="00A6B6"/>
          <w:bottom w:val="single" w:sz="8" w:space="0" w:color="00A6B6"/>
        </w:tcBorders>
      </w:tcPr>
    </w:tblStylePr>
    <w:tblStylePr w:type="band1Vert">
      <w:tblPr/>
      <w:tcPr>
        <w:shd w:val="clear" w:color="auto" w:fill="ADF7FF"/>
      </w:tcPr>
    </w:tblStylePr>
  </w:style>
  <w:style w:type="table" w:customStyle="1" w:styleId="MediumList1-Accent21">
    <w:name w:val="Medium List 1 - Accent 21"/>
    <w:basedOn w:val="TableNormal"/>
    <w:next w:val="MediumList1-Accent2"/>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A5FFE7"/>
    </w:tcPr>
    <w:tblStylePr w:type="firstRow">
      <w:rPr>
        <w:rFonts w:ascii="Arial" w:eastAsia="Roboto" w:hAnsi="Arial" w:cs="Arial"/>
      </w:rPr>
      <w:tblPr/>
      <w:tcPr>
        <w:tcBorders>
          <w:top w:val="nil"/>
          <w:bottom w:val="single" w:sz="8" w:space="0" w:color="00956E"/>
        </w:tcBorders>
      </w:tcPr>
    </w:tblStylePr>
    <w:tblStylePr w:type="lastRow">
      <w:rPr>
        <w:b/>
        <w:bCs/>
        <w:color w:val="003CA7"/>
      </w:rPr>
      <w:tblPr/>
      <w:tcPr>
        <w:tcBorders>
          <w:top w:val="single" w:sz="8" w:space="0" w:color="00956E"/>
          <w:bottom w:val="single" w:sz="8" w:space="0" w:color="00956E"/>
        </w:tcBorders>
      </w:tcPr>
    </w:tblStylePr>
    <w:tblStylePr w:type="firstCol">
      <w:rPr>
        <w:b/>
        <w:bCs/>
      </w:rPr>
    </w:tblStylePr>
    <w:tblStylePr w:type="lastCol">
      <w:rPr>
        <w:b/>
        <w:bCs/>
      </w:rPr>
      <w:tblPr/>
      <w:tcPr>
        <w:tcBorders>
          <w:top w:val="single" w:sz="8" w:space="0" w:color="00956E"/>
          <w:bottom w:val="single" w:sz="8" w:space="0" w:color="00956E"/>
        </w:tcBorders>
      </w:tcPr>
    </w:tblStylePr>
    <w:tblStylePr w:type="band1Vert">
      <w:tblPr/>
      <w:tcPr>
        <w:shd w:val="clear" w:color="auto" w:fill="A5FFE7"/>
      </w:tcPr>
    </w:tblStylePr>
  </w:style>
  <w:style w:type="table" w:customStyle="1" w:styleId="MediumList1-Accent31">
    <w:name w:val="Medium List 1 - Accent 31"/>
    <w:basedOn w:val="TableNormal"/>
    <w:next w:val="MediumList1-Accent3"/>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ABAE5"/>
    </w:tcPr>
    <w:tblStylePr w:type="firstRow">
      <w:rPr>
        <w:rFonts w:ascii="Arial" w:eastAsia="Roboto" w:hAnsi="Arial" w:cs="Arial"/>
      </w:rPr>
      <w:tblPr/>
      <w:tcPr>
        <w:tcBorders>
          <w:top w:val="nil"/>
          <w:bottom w:val="single" w:sz="8" w:space="0" w:color="76236D"/>
        </w:tcBorders>
      </w:tcPr>
    </w:tblStylePr>
    <w:tblStylePr w:type="lastRow">
      <w:rPr>
        <w:b/>
        <w:bCs/>
        <w:color w:val="003CA7"/>
      </w:rPr>
      <w:tblPr/>
      <w:tcPr>
        <w:tcBorders>
          <w:top w:val="single" w:sz="8" w:space="0" w:color="76236D"/>
          <w:bottom w:val="single" w:sz="8" w:space="0" w:color="76236D"/>
        </w:tcBorders>
      </w:tcPr>
    </w:tblStylePr>
    <w:tblStylePr w:type="firstCol">
      <w:rPr>
        <w:b/>
        <w:bCs/>
      </w:rPr>
    </w:tblStylePr>
    <w:tblStylePr w:type="lastCol">
      <w:rPr>
        <w:b/>
        <w:bCs/>
      </w:rPr>
      <w:tblPr/>
      <w:tcPr>
        <w:tcBorders>
          <w:top w:val="single" w:sz="8" w:space="0" w:color="76236D"/>
          <w:bottom w:val="single" w:sz="8" w:space="0" w:color="76236D"/>
        </w:tcBorders>
      </w:tcPr>
    </w:tblStylePr>
    <w:tblStylePr w:type="band1Vert">
      <w:tblPr/>
      <w:tcPr>
        <w:shd w:val="clear" w:color="auto" w:fill="EABAE5"/>
      </w:tcPr>
    </w:tblStylePr>
  </w:style>
  <w:style w:type="table" w:customStyle="1" w:styleId="MediumList1-Accent41">
    <w:name w:val="Medium List 1 - Accent 41"/>
    <w:basedOn w:val="TableNormal"/>
    <w:next w:val="MediumList1-Accent4"/>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DBBA"/>
    </w:tcPr>
    <w:tblStylePr w:type="firstRow">
      <w:rPr>
        <w:rFonts w:ascii="Arial" w:eastAsia="Roboto" w:hAnsi="Arial" w:cs="Arial"/>
      </w:rPr>
      <w:tblPr/>
      <w:tcPr>
        <w:tcBorders>
          <w:top w:val="nil"/>
          <w:bottom w:val="single" w:sz="8" w:space="0" w:color="E97300"/>
        </w:tcBorders>
      </w:tcPr>
    </w:tblStylePr>
    <w:tblStylePr w:type="lastRow">
      <w:rPr>
        <w:b/>
        <w:bCs/>
        <w:color w:val="003CA7"/>
      </w:rPr>
      <w:tblPr/>
      <w:tcPr>
        <w:tcBorders>
          <w:top w:val="single" w:sz="8" w:space="0" w:color="E97300"/>
          <w:bottom w:val="single" w:sz="8" w:space="0" w:color="E97300"/>
        </w:tcBorders>
      </w:tcPr>
    </w:tblStylePr>
    <w:tblStylePr w:type="firstCol">
      <w:rPr>
        <w:b/>
        <w:bCs/>
      </w:rPr>
    </w:tblStylePr>
    <w:tblStylePr w:type="lastCol">
      <w:rPr>
        <w:b/>
        <w:bCs/>
      </w:rPr>
      <w:tblPr/>
      <w:tcPr>
        <w:tcBorders>
          <w:top w:val="single" w:sz="8" w:space="0" w:color="E97300"/>
          <w:bottom w:val="single" w:sz="8" w:space="0" w:color="E97300"/>
        </w:tcBorders>
      </w:tcPr>
    </w:tblStylePr>
    <w:tblStylePr w:type="band1Vert">
      <w:tblPr/>
      <w:tcPr>
        <w:shd w:val="clear" w:color="auto" w:fill="FFDBBA"/>
      </w:tcPr>
    </w:tblStylePr>
  </w:style>
  <w:style w:type="table" w:customStyle="1" w:styleId="MediumList1-Accent51">
    <w:name w:val="Medium List 1 - Accent 51"/>
    <w:basedOn w:val="TableNormal"/>
    <w:next w:val="MediumList1-Accent5"/>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Pr w:type="firstRow">
      <w:rPr>
        <w:rFonts w:ascii="Arial" w:eastAsia="Roboto"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61">
    <w:name w:val="Medium List 1 - Accent 61"/>
    <w:basedOn w:val="TableNormal"/>
    <w:next w:val="MediumList1-Accent6"/>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8E9FF"/>
    </w:tcPr>
    <w:tblStylePr w:type="firstRow">
      <w:rPr>
        <w:rFonts w:ascii="Arial" w:eastAsia="Roboto" w:hAnsi="Arial" w:cs="Arial"/>
      </w:rPr>
      <w:tblPr/>
      <w:tcPr>
        <w:tcBorders>
          <w:top w:val="nil"/>
          <w:bottom w:val="single" w:sz="8" w:space="0" w:color="009BDF"/>
        </w:tcBorders>
      </w:tcPr>
    </w:tblStylePr>
    <w:tblStylePr w:type="lastRow">
      <w:rPr>
        <w:b/>
        <w:bCs/>
        <w:color w:val="003CA7"/>
      </w:rPr>
      <w:tblPr/>
      <w:tcPr>
        <w:tcBorders>
          <w:top w:val="single" w:sz="8" w:space="0" w:color="009BDF"/>
          <w:bottom w:val="single" w:sz="8" w:space="0" w:color="009BDF"/>
        </w:tcBorders>
      </w:tcPr>
    </w:tblStylePr>
    <w:tblStylePr w:type="firstCol">
      <w:rPr>
        <w:b/>
        <w:bCs/>
      </w:rPr>
    </w:tblStylePr>
    <w:tblStylePr w:type="lastCol">
      <w:rPr>
        <w:b/>
        <w:bCs/>
      </w:rPr>
      <w:tblPr/>
      <w:tcPr>
        <w:tcBorders>
          <w:top w:val="single" w:sz="8" w:space="0" w:color="009BDF"/>
          <w:bottom w:val="single" w:sz="8" w:space="0" w:color="009BDF"/>
        </w:tcBorders>
      </w:tcPr>
    </w:tblStylePr>
    <w:tblStylePr w:type="band1Vert">
      <w:tblPr/>
      <w:tcPr>
        <w:shd w:val="clear" w:color="auto" w:fill="B8E9FF"/>
      </w:tcPr>
    </w:tblStylePr>
  </w:style>
  <w:style w:type="table" w:customStyle="1" w:styleId="MediumList21">
    <w:name w:val="Medium List 21"/>
    <w:basedOn w:val="TableNormal"/>
    <w:next w:val="MediumList2"/>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tblBorders>
    </w:tblPr>
    <w:tblStylePr w:type="firstRow">
      <w:rPr>
        <w:sz w:val="24"/>
        <w:szCs w:val="24"/>
      </w:rPr>
      <w:tblPr/>
      <w:tcPr>
        <w:tcBorders>
          <w:top w:val="nil"/>
          <w:left w:val="nil"/>
          <w:bottom w:val="single" w:sz="24" w:space="0" w:color="242828"/>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242828"/>
          <w:insideH w:val="nil"/>
          <w:insideV w:val="nil"/>
        </w:tcBorders>
        <w:shd w:val="clear" w:color="auto" w:fill="FFFFFF"/>
      </w:tcPr>
    </w:tblStylePr>
    <w:tblStylePr w:type="lastCol">
      <w:tblPr/>
      <w:tcPr>
        <w:tcBorders>
          <w:top w:val="nil"/>
          <w:left w:val="single" w:sz="8" w:space="0" w:color="24282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6CCCC"/>
      </w:tcPr>
    </w:tblStylePr>
    <w:tblStylePr w:type="band1Horz">
      <w:tblPr/>
      <w:tcPr>
        <w:tcBorders>
          <w:top w:val="nil"/>
          <w:bottom w:val="nil"/>
          <w:insideH w:val="nil"/>
          <w:insideV w:val="nil"/>
        </w:tcBorders>
        <w:shd w:val="clear" w:color="auto" w:fill="C6CCCC"/>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tblBorders>
    </w:tblPr>
    <w:tblStylePr w:type="firstRow">
      <w:rPr>
        <w:sz w:val="24"/>
        <w:szCs w:val="24"/>
      </w:rPr>
      <w:tblPr/>
      <w:tcPr>
        <w:tcBorders>
          <w:top w:val="nil"/>
          <w:left w:val="nil"/>
          <w:bottom w:val="single" w:sz="24" w:space="0" w:color="00A6B6"/>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A6B6"/>
          <w:insideH w:val="nil"/>
          <w:insideV w:val="nil"/>
        </w:tcBorders>
        <w:shd w:val="clear" w:color="auto" w:fill="FFFFFF"/>
      </w:tcPr>
    </w:tblStylePr>
    <w:tblStylePr w:type="lastCol">
      <w:tblPr/>
      <w:tcPr>
        <w:tcBorders>
          <w:top w:val="nil"/>
          <w:left w:val="single" w:sz="8" w:space="0" w:color="00A6B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DF7FF"/>
      </w:tcPr>
    </w:tblStylePr>
    <w:tblStylePr w:type="band1Horz">
      <w:tblPr/>
      <w:tcPr>
        <w:tcBorders>
          <w:top w:val="nil"/>
          <w:bottom w:val="nil"/>
          <w:insideH w:val="nil"/>
          <w:insideV w:val="nil"/>
        </w:tcBorders>
        <w:shd w:val="clear" w:color="auto" w:fill="ADF7FF"/>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tblBorders>
    </w:tblPr>
    <w:tblStylePr w:type="firstRow">
      <w:rPr>
        <w:sz w:val="24"/>
        <w:szCs w:val="24"/>
      </w:rPr>
      <w:tblPr/>
      <w:tcPr>
        <w:tcBorders>
          <w:top w:val="nil"/>
          <w:left w:val="nil"/>
          <w:bottom w:val="single" w:sz="24" w:space="0" w:color="00956E"/>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56E"/>
          <w:insideH w:val="nil"/>
          <w:insideV w:val="nil"/>
        </w:tcBorders>
        <w:shd w:val="clear" w:color="auto" w:fill="FFFFFF"/>
      </w:tcPr>
    </w:tblStylePr>
    <w:tblStylePr w:type="lastCol">
      <w:tblPr/>
      <w:tcPr>
        <w:tcBorders>
          <w:top w:val="nil"/>
          <w:left w:val="single" w:sz="8" w:space="0" w:color="00956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5FFE7"/>
      </w:tcPr>
    </w:tblStylePr>
    <w:tblStylePr w:type="band1Horz">
      <w:tblPr/>
      <w:tcPr>
        <w:tcBorders>
          <w:top w:val="nil"/>
          <w:bottom w:val="nil"/>
          <w:insideH w:val="nil"/>
          <w:insideV w:val="nil"/>
        </w:tcBorders>
        <w:shd w:val="clear" w:color="auto" w:fill="A5FFE7"/>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tblBorders>
    </w:tblPr>
    <w:tblStylePr w:type="firstRow">
      <w:rPr>
        <w:sz w:val="24"/>
        <w:szCs w:val="24"/>
      </w:rPr>
      <w:tblPr/>
      <w:tcPr>
        <w:tcBorders>
          <w:top w:val="nil"/>
          <w:left w:val="nil"/>
          <w:bottom w:val="single" w:sz="24" w:space="0" w:color="76236D"/>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6236D"/>
          <w:insideH w:val="nil"/>
          <w:insideV w:val="nil"/>
        </w:tcBorders>
        <w:shd w:val="clear" w:color="auto" w:fill="FFFFFF"/>
      </w:tcPr>
    </w:tblStylePr>
    <w:tblStylePr w:type="lastCol">
      <w:tblPr/>
      <w:tcPr>
        <w:tcBorders>
          <w:top w:val="nil"/>
          <w:left w:val="single" w:sz="8" w:space="0" w:color="76236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ABAE5"/>
      </w:tcPr>
    </w:tblStylePr>
    <w:tblStylePr w:type="band1Horz">
      <w:tblPr/>
      <w:tcPr>
        <w:tcBorders>
          <w:top w:val="nil"/>
          <w:bottom w:val="nil"/>
          <w:insideH w:val="nil"/>
          <w:insideV w:val="nil"/>
        </w:tcBorders>
        <w:shd w:val="clear" w:color="auto" w:fill="EABAE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tblBorders>
    </w:tblPr>
    <w:tblStylePr w:type="firstRow">
      <w:rPr>
        <w:sz w:val="24"/>
        <w:szCs w:val="24"/>
      </w:rPr>
      <w:tblPr/>
      <w:tcPr>
        <w:tcBorders>
          <w:top w:val="nil"/>
          <w:left w:val="nil"/>
          <w:bottom w:val="single" w:sz="24" w:space="0" w:color="E973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97300"/>
          <w:insideH w:val="nil"/>
          <w:insideV w:val="nil"/>
        </w:tcBorders>
        <w:shd w:val="clear" w:color="auto" w:fill="FFFFFF"/>
      </w:tcPr>
    </w:tblStylePr>
    <w:tblStylePr w:type="lastCol">
      <w:tblPr/>
      <w:tcPr>
        <w:tcBorders>
          <w:top w:val="nil"/>
          <w:left w:val="single" w:sz="8" w:space="0" w:color="E973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DBBA"/>
      </w:tcPr>
    </w:tblStylePr>
    <w:tblStylePr w:type="band1Horz">
      <w:tblPr/>
      <w:tcPr>
        <w:tcBorders>
          <w:top w:val="nil"/>
          <w:bottom w:val="nil"/>
          <w:insideH w:val="nil"/>
          <w:insideV w:val="nil"/>
        </w:tcBorders>
        <w:shd w:val="clear" w:color="auto" w:fill="FFDBBA"/>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tblBorders>
    </w:tblPr>
    <w:tblStylePr w:type="firstRow">
      <w:rPr>
        <w:sz w:val="24"/>
        <w:szCs w:val="24"/>
      </w:rPr>
      <w:tblPr/>
      <w:tcPr>
        <w:tcBorders>
          <w:top w:val="nil"/>
          <w:left w:val="nil"/>
          <w:bottom w:val="single" w:sz="24" w:space="0" w:color="D0D2D2"/>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D0D2D2"/>
          <w:insideH w:val="nil"/>
          <w:insideV w:val="nil"/>
        </w:tcBorders>
        <w:shd w:val="clear" w:color="auto" w:fill="FFFFFF"/>
      </w:tcPr>
    </w:tblStylePr>
    <w:tblStylePr w:type="lastCol">
      <w:tblPr/>
      <w:tcPr>
        <w:tcBorders>
          <w:top w:val="nil"/>
          <w:left w:val="single" w:sz="8" w:space="0" w:color="D0D2D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F3F3"/>
      </w:tcPr>
    </w:tblStylePr>
    <w:tblStylePr w:type="band1Horz">
      <w:tblPr/>
      <w:tcPr>
        <w:tcBorders>
          <w:top w:val="nil"/>
          <w:bottom w:val="nil"/>
          <w:insideH w:val="nil"/>
          <w:insideV w:val="nil"/>
        </w:tcBorders>
        <w:shd w:val="clear" w:color="auto" w:fill="F3F3F3"/>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tblBorders>
    </w:tblPr>
    <w:tblStylePr w:type="firstRow">
      <w:rPr>
        <w:sz w:val="24"/>
        <w:szCs w:val="24"/>
      </w:rPr>
      <w:tblPr/>
      <w:tcPr>
        <w:tcBorders>
          <w:top w:val="nil"/>
          <w:left w:val="nil"/>
          <w:bottom w:val="single" w:sz="24" w:space="0" w:color="009BDF"/>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BDF"/>
          <w:insideH w:val="nil"/>
          <w:insideV w:val="nil"/>
        </w:tcBorders>
        <w:shd w:val="clear" w:color="auto" w:fill="FFFFFF"/>
      </w:tcPr>
    </w:tblStylePr>
    <w:tblStylePr w:type="lastCol">
      <w:tblPr/>
      <w:tcPr>
        <w:tcBorders>
          <w:top w:val="nil"/>
          <w:left w:val="single" w:sz="8" w:space="0" w:color="009BD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8E9FF"/>
      </w:tcPr>
    </w:tblStylePr>
    <w:tblStylePr w:type="band1Horz">
      <w:tblPr/>
      <w:tcPr>
        <w:tcBorders>
          <w:top w:val="nil"/>
          <w:bottom w:val="nil"/>
          <w:insideH w:val="nil"/>
          <w:insideV w:val="nil"/>
        </w:tcBorders>
        <w:shd w:val="clear" w:color="auto" w:fill="B8E9FF"/>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11">
    <w:name w:val="Medium Shading 1 - Accent 11"/>
    <w:basedOn w:val="TableNormal"/>
    <w:next w:val="MediumShading1-Accent1"/>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ADF7FF"/>
    </w:tcPr>
    <w:tblStylePr w:type="firstRow">
      <w:pPr>
        <w:spacing w:before="0" w:after="0" w:line="240" w:lineRule="auto"/>
      </w:pPr>
      <w:rPr>
        <w:b/>
        <w:bCs/>
        <w:color w:val="FFFFFF"/>
      </w:rPr>
      <w:tblPr/>
      <w:tcPr>
        <w:tcBorders>
          <w:top w:val="single" w:sz="8" w:space="0" w:color="09E8FF"/>
          <w:left w:val="single" w:sz="8" w:space="0" w:color="09E8FF"/>
          <w:bottom w:val="single" w:sz="8" w:space="0" w:color="09E8FF"/>
          <w:right w:val="single" w:sz="8" w:space="0" w:color="09E8FF"/>
          <w:insideH w:val="nil"/>
          <w:insideV w:val="nil"/>
        </w:tcBorders>
        <w:shd w:val="clear" w:color="auto" w:fill="00A6B6"/>
      </w:tcPr>
    </w:tblStylePr>
    <w:tblStylePr w:type="lastRow">
      <w:pPr>
        <w:spacing w:before="0" w:after="0" w:line="240" w:lineRule="auto"/>
      </w:pPr>
      <w:rPr>
        <w:b/>
        <w:bCs/>
      </w:rPr>
      <w:tblPr/>
      <w:tcPr>
        <w:tcBorders>
          <w:top w:val="double" w:sz="6" w:space="0" w:color="09E8FF"/>
          <w:left w:val="single" w:sz="8" w:space="0" w:color="09E8FF"/>
          <w:bottom w:val="single" w:sz="8" w:space="0" w:color="09E8FF"/>
          <w:right w:val="single" w:sz="8" w:space="0" w:color="09E8FF"/>
          <w:insideH w:val="nil"/>
          <w:insideV w:val="nil"/>
        </w:tcBorders>
      </w:tcPr>
    </w:tblStylePr>
    <w:tblStylePr w:type="firstCol">
      <w:rPr>
        <w:b/>
        <w:bCs/>
      </w:rPr>
    </w:tblStylePr>
    <w:tblStylePr w:type="lastCol">
      <w:rPr>
        <w:b/>
        <w:bCs/>
      </w:rPr>
    </w:tblStylePr>
  </w:style>
  <w:style w:type="table" w:customStyle="1" w:styleId="MediumShading1-Accent21">
    <w:name w:val="Medium Shading 1 - Accent 21"/>
    <w:basedOn w:val="TableNormal"/>
    <w:next w:val="MediumShading1-Accent2"/>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pPr>
        <w:spacing w:before="0" w:after="0" w:line="240" w:lineRule="auto"/>
      </w:pPr>
      <w:rPr>
        <w:b/>
        <w:bCs/>
        <w:color w:val="FFFFFF"/>
      </w:rPr>
      <w:tblPr/>
      <w:tcPr>
        <w:tcBorders>
          <w:top w:val="single" w:sz="8" w:space="0" w:color="00EFB0"/>
          <w:left w:val="single" w:sz="8" w:space="0" w:color="00EFB0"/>
          <w:bottom w:val="single" w:sz="8" w:space="0" w:color="00EFB0"/>
          <w:right w:val="single" w:sz="8" w:space="0" w:color="00EFB0"/>
          <w:insideH w:val="nil"/>
          <w:insideV w:val="nil"/>
        </w:tcBorders>
        <w:shd w:val="clear" w:color="auto" w:fill="00956E"/>
      </w:tcPr>
    </w:tblStylePr>
    <w:tblStylePr w:type="lastRow">
      <w:pPr>
        <w:spacing w:before="0" w:after="0" w:line="240" w:lineRule="auto"/>
      </w:pPr>
      <w:rPr>
        <w:b/>
        <w:bCs/>
      </w:rPr>
      <w:tblPr/>
      <w:tcPr>
        <w:tcBorders>
          <w:top w:val="double" w:sz="6" w:space="0" w:color="00EFB0"/>
          <w:left w:val="single" w:sz="8" w:space="0" w:color="00EFB0"/>
          <w:bottom w:val="single" w:sz="8" w:space="0" w:color="00EFB0"/>
          <w:right w:val="single" w:sz="8" w:space="0" w:color="00EFB0"/>
          <w:insideH w:val="nil"/>
          <w:insideV w:val="nil"/>
        </w:tcBorders>
      </w:tcPr>
    </w:tblStylePr>
    <w:tblStylePr w:type="firstCol">
      <w:rPr>
        <w:b/>
        <w:bCs/>
      </w:rPr>
    </w:tblStylePr>
    <w:tblStylePr w:type="lastCol">
      <w:rPr>
        <w:b/>
        <w:bCs/>
      </w:rPr>
    </w:tblStylePr>
    <w:tblStylePr w:type="band1Vert">
      <w:tblPr/>
      <w:tcPr>
        <w:shd w:val="clear" w:color="auto" w:fill="A5FFE7"/>
      </w:tcPr>
    </w:tblStylePr>
  </w:style>
  <w:style w:type="table" w:customStyle="1" w:styleId="MediumShading1-Accent31">
    <w:name w:val="Medium Shading 1 - Accent 31"/>
    <w:basedOn w:val="TableNormal"/>
    <w:next w:val="MediumShading1-Accent3"/>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double" w:sz="6" w:space="0" w:color="BA37AC"/>
        <w:left w:val="single" w:sz="8" w:space="0" w:color="BA37AC"/>
        <w:bottom w:val="single" w:sz="8" w:space="0" w:color="BA37AC"/>
        <w:right w:val="single" w:sz="8" w:space="0" w:color="BA37AC"/>
      </w:tcBorders>
    </w:tcPr>
    <w:tblStylePr w:type="firstRow">
      <w:pPr>
        <w:spacing w:before="0" w:after="0" w:line="240" w:lineRule="auto"/>
      </w:pPr>
      <w:rPr>
        <w:b/>
        <w:bCs/>
        <w:color w:val="FFFFFF"/>
      </w:rPr>
      <w:tblPr/>
      <w:tcPr>
        <w:tcBorders>
          <w:top w:val="single" w:sz="8" w:space="0" w:color="BA37AC"/>
          <w:left w:val="single" w:sz="8" w:space="0" w:color="BA37AC"/>
          <w:bottom w:val="single" w:sz="8" w:space="0" w:color="BA37AC"/>
          <w:right w:val="single" w:sz="8" w:space="0" w:color="BA37AC"/>
          <w:insideH w:val="nil"/>
          <w:insideV w:val="nil"/>
        </w:tcBorders>
        <w:shd w:val="clear" w:color="auto" w:fill="76236D"/>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41">
    <w:name w:val="Medium Shading 1 - Accent 41"/>
    <w:basedOn w:val="TableNormal"/>
    <w:next w:val="MediumShading1-Accent4"/>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double" w:sz="6" w:space="0" w:color="FF952F"/>
        <w:left w:val="single" w:sz="8" w:space="0" w:color="FF952F"/>
        <w:bottom w:val="single" w:sz="8" w:space="0" w:color="FF952F"/>
        <w:right w:val="single" w:sz="8" w:space="0" w:color="FF952F"/>
      </w:tcBorders>
      <w:shd w:val="clear" w:color="auto" w:fill="FFDBBA"/>
    </w:tcPr>
    <w:tblStylePr w:type="firstRow">
      <w:pPr>
        <w:spacing w:before="0" w:after="0" w:line="240" w:lineRule="auto"/>
      </w:pPr>
      <w:rPr>
        <w:b/>
        <w:bCs/>
        <w:color w:val="FFFFFF"/>
      </w:rPr>
      <w:tblPr/>
      <w:tcPr>
        <w:tcBorders>
          <w:top w:val="single" w:sz="8" w:space="0" w:color="FF952F"/>
          <w:left w:val="single" w:sz="8" w:space="0" w:color="FF952F"/>
          <w:bottom w:val="single" w:sz="8" w:space="0" w:color="FF952F"/>
          <w:right w:val="single" w:sz="8" w:space="0" w:color="FF952F"/>
          <w:insideH w:val="nil"/>
          <w:insideV w:val="nil"/>
        </w:tcBorders>
        <w:shd w:val="clear" w:color="auto" w:fill="E97300"/>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51">
    <w:name w:val="Medium Shading 1 - Accent 51"/>
    <w:basedOn w:val="TableNormal"/>
    <w:next w:val="MediumShading1-Accent5"/>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8" w:space="0" w:color="DBDDDD"/>
        <w:right w:val="single" w:sz="8" w:space="0" w:color="DBDDDD"/>
      </w:tcBorders>
      <w:shd w:val="clear" w:color="auto" w:fill="D0D2D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61">
    <w:name w:val="Medium Shading 1 - Accent 61"/>
    <w:basedOn w:val="TableNormal"/>
    <w:next w:val="MediumShading1-Accent6"/>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8E9FF"/>
    </w:tcPr>
    <w:tblStylePr w:type="firstRow">
      <w:pPr>
        <w:spacing w:before="0" w:after="0" w:line="240" w:lineRule="auto"/>
      </w:pPr>
      <w:rPr>
        <w:b/>
        <w:bCs/>
        <w:color w:val="FFFFFF"/>
      </w:rPr>
      <w:tblPr/>
      <w:tcPr>
        <w:tcBorders>
          <w:top w:val="single" w:sz="8" w:space="0" w:color="28BDFF"/>
          <w:left w:val="single" w:sz="8" w:space="0" w:color="28BDFF"/>
          <w:bottom w:val="single" w:sz="8" w:space="0" w:color="28BDFF"/>
          <w:right w:val="single" w:sz="8" w:space="0" w:color="28BDFF"/>
          <w:insideH w:val="nil"/>
          <w:insideV w:val="nil"/>
        </w:tcBorders>
        <w:shd w:val="clear" w:color="auto" w:fill="009BDF"/>
      </w:tcPr>
    </w:tblStylePr>
    <w:tblStylePr w:type="lastRow">
      <w:pPr>
        <w:spacing w:before="0" w:after="0" w:line="240" w:lineRule="auto"/>
      </w:pPr>
      <w:rPr>
        <w:b/>
        <w:bCs/>
      </w:rPr>
      <w:tblPr/>
      <w:tcPr>
        <w:tcBorders>
          <w:top w:val="double" w:sz="6" w:space="0" w:color="28BDFF"/>
          <w:left w:val="single" w:sz="8" w:space="0" w:color="28BDFF"/>
          <w:bottom w:val="single" w:sz="8" w:space="0" w:color="28BDFF"/>
          <w:right w:val="single" w:sz="8" w:space="0" w:color="28BDFF"/>
          <w:insideH w:val="nil"/>
          <w:insideV w:val="nil"/>
        </w:tcBorders>
      </w:tcPr>
    </w:tblStylePr>
    <w:tblStylePr w:type="firstCol">
      <w:rPr>
        <w:b/>
        <w:bCs/>
      </w:rPr>
    </w:tblStylePr>
    <w:tblStylePr w:type="lastCol">
      <w:rPr>
        <w:b/>
        <w:bCs/>
      </w:rPr>
    </w:tblStylePr>
  </w:style>
  <w:style w:type="table" w:customStyle="1" w:styleId="MediumShading21">
    <w:name w:val="Medium Shading 21"/>
    <w:basedOn w:val="TableNormal"/>
    <w:next w:val="MediumShading2"/>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4282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242828"/>
      </w:tcPr>
    </w:tblStylePr>
    <w:tblStylePr w:type="lastCol">
      <w:rPr>
        <w:b/>
        <w:bCs/>
        <w:color w:val="FFFFFF"/>
      </w:rPr>
      <w:tblPr/>
      <w:tcPr>
        <w:tcBorders>
          <w:left w:val="nil"/>
          <w:right w:val="nil"/>
          <w:insideH w:val="nil"/>
          <w:insideV w:val="nil"/>
        </w:tcBorders>
        <w:shd w:val="clear" w:color="auto" w:fill="24282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A6B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A6B6"/>
      </w:tcPr>
    </w:tblStylePr>
    <w:tblStylePr w:type="lastCol">
      <w:rPr>
        <w:b/>
        <w:bCs/>
        <w:color w:val="FFFFFF"/>
      </w:rPr>
      <w:tblPr/>
      <w:tcPr>
        <w:tcBorders>
          <w:left w:val="nil"/>
          <w:right w:val="nil"/>
          <w:insideH w:val="nil"/>
          <w:insideV w:val="nil"/>
        </w:tcBorders>
        <w:shd w:val="clear" w:color="auto" w:fill="00A6B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956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956E"/>
      </w:tcPr>
    </w:tblStylePr>
    <w:tblStylePr w:type="lastCol">
      <w:rPr>
        <w:b/>
        <w:bCs/>
        <w:color w:val="FFFFFF"/>
      </w:rPr>
      <w:tblPr/>
      <w:tcPr>
        <w:tcBorders>
          <w:left w:val="nil"/>
          <w:right w:val="nil"/>
          <w:insideH w:val="nil"/>
          <w:insideV w:val="nil"/>
        </w:tcBorders>
        <w:shd w:val="clear" w:color="auto" w:fill="00956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62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6236D"/>
      </w:tcPr>
    </w:tblStylePr>
    <w:tblStylePr w:type="lastCol">
      <w:rPr>
        <w:b/>
        <w:bCs/>
        <w:color w:val="FFFFFF"/>
      </w:rPr>
      <w:tblPr/>
      <w:tcPr>
        <w:tcBorders>
          <w:left w:val="nil"/>
          <w:right w:val="nil"/>
          <w:insideH w:val="nil"/>
          <w:insideV w:val="nil"/>
        </w:tcBorders>
        <w:shd w:val="clear" w:color="auto" w:fill="762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3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97300"/>
      </w:tcPr>
    </w:tblStylePr>
    <w:tblStylePr w:type="lastCol">
      <w:rPr>
        <w:b/>
        <w:bCs/>
        <w:color w:val="FFFFFF"/>
      </w:rPr>
      <w:tblPr/>
      <w:tcPr>
        <w:tcBorders>
          <w:left w:val="nil"/>
          <w:right w:val="nil"/>
          <w:insideH w:val="nil"/>
          <w:insideV w:val="nil"/>
        </w:tcBorders>
        <w:shd w:val="clear" w:color="auto" w:fill="E973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D0D2D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D0D2D2"/>
      </w:tcPr>
    </w:tblStylePr>
    <w:tblStylePr w:type="lastCol">
      <w:rPr>
        <w:b/>
        <w:bCs/>
        <w:color w:val="FFFFFF"/>
      </w:rPr>
      <w:tblPr/>
      <w:tcPr>
        <w:tcBorders>
          <w:left w:val="nil"/>
          <w:right w:val="nil"/>
          <w:insideH w:val="nil"/>
          <w:insideV w:val="nil"/>
        </w:tcBorders>
        <w:shd w:val="clear" w:color="auto" w:fill="D0D2D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9BD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9BDF"/>
      </w:tcPr>
    </w:tblStylePr>
    <w:tblStylePr w:type="lastCol">
      <w:rPr>
        <w:b/>
        <w:bCs/>
        <w:color w:val="FFFFFF"/>
      </w:rPr>
      <w:tblPr/>
      <w:tcPr>
        <w:tcBorders>
          <w:left w:val="nil"/>
          <w:right w:val="nil"/>
          <w:insideH w:val="nil"/>
          <w:insideV w:val="nil"/>
        </w:tcBorders>
        <w:shd w:val="clear" w:color="auto" w:fill="009BD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11">
    <w:name w:val="Plain Table 11"/>
    <w:basedOn w:val="TableNormal"/>
    <w:next w:val="PlainTable1"/>
    <w:uiPriority w:val="41"/>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
    <w:uiPriority w:val="43"/>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8C9797"/>
        <w:right w:val="single" w:sz="4" w:space="0" w:color="8C9797"/>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51">
    <w:name w:val="Plain Table 51"/>
    <w:basedOn w:val="TableNormal"/>
    <w:next w:val="PlainTable5"/>
    <w:uiPriority w:val="45"/>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FFFF"/>
    </w:tcPr>
    <w:tblStylePr w:type="firstRow">
      <w:rPr>
        <w:rFonts w:ascii="Arial" w:eastAsia="Roboto" w:hAnsi="Arial" w:cs="Arial"/>
        <w:i/>
        <w:iCs/>
        <w:sz w:val="26"/>
      </w:rPr>
      <w:tblPr/>
      <w:tcPr>
        <w:tcBorders>
          <w:bottom w:val="single" w:sz="4" w:space="0" w:color="8C9797"/>
        </w:tcBorders>
        <w:shd w:val="clear" w:color="auto" w:fill="FFFFFF"/>
      </w:tcPr>
    </w:tblStylePr>
    <w:tblStylePr w:type="lastRow">
      <w:rPr>
        <w:rFonts w:ascii="Arial" w:eastAsia="Roboto" w:hAnsi="Arial" w:cs="Arial"/>
        <w:i/>
        <w:iCs/>
        <w:sz w:val="26"/>
      </w:rPr>
    </w:tblStylePr>
    <w:tblStylePr w:type="firstCol">
      <w:pPr>
        <w:jc w:val="right"/>
      </w:pPr>
      <w:rPr>
        <w:rFonts w:ascii="Arial" w:eastAsia="Roboto" w:hAnsi="Arial" w:cs="Arial"/>
        <w:i/>
        <w:iCs/>
        <w:sz w:val="26"/>
      </w:rPr>
    </w:tblStylePr>
    <w:tblStylePr w:type="lastCol">
      <w:rPr>
        <w:rFonts w:ascii="Arial" w:eastAsia="Roboto"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ubtleEmphasis1">
    <w:name w:val="Subtle Emphasis1"/>
    <w:basedOn w:val="DefaultParagraphFont"/>
    <w:uiPriority w:val="19"/>
    <w:unhideWhenUsed/>
    <w:qFormat/>
    <w:rsid w:val="00A24B35"/>
    <w:rPr>
      <w:rFonts w:ascii="Arial" w:hAnsi="Arial" w:cs="Arial"/>
      <w:i/>
      <w:iCs/>
      <w:color w:val="576161"/>
    </w:rPr>
  </w:style>
  <w:style w:type="character" w:customStyle="1" w:styleId="SubtleReference1">
    <w:name w:val="Subtle Reference1"/>
    <w:basedOn w:val="DefaultParagraphFont"/>
    <w:uiPriority w:val="31"/>
    <w:unhideWhenUsed/>
    <w:qFormat/>
    <w:rsid w:val="00A24B35"/>
    <w:rPr>
      <w:rFonts w:ascii="Arial" w:hAnsi="Arial" w:cs="Arial"/>
      <w:smallCaps/>
      <w:color w:val="6C7878"/>
    </w:rPr>
  </w:style>
  <w:style w:type="table" w:customStyle="1" w:styleId="Table3Deffects11">
    <w:name w:val="Table 3D effects 11"/>
    <w:basedOn w:val="TableNormal"/>
    <w:next w:val="Table3Deffects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A24B35"/>
    <w:pPr>
      <w:spacing w:before="60" w:after="60" w:line="276" w:lineRule="auto"/>
      <w:jc w:val="left"/>
    </w:pPr>
    <w:rPr>
      <w:rFonts w:asciiTheme="minorHAnsi" w:eastAsia="Times New Roman" w:hAnsiTheme="minorHAnsi" w:cs="Times New Roman"/>
      <w:color w:val="000080"/>
      <w:sz w:val="22"/>
      <w:szCs w:val="22"/>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A24B35"/>
    <w:pPr>
      <w:spacing w:before="60" w:after="60" w:line="276" w:lineRule="auto"/>
      <w:jc w:val="left"/>
    </w:pPr>
    <w:rPr>
      <w:rFonts w:asciiTheme="minorHAnsi" w:eastAsia="Times New Roman" w:hAnsiTheme="minorHAnsi" w:cs="Times New Roman"/>
      <w:color w:val="FFFFFF"/>
      <w:sz w:val="22"/>
      <w:szCs w:val="22"/>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customStyle="1" w:styleId="TableColumns41">
    <w:name w:val="Table Columns 41"/>
    <w:basedOn w:val="TableNormal"/>
    <w:next w:val="TableColumns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tblStylePr w:type="band1Horz">
      <w:rPr>
        <w:color w:val="auto"/>
      </w:rPr>
    </w:tblStylePr>
    <w:tblStylePr w:type="band2Horz">
      <w:rPr>
        <w:color w:val="auto"/>
      </w:rPr>
    </w:tblStylePr>
  </w:style>
  <w:style w:type="table" w:customStyle="1" w:styleId="TableElegant1">
    <w:name w:val="Table Elegant1"/>
    <w:basedOn w:val="TableNormal"/>
    <w:next w:val="TableElegant"/>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customStyle="1" w:styleId="TableGrid31">
    <w:name w:val="Table Grid 31"/>
    <w:basedOn w:val="TableNormal"/>
    <w:next w:val="TableGrid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customStyle="1" w:styleId="TableGrid41">
    <w:name w:val="Table Grid 41"/>
    <w:basedOn w:val="TableNormal"/>
    <w:next w:val="TableGrid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customStyle="1" w:styleId="TableGrid61">
    <w:name w:val="Table Grid 61"/>
    <w:basedOn w:val="TableNormal"/>
    <w:next w:val="TableGrid6"/>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customStyle="1" w:styleId="TableList51">
    <w:name w:val="Table List 51"/>
    <w:basedOn w:val="TableNormal"/>
    <w:next w:val="TableList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customStyle="1" w:styleId="TableList61">
    <w:name w:val="Table List 61"/>
    <w:basedOn w:val="TableNormal"/>
    <w:next w:val="TableList6"/>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customStyle="1" w:styleId="TableList71">
    <w:name w:val="Table List 71"/>
    <w:basedOn w:val="TableNormal"/>
    <w:next w:val="TableList7"/>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customStyle="1" w:styleId="TableSimple31">
    <w:name w:val="Table Simple 31"/>
    <w:basedOn w:val="TableNormal"/>
    <w:next w:val="TableSimple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tcBorders>
        <w:top w:val="single" w:sz="12" w:space="0" w:color="000000"/>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style>
  <w:style w:type="table" w:customStyle="1" w:styleId="TableWeb11">
    <w:name w:val="Table Web 11"/>
    <w:basedOn w:val="TableNormal"/>
    <w:next w:val="TableWeb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customStyle="1" w:styleId="TableWeb21">
    <w:name w:val="Table Web 21"/>
    <w:basedOn w:val="TableNormal"/>
    <w:next w:val="TableWeb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customStyle="1" w:styleId="TableWeb31">
    <w:name w:val="Table Web 31"/>
    <w:basedOn w:val="TableNormal"/>
    <w:next w:val="TableWeb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character" w:customStyle="1" w:styleId="HeaderChar1">
    <w:name w:val="Header Char1"/>
    <w:basedOn w:val="DefaultParagraphFont"/>
    <w:uiPriority w:val="99"/>
    <w:semiHidden/>
    <w:rsid w:val="00A24B35"/>
  </w:style>
  <w:style w:type="character" w:customStyle="1" w:styleId="FooterChar1">
    <w:name w:val="Footer Char1"/>
    <w:basedOn w:val="DefaultParagraphFont"/>
    <w:uiPriority w:val="99"/>
    <w:semiHidden/>
    <w:rsid w:val="00A24B35"/>
  </w:style>
  <w:style w:type="character" w:customStyle="1" w:styleId="CommentSubjectChar1">
    <w:name w:val="Comment Subject Char1"/>
    <w:basedOn w:val="CommentTextChar1"/>
    <w:uiPriority w:val="99"/>
    <w:semiHidden/>
    <w:rsid w:val="00A24B35"/>
    <w:rPr>
      <w:b/>
      <w:bCs/>
      <w:sz w:val="20"/>
      <w:szCs w:val="20"/>
    </w:rPr>
  </w:style>
  <w:style w:type="character" w:customStyle="1" w:styleId="MessageHeaderChar1">
    <w:name w:val="Message Header Char1"/>
    <w:basedOn w:val="DefaultParagraphFont"/>
    <w:uiPriority w:val="99"/>
    <w:semiHidden/>
    <w:rsid w:val="00A24B35"/>
    <w:rPr>
      <w:rFonts w:asciiTheme="majorHAnsi" w:eastAsiaTheme="majorEastAsia" w:hAnsiTheme="majorHAnsi" w:cstheme="majorBidi"/>
      <w:sz w:val="24"/>
      <w:szCs w:val="24"/>
      <w:shd w:val="pct20" w:color="auto" w:fill="auto"/>
    </w:rPr>
  </w:style>
  <w:style w:type="paragraph" w:customStyle="1" w:styleId="Heading10">
    <w:name w:val="Heading_1"/>
    <w:basedOn w:val="ListParagraph"/>
    <w:link w:val="Heading1Char0"/>
    <w:qFormat/>
    <w:rsid w:val="00A24B35"/>
    <w:pPr>
      <w:keepNext/>
      <w:keepLines/>
      <w:numPr>
        <w:numId w:val="14"/>
      </w:numPr>
      <w:pBdr>
        <w:bottom w:val="single" w:sz="4" w:space="1" w:color="1A4596"/>
      </w:pBdr>
      <w:spacing w:before="240" w:after="240"/>
      <w:contextualSpacing/>
      <w:outlineLvl w:val="0"/>
    </w:pPr>
    <w:rPr>
      <w:rFonts w:ascii="Arial" w:hAnsi="Arial"/>
      <w:color w:val="1A4596"/>
      <w:sz w:val="32"/>
      <w:szCs w:val="32"/>
    </w:rPr>
  </w:style>
  <w:style w:type="character" w:customStyle="1" w:styleId="Heading1Char0">
    <w:name w:val="Heading_1 Char"/>
    <w:basedOn w:val="ListParagraphChar"/>
    <w:link w:val="Heading10"/>
    <w:rsid w:val="00A24B35"/>
    <w:rPr>
      <w:rFonts w:cs="Arial"/>
      <w:color w:val="1A4596"/>
      <w:sz w:val="32"/>
      <w:szCs w:val="32"/>
    </w:rPr>
  </w:style>
  <w:style w:type="paragraph" w:customStyle="1" w:styleId="Heading20">
    <w:name w:val="Heading_2"/>
    <w:basedOn w:val="Normal"/>
    <w:link w:val="Heading2Char0"/>
    <w:uiPriority w:val="1"/>
    <w:qFormat/>
    <w:rsid w:val="1FC5E705"/>
    <w:pPr>
      <w:keepNext/>
      <w:keepLines/>
      <w:numPr>
        <w:ilvl w:val="1"/>
        <w:numId w:val="14"/>
      </w:numPr>
      <w:spacing w:before="240"/>
      <w:outlineLvl w:val="1"/>
    </w:pPr>
    <w:rPr>
      <w:rFonts w:ascii="Arial" w:hAnsi="Arial" w:cs="Arial"/>
      <w:caps/>
      <w:color w:val="1A4596"/>
      <w:sz w:val="26"/>
      <w:szCs w:val="26"/>
    </w:rPr>
  </w:style>
  <w:style w:type="character" w:customStyle="1" w:styleId="Heading2Char0">
    <w:name w:val="Heading_2 Char"/>
    <w:basedOn w:val="DefaultParagraphFont"/>
    <w:link w:val="Heading20"/>
    <w:rsid w:val="00A24B35"/>
    <w:rPr>
      <w:rFonts w:cs="Arial"/>
      <w:caps/>
      <w:color w:val="1A4596"/>
      <w:kern w:val="2"/>
      <w:sz w:val="26"/>
      <w:szCs w:val="26"/>
      <w14:ligatures w14:val="standardContextual"/>
    </w:rPr>
  </w:style>
  <w:style w:type="paragraph" w:customStyle="1" w:styleId="Heading30">
    <w:name w:val="Heading_3"/>
    <w:basedOn w:val="Normal"/>
    <w:link w:val="Heading3Char0"/>
    <w:uiPriority w:val="1"/>
    <w:qFormat/>
    <w:rsid w:val="1FC5E705"/>
    <w:pPr>
      <w:keepNext/>
      <w:keepLines/>
      <w:numPr>
        <w:ilvl w:val="2"/>
        <w:numId w:val="14"/>
      </w:numPr>
      <w:spacing w:before="240"/>
      <w:outlineLvl w:val="2"/>
    </w:pPr>
    <w:rPr>
      <w:rFonts w:ascii="Arial" w:eastAsia="MS PGothic" w:hAnsi="Arial" w:cs="Arial"/>
      <w:b/>
      <w:bCs/>
      <w:sz w:val="20"/>
      <w:szCs w:val="20"/>
    </w:rPr>
  </w:style>
  <w:style w:type="character" w:customStyle="1" w:styleId="Heading3Char0">
    <w:name w:val="Heading_3 Char"/>
    <w:basedOn w:val="DefaultParagraphFont"/>
    <w:link w:val="Heading30"/>
    <w:rsid w:val="00A24B35"/>
    <w:rPr>
      <w:rFonts w:eastAsia="MS PGothic" w:cs="Arial"/>
      <w:b/>
      <w:color w:val="242828"/>
      <w:kern w:val="2"/>
      <w14:ligatures w14:val="standardContextual"/>
    </w:rPr>
  </w:style>
  <w:style w:type="paragraph" w:customStyle="1" w:styleId="Heading40">
    <w:name w:val="Heading_4"/>
    <w:basedOn w:val="Normal"/>
    <w:link w:val="Heading4Char0"/>
    <w:uiPriority w:val="1"/>
    <w:qFormat/>
    <w:rsid w:val="1FC5E705"/>
    <w:pPr>
      <w:numPr>
        <w:ilvl w:val="3"/>
        <w:numId w:val="14"/>
      </w:numPr>
    </w:pPr>
    <w:rPr>
      <w:rFonts w:ascii="Arial" w:eastAsia="Arial" w:hAnsi="Arial" w:cs="Arial"/>
      <w:i/>
      <w:iCs/>
      <w:color w:val="auto"/>
      <w:sz w:val="20"/>
      <w:szCs w:val="20"/>
    </w:rPr>
  </w:style>
  <w:style w:type="character" w:customStyle="1" w:styleId="Heading4Char0">
    <w:name w:val="Heading_4 Char"/>
    <w:basedOn w:val="DefaultParagraphFont"/>
    <w:link w:val="Heading40"/>
    <w:rsid w:val="00A24B35"/>
    <w:rPr>
      <w:rFonts w:eastAsia="Arial" w:cs="Arial"/>
      <w:i/>
      <w:iCs/>
      <w:color w:val="auto"/>
    </w:rPr>
  </w:style>
  <w:style w:type="paragraph" w:customStyle="1" w:styleId="Code">
    <w:name w:val="Code"/>
    <w:link w:val="CodeCar"/>
    <w:rsid w:val="00A24B35"/>
    <w:pPr>
      <w:pBdr>
        <w:top w:val="outset" w:sz="6" w:space="8" w:color="auto"/>
        <w:left w:val="outset" w:sz="6" w:space="15" w:color="auto"/>
        <w:bottom w:val="inset" w:sz="6" w:space="8" w:color="auto"/>
        <w:right w:val="inset" w:sz="6" w:space="0" w:color="auto"/>
      </w:pBdr>
      <w:shd w:val="clear" w:color="auto" w:fill="F2F2F2" w:themeFill="background1" w:themeFillShade="F2"/>
      <w:spacing w:after="0" w:line="288" w:lineRule="auto"/>
      <w:jc w:val="left"/>
      <w:textAlignment w:val="baseline"/>
    </w:pPr>
    <w:rPr>
      <w:rFonts w:ascii="Consolas" w:eastAsia="Times New Roman" w:hAnsi="Consolas" w:cs="Times New Roman"/>
      <w:color w:val="auto"/>
      <w:bdr w:val="none" w:sz="0" w:space="0" w:color="auto" w:frame="1"/>
      <w:lang w:val="en-US" w:eastAsia="fr-FR"/>
    </w:rPr>
  </w:style>
  <w:style w:type="character" w:customStyle="1" w:styleId="CodeCar">
    <w:name w:val="Code Car"/>
    <w:basedOn w:val="DefaultParagraphFont"/>
    <w:link w:val="Code"/>
    <w:rsid w:val="00A24B35"/>
    <w:rPr>
      <w:rFonts w:ascii="Consolas" w:eastAsia="Times New Roman" w:hAnsi="Consolas" w:cs="Times New Roman"/>
      <w:color w:val="auto"/>
      <w:bdr w:val="none" w:sz="0" w:space="0" w:color="auto" w:frame="1"/>
      <w:shd w:val="clear" w:color="auto" w:fill="F2F2F2" w:themeFill="background1" w:themeFillShade="F2"/>
      <w:lang w:val="en-US" w:eastAsia="fr-FR"/>
    </w:rPr>
  </w:style>
  <w:style w:type="paragraph" w:customStyle="1" w:styleId="GHBodytext">
    <w:name w:val="GH_Bodytext"/>
    <w:basedOn w:val="Normal"/>
    <w:uiPriority w:val="1"/>
    <w:qFormat/>
    <w:rsid w:val="1FC5E705"/>
    <w:pPr>
      <w:spacing w:after="60"/>
    </w:pPr>
    <w:rPr>
      <w:rFonts w:ascii="Aptos Light" w:eastAsia="Arial" w:hAnsi="Aptos Light" w:cs="Arial"/>
      <w:sz w:val="20"/>
      <w:szCs w:val="20"/>
      <w:lang w:val="en-US" w:eastAsia="en-GB"/>
    </w:rPr>
  </w:style>
  <w:style w:type="table" w:customStyle="1" w:styleId="Mytable">
    <w:name w:val="My_table"/>
    <w:basedOn w:val="TableSimple2"/>
    <w:uiPriority w:val="99"/>
    <w:rsid w:val="00A24B35"/>
    <w:pPr>
      <w:spacing w:before="0" w:after="0" w:line="240" w:lineRule="auto"/>
    </w:pPr>
    <w:rPr>
      <w:rFonts w:eastAsiaTheme="minorHAnsi" w:cstheme="minorBidi"/>
      <w:color w:val="242828" w:themeColor="text1"/>
      <w:sz w:val="20"/>
      <w:szCs w:val="20"/>
      <w:lang w:bidi="he-IL"/>
    </w:rPr>
    <w:tblPr/>
    <w:tcPr>
      <w:tcBorders>
        <w:top w:val="single" w:sz="6" w:space="0" w:color="000000"/>
        <w:left w:val="single" w:sz="6" w:space="0" w:color="000000"/>
      </w:tcBorders>
    </w:tcPr>
    <w:tblStylePr w:type="firstRow">
      <w:rPr>
        <w:rFonts w:ascii="Roboto" w:hAnsi="Roboto"/>
        <w:b w:val="0"/>
        <w:bCs/>
        <w:i/>
        <w:sz w:val="16"/>
      </w:rPr>
      <w:tblPr/>
      <w:tcPr>
        <w:tcBorders>
          <w:top w:val="nil"/>
          <w:left w:val="nil"/>
          <w:bottom w:val="single" w:sz="4" w:space="0" w:color="8C9797" w:themeColor="text1" w:themeTint="80"/>
          <w:right w:val="nil"/>
          <w:insideH w:val="nil"/>
          <w:insideV w:val="nil"/>
          <w:tl2br w:val="none" w:sz="0" w:space="0" w:color="auto"/>
          <w:tr2bl w:val="none" w:sz="0" w:space="0" w:color="auto"/>
        </w:tcBorders>
      </w:tcPr>
    </w:tblStylePr>
    <w:tblStylePr w:type="lastRow">
      <w:rPr>
        <w:rFonts w:ascii="Roboto" w:hAnsi="Roboto"/>
        <w:b w:val="0"/>
        <w:bCs/>
        <w:i/>
        <w:color w:val="auto"/>
        <w:sz w:val="16"/>
      </w:rPr>
    </w:tblStylePr>
    <w:tblStylePr w:type="firstCol">
      <w:rPr>
        <w:rFonts w:ascii="Roboto" w:hAnsi="Roboto"/>
        <w:b/>
        <w:bCs/>
        <w:i w:val="0"/>
        <w:sz w:val="16"/>
      </w:rPr>
    </w:tblStylePr>
    <w:tblStylePr w:type="lastCol">
      <w:rPr>
        <w:rFonts w:ascii="Roboto" w:hAnsi="Roboto"/>
        <w:b w:val="0"/>
        <w:bCs/>
        <w:i/>
        <w:sz w:val="16"/>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RicardoTable1">
    <w:name w:val="Ricardo Table1"/>
    <w:basedOn w:val="TableNormal"/>
    <w:uiPriority w:val="99"/>
    <w:unhideWhenUsed/>
    <w:rsid w:val="00A24B35"/>
    <w:pPr>
      <w:spacing w:before="60" w:after="60"/>
    </w:pPr>
    <w:rPr>
      <w:rFonts w:eastAsia="MS PGothic"/>
      <w:color w:val="242828"/>
      <w:lang w:eastAsia="en-GB"/>
    </w:rPr>
    <w:tblPr/>
    <w:tcPr>
      <w:shd w:val="clear" w:color="auto" w:fill="1A4596"/>
      <w:vAlign w:val="center"/>
    </w:tcPr>
    <w:tblStylePr w:type="firstRow">
      <w:pPr>
        <w:keepNext/>
        <w:wordWrap/>
        <w:jc w:val="left"/>
      </w:pPr>
      <w:rPr>
        <w:rFonts w:ascii="Arial" w:hAnsi="Arial"/>
        <w:b/>
        <w:color w:val="FFFFFF"/>
        <w:sz w:val="20"/>
      </w:rPr>
    </w:tblStylePr>
  </w:style>
  <w:style w:type="character" w:customStyle="1" w:styleId="fontstyle01">
    <w:name w:val="fontstyle01"/>
    <w:basedOn w:val="DefaultParagraphFont"/>
    <w:rsid w:val="00A24B35"/>
    <w:rPr>
      <w:rFonts w:ascii="TimesNewRomanPSMT" w:hAnsi="TimesNewRomanPSMT" w:hint="default"/>
      <w:b w:val="0"/>
      <w:bCs w:val="0"/>
      <w:i w:val="0"/>
      <w:iCs w:val="0"/>
      <w:color w:val="000000"/>
      <w:sz w:val="24"/>
      <w:szCs w:val="24"/>
    </w:rPr>
  </w:style>
  <w:style w:type="paragraph" w:customStyle="1" w:styleId="Tabletitle">
    <w:name w:val="Table title"/>
    <w:basedOn w:val="Normal"/>
    <w:link w:val="TabletitleChar"/>
    <w:uiPriority w:val="1"/>
    <w:qFormat/>
    <w:rsid w:val="1FC5E705"/>
    <w:pPr>
      <w:numPr>
        <w:numId w:val="16"/>
      </w:numPr>
      <w:spacing w:after="240"/>
    </w:pPr>
    <w:rPr>
      <w:rFonts w:eastAsia="Calibri"/>
      <w:i/>
      <w:iCs/>
      <w:color w:val="auto"/>
      <w:sz w:val="22"/>
      <w:szCs w:val="22"/>
    </w:rPr>
  </w:style>
  <w:style w:type="character" w:customStyle="1" w:styleId="TabletitleChar">
    <w:name w:val="Table title Char"/>
    <w:basedOn w:val="DefaultParagraphFont"/>
    <w:link w:val="Tabletitle"/>
    <w:rsid w:val="00EA49D2"/>
    <w:rPr>
      <w:rFonts w:ascii="Times New Roman" w:eastAsia="Calibri" w:hAnsi="Times New Roman" w:cs="Times New Roman"/>
      <w:i/>
      <w:color w:val="auto"/>
      <w:sz w:val="22"/>
      <w:szCs w:val="24"/>
    </w:rPr>
  </w:style>
  <w:style w:type="paragraph" w:customStyle="1" w:styleId="Figuretitle">
    <w:name w:val="Figure title"/>
    <w:basedOn w:val="Tabletitle"/>
    <w:link w:val="FiguretitleChar"/>
    <w:qFormat/>
    <w:rsid w:val="00EA49D2"/>
    <w:pPr>
      <w:numPr>
        <w:numId w:val="15"/>
      </w:numPr>
    </w:pPr>
  </w:style>
  <w:style w:type="character" w:customStyle="1" w:styleId="FiguretitleChar">
    <w:name w:val="Figure title Char"/>
    <w:basedOn w:val="TabletitleChar"/>
    <w:link w:val="Figuretitle"/>
    <w:rsid w:val="00EA49D2"/>
    <w:rPr>
      <w:rFonts w:ascii="Times New Roman" w:eastAsia="Calibri" w:hAnsi="Times New Roman" w:cs="Times New Roman"/>
      <w:i/>
      <w:color w:val="auto"/>
      <w:sz w:val="22"/>
      <w:szCs w:val="24"/>
    </w:rPr>
  </w:style>
  <w:style w:type="paragraph" w:customStyle="1" w:styleId="CharCharChar1">
    <w:name w:val="Char Char Char1"/>
    <w:basedOn w:val="Normal"/>
    <w:uiPriority w:val="99"/>
    <w:rsid w:val="1FC5E705"/>
    <w:pPr>
      <w:spacing w:after="160"/>
    </w:pPr>
    <w:rPr>
      <w:rFonts w:eastAsia="Calibri"/>
      <w:color w:val="auto"/>
      <w:vertAlign w:val="superscript"/>
    </w:rPr>
  </w:style>
  <w:style w:type="character" w:customStyle="1" w:styleId="Marker">
    <w:name w:val="Marker"/>
    <w:locked/>
    <w:rsid w:val="00A71942"/>
    <w:rPr>
      <w:color w:val="0000FF"/>
      <w:shd w:val="clear" w:color="auto" w:fill="auto"/>
    </w:rPr>
  </w:style>
  <w:style w:type="paragraph" w:customStyle="1" w:styleId="Pagedecouverture">
    <w:name w:val="Page de couverture"/>
    <w:basedOn w:val="Normal"/>
    <w:next w:val="Normal"/>
    <w:uiPriority w:val="1"/>
    <w:rsid w:val="1FC5E705"/>
    <w:pPr>
      <w:spacing w:after="0"/>
    </w:pPr>
    <w:rPr>
      <w:rFonts w:eastAsia="Calibri"/>
      <w:color w:val="auto"/>
    </w:rPr>
  </w:style>
  <w:style w:type="paragraph" w:customStyle="1" w:styleId="FooterCoverPage">
    <w:name w:val="Footer Cover Page"/>
    <w:basedOn w:val="Normal"/>
    <w:link w:val="FooterCoverPageChar"/>
    <w:rsid w:val="1FC5E705"/>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link w:val="FooterCoverPage"/>
    <w:rsid w:val="00A71942"/>
    <w:rPr>
      <w:rFonts w:ascii="Times New Roman" w:hAnsi="Times New Roman" w:cs="Times New Roman"/>
      <w:sz w:val="24"/>
      <w:szCs w:val="24"/>
    </w:rPr>
  </w:style>
  <w:style w:type="paragraph" w:customStyle="1" w:styleId="HeaderCoverPage">
    <w:name w:val="Header Cover Page"/>
    <w:basedOn w:val="Normal"/>
    <w:link w:val="HeaderCoverPageChar"/>
    <w:rsid w:val="1FC5E705"/>
    <w:pPr>
      <w:tabs>
        <w:tab w:val="center" w:pos="4535"/>
        <w:tab w:val="right" w:pos="9071"/>
      </w:tabs>
      <w:spacing w:before="0" w:line="240" w:lineRule="auto"/>
    </w:pPr>
  </w:style>
  <w:style w:type="character" w:customStyle="1" w:styleId="HeaderCoverPageChar">
    <w:name w:val="Header Cover Page Char"/>
    <w:link w:val="HeaderCoverPage"/>
    <w:rsid w:val="00A71942"/>
    <w:rPr>
      <w:rFonts w:ascii="Times New Roman" w:hAnsi="Times New Roman" w:cs="Times New Roman"/>
      <w:sz w:val="24"/>
      <w:szCs w:val="24"/>
    </w:rPr>
  </w:style>
  <w:style w:type="paragraph" w:customStyle="1" w:styleId="Text1">
    <w:name w:val="Text 1"/>
    <w:basedOn w:val="Normal"/>
    <w:uiPriority w:val="1"/>
    <w:qFormat/>
    <w:rsid w:val="1FC5E705"/>
    <w:pPr>
      <w:ind w:left="482"/>
    </w:pPr>
    <w:rPr>
      <w:rFonts w:eastAsia="Times New Roman"/>
      <w:color w:val="auto"/>
    </w:rPr>
  </w:style>
  <w:style w:type="paragraph" w:customStyle="1" w:styleId="Text2">
    <w:name w:val="Text 2"/>
    <w:basedOn w:val="Normal"/>
    <w:link w:val="Text2Char"/>
    <w:uiPriority w:val="1"/>
    <w:qFormat/>
    <w:rsid w:val="1FC5E705"/>
    <w:pPr>
      <w:tabs>
        <w:tab w:val="left" w:pos="2302"/>
      </w:tabs>
      <w:ind w:left="1202"/>
    </w:pPr>
    <w:rPr>
      <w:rFonts w:eastAsia="Times New Roman"/>
      <w:color w:val="auto"/>
    </w:rPr>
  </w:style>
  <w:style w:type="paragraph" w:customStyle="1" w:styleId="ListDash1">
    <w:name w:val="List Dash 1"/>
    <w:basedOn w:val="Text1"/>
    <w:uiPriority w:val="1"/>
    <w:locked/>
    <w:rsid w:val="00A71942"/>
    <w:pPr>
      <w:numPr>
        <w:numId w:val="20"/>
      </w:numPr>
    </w:pPr>
  </w:style>
  <w:style w:type="paragraph" w:customStyle="1" w:styleId="AnnexTitle">
    <w:name w:val="Annex Title"/>
    <w:basedOn w:val="Heading1"/>
    <w:next w:val="Normal"/>
    <w:link w:val="AnnexTitleChar"/>
    <w:autoRedefine/>
    <w:qFormat/>
    <w:locked/>
    <w:rsid w:val="00A71942"/>
    <w:pPr>
      <w:keepLines w:val="0"/>
      <w:numPr>
        <w:numId w:val="0"/>
      </w:numPr>
      <w:pBdr>
        <w:bottom w:val="none" w:sz="0" w:space="0" w:color="auto"/>
      </w:pBdr>
      <w:spacing w:after="480"/>
      <w:jc w:val="center"/>
    </w:pPr>
    <w:rPr>
      <w:rFonts w:ascii="Times New Roman" w:eastAsia="Times New Roman" w:hAnsi="Times New Roman" w:cs="Times New Roman"/>
      <w:b/>
      <w:caps w:val="0"/>
      <w:smallCaps/>
      <w:color w:val="auto"/>
      <w:szCs w:val="20"/>
    </w:rPr>
  </w:style>
  <w:style w:type="character" w:customStyle="1" w:styleId="AnnexTitleChar">
    <w:name w:val="Annex Title Char"/>
    <w:link w:val="AnnexTitle"/>
    <w:rsid w:val="00A71942"/>
    <w:rPr>
      <w:rFonts w:ascii="Times New Roman" w:eastAsia="Times New Roman" w:hAnsi="Times New Roman" w:cs="Times New Roman"/>
      <w:b/>
      <w:smallCaps/>
      <w:color w:val="auto"/>
      <w:sz w:val="32"/>
    </w:rPr>
  </w:style>
  <w:style w:type="table" w:customStyle="1" w:styleId="CV11">
    <w:name w:val="CV11"/>
    <w:basedOn w:val="TableNormal"/>
    <w:next w:val="TableGrid"/>
    <w:uiPriority w:val="59"/>
    <w:locked/>
    <w:rsid w:val="00A71942"/>
    <w:pPr>
      <w:spacing w:after="0" w:line="240" w:lineRule="auto"/>
      <w:jc w:val="left"/>
    </w:pPr>
    <w:rPr>
      <w:rFonts w:ascii="Times New Roman" w:eastAsia="Times New Roman" w:hAnsi="Times New Roman" w:cs="Times New Roman"/>
      <w:color w:val="auto"/>
      <w:lang w:val="en-IE" w:eastAsia="en-GB"/>
    </w:rPr>
    <w:tblPr/>
  </w:style>
  <w:style w:type="table" w:customStyle="1" w:styleId="CV12">
    <w:name w:val="CV12"/>
    <w:basedOn w:val="TableNormal"/>
    <w:next w:val="TableGrid"/>
    <w:uiPriority w:val="39"/>
    <w:locked/>
    <w:rsid w:val="00A71942"/>
    <w:pPr>
      <w:spacing w:after="0" w:line="240" w:lineRule="auto"/>
      <w:jc w:val="left"/>
    </w:pPr>
    <w:rPr>
      <w:rFonts w:ascii="Times New Roman" w:eastAsia="Times New Roman" w:hAnsi="Times New Roman" w:cs="Times New Roman"/>
      <w:color w:val="auto"/>
      <w:lang w:val="en-IE" w:eastAsia="en-GB"/>
    </w:rPr>
    <w:tblPr/>
  </w:style>
  <w:style w:type="table" w:customStyle="1" w:styleId="CV13">
    <w:name w:val="CV13"/>
    <w:basedOn w:val="TableNormal"/>
    <w:next w:val="TableGrid"/>
    <w:uiPriority w:val="39"/>
    <w:locked/>
    <w:rsid w:val="00A71942"/>
    <w:pPr>
      <w:spacing w:after="0" w:line="240" w:lineRule="auto"/>
      <w:jc w:val="left"/>
    </w:pPr>
    <w:rPr>
      <w:rFonts w:ascii="Times New Roman" w:eastAsia="Times New Roman" w:hAnsi="Times New Roman" w:cs="Times New Roman"/>
      <w:color w:val="auto"/>
      <w:lang w:val="en-IE" w:eastAsia="en-GB"/>
    </w:rPr>
    <w:tblPr/>
  </w:style>
  <w:style w:type="paragraph" w:customStyle="1" w:styleId="Declassification">
    <w:name w:val="Declassification"/>
    <w:basedOn w:val="Normal"/>
    <w:next w:val="Normal"/>
    <w:uiPriority w:val="1"/>
    <w:rsid w:val="1FC5E705"/>
    <w:pPr>
      <w:spacing w:after="0"/>
    </w:pPr>
    <w:rPr>
      <w:rFonts w:eastAsia="Calibri"/>
      <w:color w:val="auto"/>
    </w:rPr>
  </w:style>
  <w:style w:type="paragraph" w:customStyle="1" w:styleId="HeaderLandscape">
    <w:name w:val="HeaderLandscape"/>
    <w:basedOn w:val="Normal"/>
    <w:uiPriority w:val="1"/>
    <w:rsid w:val="1FC5E705"/>
    <w:pPr>
      <w:tabs>
        <w:tab w:val="center" w:pos="7285"/>
        <w:tab w:val="right" w:pos="14003"/>
      </w:tabs>
    </w:pPr>
    <w:rPr>
      <w:rFonts w:eastAsia="Calibri"/>
      <w:color w:val="auto"/>
    </w:rPr>
  </w:style>
  <w:style w:type="paragraph" w:customStyle="1" w:styleId="HeaderSensitivity">
    <w:name w:val="Header Sensitivity"/>
    <w:basedOn w:val="Normal"/>
    <w:link w:val="HeaderSensitivityChar"/>
    <w:rsid w:val="1FC5E70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FooterLandscape">
    <w:name w:val="FooterLandscape"/>
    <w:basedOn w:val="Normal"/>
    <w:uiPriority w:val="1"/>
    <w:rsid w:val="1FC5E705"/>
    <w:pPr>
      <w:tabs>
        <w:tab w:val="center" w:pos="7285"/>
        <w:tab w:val="center" w:pos="10913"/>
        <w:tab w:val="right" w:pos="15137"/>
      </w:tabs>
      <w:spacing w:before="360" w:after="0"/>
      <w:ind w:left="-567" w:right="-567"/>
    </w:pPr>
    <w:rPr>
      <w:rFonts w:eastAsia="Calibri"/>
      <w:color w:val="auto"/>
    </w:rPr>
  </w:style>
  <w:style w:type="paragraph" w:customStyle="1" w:styleId="FooterSensitivity">
    <w:name w:val="Footer Sensitivity"/>
    <w:basedOn w:val="Normal"/>
    <w:link w:val="FooterSensitivityChar"/>
    <w:rsid w:val="1FC5E70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HeaderSensitivityRight">
    <w:name w:val="Header Sensitivity Right"/>
    <w:basedOn w:val="Normal"/>
    <w:link w:val="HeaderSensitivityRightChar"/>
    <w:rsid w:val="1FC5E705"/>
    <w:pPr>
      <w:spacing w:before="0" w:line="240" w:lineRule="auto"/>
      <w:jc w:val="right"/>
    </w:pPr>
    <w:rPr>
      <w:sz w:val="28"/>
    </w:rPr>
  </w:style>
  <w:style w:type="character" w:customStyle="1" w:styleId="HeaderSensitivityRightChar">
    <w:name w:val="Header Sensitivity Right Char"/>
    <w:link w:val="HeaderSensitivityRight"/>
    <w:rsid w:val="00A71942"/>
    <w:rPr>
      <w:rFonts w:ascii="Times New Roman" w:hAnsi="Times New Roman" w:cs="Times New Roman"/>
      <w:sz w:val="28"/>
      <w:szCs w:val="24"/>
    </w:rPr>
  </w:style>
  <w:style w:type="paragraph" w:customStyle="1" w:styleId="BodyA">
    <w:name w:val="Body A"/>
    <w:link w:val="BodyAChar"/>
    <w:locked/>
    <w:rsid w:val="00A71942"/>
    <w:pPr>
      <w:pBdr>
        <w:top w:val="nil"/>
        <w:left w:val="nil"/>
        <w:bottom w:val="nil"/>
        <w:right w:val="nil"/>
        <w:between w:val="nil"/>
        <w:bar w:val="nil"/>
      </w:pBdr>
      <w:spacing w:after="200" w:line="276" w:lineRule="auto"/>
      <w:jc w:val="left"/>
    </w:pPr>
    <w:rPr>
      <w:rFonts w:ascii="Times New Roman" w:eastAsia="Times New Roman" w:hAnsi="Times New Roman" w:cs="Times New Roman"/>
      <w:color w:val="000000"/>
      <w:sz w:val="24"/>
      <w:szCs w:val="24"/>
      <w:u w:color="000000"/>
      <w:bdr w:val="nil"/>
      <w:lang w:val="en-US" w:eastAsia="fr-BE"/>
    </w:rPr>
  </w:style>
  <w:style w:type="character" w:customStyle="1" w:styleId="BodyAChar">
    <w:name w:val="Body A Char"/>
    <w:link w:val="BodyA"/>
    <w:rsid w:val="00A71942"/>
    <w:rPr>
      <w:rFonts w:ascii="Times New Roman" w:eastAsia="Times New Roman" w:hAnsi="Times New Roman" w:cs="Times New Roman"/>
      <w:color w:val="000000"/>
      <w:sz w:val="24"/>
      <w:szCs w:val="24"/>
      <w:u w:color="000000"/>
      <w:bdr w:val="nil"/>
      <w:lang w:val="en-US" w:eastAsia="fr-BE"/>
    </w:rPr>
  </w:style>
  <w:style w:type="character" w:customStyle="1" w:styleId="None">
    <w:name w:val="None"/>
    <w:locked/>
    <w:rsid w:val="00A71942"/>
  </w:style>
  <w:style w:type="character" w:customStyle="1" w:styleId="Hyperlink0">
    <w:name w:val="Hyperlink.0"/>
    <w:locked/>
    <w:rsid w:val="00A71942"/>
    <w:rPr>
      <w:color w:val="0000FF"/>
      <w:sz w:val="18"/>
      <w:szCs w:val="18"/>
      <w:u w:val="single" w:color="0000FF"/>
    </w:rPr>
  </w:style>
  <w:style w:type="character" w:customStyle="1" w:styleId="Bodytext20">
    <w:name w:val="Body text|2"/>
    <w:semiHidden/>
    <w:unhideWhenUsed/>
    <w:locked/>
    <w:rsid w:val="00A71942"/>
    <w:rPr>
      <w:rFonts w:ascii="Times New Roman" w:eastAsia="Times New Roman" w:hAnsi="Times New Roman" w:cs="Times New Roman"/>
      <w:b w:val="0"/>
      <w:bCs w:val="0"/>
      <w:i w:val="0"/>
      <w:iCs w:val="0"/>
      <w:smallCaps w:val="0"/>
      <w:strike w:val="0"/>
      <w:color w:val="28292A"/>
      <w:spacing w:val="0"/>
      <w:w w:val="100"/>
      <w:position w:val="0"/>
      <w:sz w:val="22"/>
      <w:szCs w:val="22"/>
      <w:u w:val="none"/>
      <w:lang w:val="en-US" w:eastAsia="en-US" w:bidi="en-US"/>
    </w:rPr>
  </w:style>
  <w:style w:type="numbering" w:customStyle="1" w:styleId="NumbLstMain">
    <w:name w:val="NumbLstMain"/>
    <w:uiPriority w:val="99"/>
    <w:locked/>
    <w:rsid w:val="00A71942"/>
    <w:pPr>
      <w:numPr>
        <w:numId w:val="22"/>
      </w:numPr>
    </w:pPr>
  </w:style>
  <w:style w:type="paragraph" w:customStyle="1" w:styleId="Languesfaisantfoi">
    <w:name w:val="Langues faisant foi"/>
    <w:basedOn w:val="Normal"/>
    <w:next w:val="Normal"/>
    <w:uiPriority w:val="1"/>
    <w:rsid w:val="1FC5E705"/>
    <w:pPr>
      <w:spacing w:before="360"/>
      <w:jc w:val="center"/>
    </w:pPr>
    <w:rPr>
      <w:rFonts w:eastAsia="Calibri"/>
      <w:color w:val="auto"/>
    </w:rPr>
  </w:style>
  <w:style w:type="paragraph" w:customStyle="1" w:styleId="FootnotesymbolCarZchn">
    <w:name w:val="Footnote symbol Car Zchn"/>
    <w:basedOn w:val="Normal"/>
    <w:uiPriority w:val="99"/>
    <w:qFormat/>
    <w:rsid w:val="1FC5E705"/>
    <w:pPr>
      <w:spacing w:after="160"/>
    </w:pPr>
    <w:rPr>
      <w:rFonts w:ascii="Calibri" w:eastAsia="Calibri" w:hAnsi="Calibri" w:cs="Arial"/>
      <w:color w:val="auto"/>
      <w:sz w:val="22"/>
      <w:szCs w:val="22"/>
      <w:vertAlign w:val="superscript"/>
      <w:lang w:val="en-IE"/>
    </w:rPr>
  </w:style>
  <w:style w:type="paragraph" w:customStyle="1" w:styleId="LegalNumPar">
    <w:name w:val="LegalNumPar"/>
    <w:basedOn w:val="Normal"/>
    <w:uiPriority w:val="1"/>
    <w:qFormat/>
    <w:rsid w:val="1FC5E705"/>
    <w:pPr>
      <w:numPr>
        <w:numId w:val="23"/>
      </w:numPr>
    </w:pPr>
    <w:rPr>
      <w:rFonts w:eastAsia="Calibri"/>
      <w:color w:val="auto"/>
    </w:rPr>
  </w:style>
  <w:style w:type="paragraph" w:customStyle="1" w:styleId="LegalNumPar2">
    <w:name w:val="LegalNumPar2"/>
    <w:basedOn w:val="Normal"/>
    <w:uiPriority w:val="1"/>
    <w:rsid w:val="1FC5E705"/>
    <w:pPr>
      <w:numPr>
        <w:ilvl w:val="1"/>
        <w:numId w:val="23"/>
      </w:numPr>
    </w:pPr>
    <w:rPr>
      <w:rFonts w:eastAsia="Calibri"/>
      <w:color w:val="auto"/>
    </w:rPr>
  </w:style>
  <w:style w:type="paragraph" w:customStyle="1" w:styleId="LegalNumPar3">
    <w:name w:val="LegalNumPar3"/>
    <w:basedOn w:val="Normal"/>
    <w:uiPriority w:val="1"/>
    <w:rsid w:val="1FC5E705"/>
    <w:pPr>
      <w:numPr>
        <w:ilvl w:val="2"/>
        <w:numId w:val="23"/>
      </w:numPr>
    </w:pPr>
    <w:rPr>
      <w:rFonts w:eastAsia="Calibri"/>
      <w:color w:val="auto"/>
    </w:rPr>
  </w:style>
  <w:style w:type="character" w:customStyle="1" w:styleId="superscript">
    <w:name w:val="superscript"/>
    <w:basedOn w:val="DefaultParagraphFont"/>
    <w:rsid w:val="00A71942"/>
  </w:style>
  <w:style w:type="paragraph" w:customStyle="1" w:styleId="Heading3Times">
    <w:name w:val="Heading 3 Times"/>
    <w:basedOn w:val="Normal"/>
    <w:link w:val="Heading3TimesChar"/>
    <w:uiPriority w:val="1"/>
    <w:qFormat/>
    <w:rsid w:val="1FC5E705"/>
    <w:pPr>
      <w:keepNext/>
      <w:spacing w:before="240"/>
      <w:ind w:left="360" w:hanging="360"/>
    </w:pPr>
    <w:rPr>
      <w:rFonts w:eastAsia="Times New Roman"/>
      <w:i/>
      <w:iCs/>
      <w:smallCaps/>
      <w:color w:val="auto"/>
    </w:rPr>
  </w:style>
  <w:style w:type="character" w:customStyle="1" w:styleId="Heading3TimesChar">
    <w:name w:val="Heading 3 Times Char"/>
    <w:link w:val="Heading3Times"/>
    <w:uiPriority w:val="1"/>
    <w:rsid w:val="00A71942"/>
    <w:rPr>
      <w:rFonts w:ascii="Times New Roman" w:eastAsia="Times New Roman" w:hAnsi="Times New Roman" w:cs="Times New Roman"/>
      <w:i/>
      <w:iCs/>
      <w:smallCaps/>
      <w:color w:val="auto"/>
      <w:kern w:val="2"/>
      <w:sz w:val="24"/>
      <w:szCs w:val="24"/>
    </w:rPr>
  </w:style>
  <w:style w:type="character" w:customStyle="1" w:styleId="Text2Char">
    <w:name w:val="Text 2 Char"/>
    <w:basedOn w:val="DefaultParagraphFont"/>
    <w:link w:val="Text2"/>
    <w:uiPriority w:val="1"/>
    <w:rsid w:val="00A71942"/>
    <w:rPr>
      <w:rFonts w:ascii="Times New Roman" w:eastAsia="Times New Roman" w:hAnsi="Times New Roman" w:cs="Times New Roman"/>
      <w:color w:val="auto"/>
      <w:sz w:val="24"/>
    </w:rPr>
  </w:style>
  <w:style w:type="paragraph" w:customStyle="1" w:styleId="Text4">
    <w:name w:val="Text 4"/>
    <w:basedOn w:val="Normal"/>
    <w:uiPriority w:val="1"/>
    <w:qFormat/>
    <w:rsid w:val="1FC5E705"/>
    <w:pPr>
      <w:tabs>
        <w:tab w:val="num" w:pos="2608"/>
      </w:tabs>
      <w:spacing w:after="240"/>
      <w:ind w:left="2608" w:hanging="709"/>
    </w:pPr>
    <w:rPr>
      <w:rFonts w:ascii="Times New Roman,Italic" w:eastAsia="Times New Roman,Italic" w:hAnsi="Times New Roman,Italic" w:cs="Times New Roman,Italic"/>
      <w:color w:val="auto"/>
      <w:lang w:val="en-US" w:eastAsia="en-IE"/>
    </w:rPr>
  </w:style>
  <w:style w:type="character" w:customStyle="1" w:styleId="BodyPlaceholderText">
    <w:name w:val="BodyPlaceholderText"/>
    <w:basedOn w:val="PlaceholderText"/>
    <w:semiHidden/>
    <w:rsid w:val="00A71942"/>
    <w:rPr>
      <w:color w:val="3366CC"/>
    </w:rPr>
  </w:style>
  <w:style w:type="character" w:customStyle="1" w:styleId="CrossReference">
    <w:name w:val="Cross Reference"/>
    <w:basedOn w:val="DefaultParagraphFont"/>
    <w:uiPriority w:val="2"/>
    <w:rsid w:val="00A71942"/>
    <w:rPr>
      <w:i/>
    </w:rPr>
  </w:style>
  <w:style w:type="character" w:customStyle="1" w:styleId="InstructionBlue">
    <w:name w:val="InstructionBlue"/>
    <w:uiPriority w:val="1"/>
    <w:rsid w:val="00A71942"/>
    <w:rPr>
      <w:i/>
      <w:color w:val="3366CC"/>
    </w:rPr>
  </w:style>
  <w:style w:type="character" w:customStyle="1" w:styleId="InstructionPlaceholder">
    <w:name w:val="InstructionPlaceholder"/>
    <w:uiPriority w:val="1"/>
    <w:rsid w:val="00A71942"/>
    <w:rPr>
      <w:color w:val="CB3535"/>
    </w:rPr>
  </w:style>
  <w:style w:type="character" w:customStyle="1" w:styleId="InstructionRed">
    <w:name w:val="InstructionRed"/>
    <w:uiPriority w:val="1"/>
    <w:rsid w:val="00A71942"/>
    <w:rPr>
      <w:i/>
      <w:color w:val="CB3535"/>
    </w:rPr>
  </w:style>
  <w:style w:type="character" w:customStyle="1" w:styleId="MarkingLabel">
    <w:name w:val="MarkingLabel"/>
    <w:semiHidden/>
    <w:rsid w:val="00A71942"/>
    <w:rPr>
      <w:b/>
      <w:caps/>
      <w:sz w:val="28"/>
    </w:rPr>
  </w:style>
  <w:style w:type="character" w:customStyle="1" w:styleId="MarkingText">
    <w:name w:val="MarkingText"/>
    <w:semiHidden/>
    <w:rsid w:val="00A71942"/>
    <w:rPr>
      <w:i/>
      <w:sz w:val="28"/>
    </w:rPr>
  </w:style>
  <w:style w:type="paragraph" w:customStyle="1" w:styleId="AfterTable">
    <w:name w:val="After Table"/>
    <w:semiHidden/>
    <w:rsid w:val="00A71942"/>
    <w:pPr>
      <w:spacing w:before="120" w:after="0" w:line="240" w:lineRule="auto"/>
      <w:jc w:val="left"/>
    </w:pPr>
    <w:rPr>
      <w:rFonts w:ascii="Times New Roman,Italic" w:eastAsia="Times New Roman,Italic" w:hAnsi="Times New Roman,Italic" w:cs="Times New Roman,Italic"/>
      <w:color w:val="auto"/>
      <w:sz w:val="4"/>
      <w:szCs w:val="24"/>
      <w:lang w:eastAsia="en-IE"/>
    </w:rPr>
  </w:style>
  <w:style w:type="paragraph" w:customStyle="1" w:styleId="AnnexTitle0">
    <w:name w:val="AnnexTitle"/>
    <w:basedOn w:val="Normal"/>
    <w:next w:val="Normal"/>
    <w:uiPriority w:val="1"/>
    <w:qFormat/>
    <w:rsid w:val="1FC5E705"/>
    <w:pPr>
      <w:pageBreakBefore/>
      <w:spacing w:after="480"/>
      <w:ind w:left="360" w:hanging="360"/>
      <w:outlineLvl w:val="0"/>
    </w:pPr>
    <w:rPr>
      <w:rFonts w:ascii="Times New Roman,Italic" w:eastAsia="Yu Gothic Light" w:hAnsi="Times New Roman,Italic" w:cs="Yu Gothic Light"/>
      <w:b/>
      <w:bCs/>
      <w:color w:val="auto"/>
      <w:sz w:val="32"/>
      <w:szCs w:val="32"/>
      <w:lang w:val="en-US" w:eastAsia="en-IE"/>
    </w:rPr>
  </w:style>
  <w:style w:type="paragraph" w:customStyle="1" w:styleId="ChapterTitle">
    <w:name w:val="ChapterTitle"/>
    <w:basedOn w:val="Normal"/>
    <w:next w:val="SectionTitle"/>
    <w:uiPriority w:val="1"/>
    <w:qFormat/>
    <w:rsid w:val="1FC5E705"/>
    <w:pPr>
      <w:keepNext/>
      <w:spacing w:after="480"/>
      <w:jc w:val="center"/>
      <w:outlineLvl w:val="0"/>
    </w:pPr>
    <w:rPr>
      <w:rFonts w:ascii="Times New Roman,Italic" w:eastAsia="Times New Roman,Italic" w:hAnsi="Times New Roman,Italic" w:cs="Times New Roman,Italic"/>
      <w:b/>
      <w:bCs/>
      <w:color w:val="auto"/>
      <w:sz w:val="32"/>
      <w:szCs w:val="32"/>
      <w:lang w:val="en-US" w:eastAsia="en-IE"/>
    </w:rPr>
  </w:style>
  <w:style w:type="paragraph" w:customStyle="1" w:styleId="SectionTitle">
    <w:name w:val="SectionTitle"/>
    <w:basedOn w:val="Normal"/>
    <w:next w:val="Heading1"/>
    <w:uiPriority w:val="1"/>
    <w:qFormat/>
    <w:rsid w:val="1FC5E705"/>
    <w:pPr>
      <w:keepNext/>
      <w:spacing w:after="480"/>
      <w:jc w:val="center"/>
      <w:outlineLvl w:val="0"/>
    </w:pPr>
    <w:rPr>
      <w:rFonts w:ascii="Times New Roman,Italic" w:eastAsia="Times New Roman,Italic" w:hAnsi="Times New Roman,Italic" w:cs="Times New Roman,Italic"/>
      <w:b/>
      <w:bCs/>
      <w:smallCaps/>
      <w:color w:val="auto"/>
      <w:sz w:val="28"/>
      <w:szCs w:val="28"/>
      <w:lang w:val="en-US" w:eastAsia="en-IE"/>
    </w:rPr>
  </w:style>
  <w:style w:type="paragraph" w:customStyle="1" w:styleId="ConfidentialUE">
    <w:name w:val="Confidential UE"/>
    <w:basedOn w:val="Normal"/>
    <w:uiPriority w:val="1"/>
    <w:semiHidden/>
    <w:rsid w:val="1FC5E705"/>
    <w:pPr>
      <w:spacing w:after="0"/>
      <w:jc w:val="center"/>
    </w:pPr>
    <w:rPr>
      <w:rFonts w:ascii="Times New Roman,Italic" w:eastAsia="Times New Roman,Italic" w:hAnsi="Times New Roman,Italic" w:cs="Times New Roman,Italic"/>
      <w:b/>
      <w:bCs/>
      <w:caps/>
      <w:color w:val="auto"/>
      <w:sz w:val="32"/>
      <w:szCs w:val="32"/>
      <w:lang w:val="en-US" w:eastAsia="en-IE"/>
    </w:rPr>
  </w:style>
  <w:style w:type="paragraph" w:customStyle="1" w:styleId="Contact">
    <w:name w:val="Contact"/>
    <w:basedOn w:val="Normal"/>
    <w:uiPriority w:val="1"/>
    <w:rsid w:val="1FC5E705"/>
    <w:pPr>
      <w:spacing w:before="480" w:after="0"/>
      <w:ind w:left="567" w:hanging="567"/>
      <w:contextualSpacing/>
    </w:pPr>
    <w:rPr>
      <w:rFonts w:ascii="Times New Roman,Italic" w:eastAsia="Times New Roman,Italic" w:hAnsi="Times New Roman,Italic" w:cs="Times New Roman,Italic"/>
      <w:color w:val="auto"/>
      <w:lang w:val="en-US" w:eastAsia="en-IE"/>
    </w:rPr>
  </w:style>
  <w:style w:type="paragraph" w:customStyle="1" w:styleId="ContNum">
    <w:name w:val="ContNum"/>
    <w:basedOn w:val="Normal"/>
    <w:uiPriority w:val="1"/>
    <w:qFormat/>
    <w:rsid w:val="1FC5E705"/>
    <w:pPr>
      <w:tabs>
        <w:tab w:val="num" w:pos="476"/>
      </w:tabs>
      <w:spacing w:after="240"/>
      <w:ind w:left="476" w:hanging="476"/>
    </w:pPr>
    <w:rPr>
      <w:rFonts w:ascii="Yu Gothic Light" w:eastAsia="RijksoverheidSansText" w:hAnsi="Yu Gothic Light" w:cs="RijksoverheidSansText"/>
      <w:color w:val="auto"/>
      <w:lang w:val="en-US" w:eastAsia="en-IE"/>
    </w:rPr>
  </w:style>
  <w:style w:type="paragraph" w:customStyle="1" w:styleId="ContNumLevel2">
    <w:name w:val="ContNum (Level 2)"/>
    <w:basedOn w:val="Normal"/>
    <w:uiPriority w:val="1"/>
    <w:rsid w:val="1FC5E705"/>
    <w:pPr>
      <w:tabs>
        <w:tab w:val="num" w:pos="952"/>
      </w:tabs>
      <w:spacing w:after="240"/>
      <w:ind w:left="952" w:hanging="476"/>
    </w:pPr>
    <w:rPr>
      <w:rFonts w:ascii="Times New Roman,Italic" w:eastAsia="Times New Roman,Italic" w:hAnsi="Times New Roman,Italic" w:cs="Times New Roman,Italic"/>
      <w:color w:val="auto"/>
      <w:lang w:val="en-US" w:eastAsia="en-IE"/>
    </w:rPr>
  </w:style>
  <w:style w:type="paragraph" w:customStyle="1" w:styleId="ContNumLevel3">
    <w:name w:val="ContNum (Level 3)"/>
    <w:basedOn w:val="Normal"/>
    <w:uiPriority w:val="1"/>
    <w:rsid w:val="1FC5E705"/>
    <w:pPr>
      <w:tabs>
        <w:tab w:val="num" w:pos="1429"/>
      </w:tabs>
      <w:spacing w:after="240"/>
      <w:ind w:left="1429" w:hanging="477"/>
    </w:pPr>
    <w:rPr>
      <w:rFonts w:ascii="Times New Roman,Italic" w:eastAsia="Times New Roman,Italic" w:hAnsi="Times New Roman,Italic" w:cs="Times New Roman,Italic"/>
      <w:color w:val="auto"/>
      <w:lang w:val="en-US" w:eastAsia="en-IE"/>
    </w:rPr>
  </w:style>
  <w:style w:type="paragraph" w:customStyle="1" w:styleId="References">
    <w:name w:val="References"/>
    <w:basedOn w:val="Normal"/>
    <w:uiPriority w:val="1"/>
    <w:rsid w:val="1FC5E705"/>
    <w:pPr>
      <w:numPr>
        <w:ilvl w:val="2"/>
        <w:numId w:val="51"/>
      </w:numPr>
      <w:tabs>
        <w:tab w:val="clear" w:pos="2052"/>
      </w:tabs>
      <w:spacing w:after="240"/>
      <w:ind w:left="0" w:right="-567" w:firstLine="0"/>
      <w:contextualSpacing/>
    </w:pPr>
    <w:rPr>
      <w:rFonts w:ascii="Times New Roman,Italic" w:eastAsia="Times New Roman,Italic" w:hAnsi="Times New Roman,Italic" w:cs="Times New Roman,Italic"/>
      <w:color w:val="auto"/>
      <w:sz w:val="20"/>
      <w:szCs w:val="20"/>
      <w:lang w:val="en-US" w:eastAsia="en-IE"/>
    </w:rPr>
  </w:style>
  <w:style w:type="paragraph" w:customStyle="1" w:styleId="Designator">
    <w:name w:val="Designator"/>
    <w:basedOn w:val="Normal"/>
    <w:uiPriority w:val="1"/>
    <w:semiHidden/>
    <w:rsid w:val="1FC5E705"/>
    <w:pPr>
      <w:spacing w:after="0"/>
      <w:jc w:val="center"/>
    </w:pPr>
    <w:rPr>
      <w:rFonts w:ascii="Times New Roman,Italic" w:eastAsia="Times New Roman,Italic" w:hAnsi="Times New Roman,Italic" w:cs="Times New Roman,Italic"/>
      <w:b/>
      <w:bCs/>
      <w:caps/>
      <w:color w:val="auto"/>
      <w:sz w:val="32"/>
      <w:szCs w:val="32"/>
      <w:lang w:val="en-US" w:eastAsia="en-IE"/>
    </w:rPr>
  </w:style>
  <w:style w:type="paragraph" w:customStyle="1" w:styleId="DoubSign">
    <w:name w:val="DoubSign"/>
    <w:basedOn w:val="Normal"/>
    <w:uiPriority w:val="2"/>
    <w:rsid w:val="1FC5E705"/>
    <w:pPr>
      <w:spacing w:before="1200" w:after="0"/>
    </w:pPr>
    <w:rPr>
      <w:rFonts w:ascii="Times New Roman,Italic" w:eastAsia="Times New Roman,Italic" w:hAnsi="Times New Roman,Italic" w:cs="Times New Roman,Italic"/>
      <w:color w:val="auto"/>
      <w:lang w:val="en-US" w:eastAsia="en-IE"/>
    </w:rPr>
  </w:style>
  <w:style w:type="paragraph" w:customStyle="1" w:styleId="EmptyParagraph">
    <w:name w:val="Empty Paragraph"/>
    <w:basedOn w:val="Normal"/>
    <w:next w:val="Normal"/>
    <w:uiPriority w:val="1"/>
    <w:semiHidden/>
    <w:rsid w:val="1FC5E705"/>
    <w:pPr>
      <w:spacing w:before="240" w:after="240"/>
    </w:pPr>
    <w:rPr>
      <w:rFonts w:ascii="Times New Roman,Italic" w:eastAsia="Times New Roman,Italic" w:hAnsi="Times New Roman,Italic" w:cs="Times New Roman,Italic"/>
      <w:color w:val="auto"/>
      <w:lang w:val="en-US" w:eastAsia="en-IE"/>
    </w:rPr>
  </w:style>
  <w:style w:type="paragraph" w:customStyle="1" w:styleId="FigureBody">
    <w:name w:val="Figure Body"/>
    <w:basedOn w:val="Normal"/>
    <w:next w:val="FigureSource"/>
    <w:uiPriority w:val="2"/>
    <w:rsid w:val="1FC5E705"/>
    <w:pPr>
      <w:keepNext/>
      <w:spacing w:after="40"/>
    </w:pPr>
    <w:rPr>
      <w:rFonts w:ascii="Times New Roman,Italic" w:eastAsia="Times New Roman,Italic" w:hAnsi="Times New Roman,Italic" w:cs="Times New Roman,Italic"/>
      <w:color w:val="auto"/>
      <w:lang w:val="en-US" w:eastAsia="en-IE"/>
    </w:rPr>
  </w:style>
  <w:style w:type="paragraph" w:customStyle="1" w:styleId="FigureSource">
    <w:name w:val="Figure Source"/>
    <w:basedOn w:val="Normal"/>
    <w:next w:val="Normal"/>
    <w:uiPriority w:val="2"/>
    <w:rsid w:val="1FC5E705"/>
    <w:pPr>
      <w:spacing w:after="240"/>
    </w:pPr>
    <w:rPr>
      <w:rFonts w:ascii="Times New Roman,Italic" w:eastAsia="Times New Roman,Italic" w:hAnsi="Times New Roman,Italic" w:cs="Times New Roman,Italic"/>
      <w:color w:val="auto"/>
      <w:sz w:val="20"/>
      <w:szCs w:val="20"/>
      <w:lang w:val="en-US" w:eastAsia="en-IE"/>
    </w:rPr>
  </w:style>
  <w:style w:type="paragraph" w:customStyle="1" w:styleId="FigureBody1">
    <w:name w:val="Figure Body 1"/>
    <w:basedOn w:val="Text1"/>
    <w:next w:val="FigureSource1"/>
    <w:uiPriority w:val="2"/>
    <w:rsid w:val="00A71942"/>
    <w:pPr>
      <w:keepNext/>
      <w:numPr>
        <w:ilvl w:val="3"/>
        <w:numId w:val="49"/>
      </w:numPr>
      <w:tabs>
        <w:tab w:val="clear" w:pos="2835"/>
      </w:tabs>
      <w:spacing w:after="40"/>
      <w:ind w:left="0" w:firstLine="0"/>
    </w:pPr>
    <w:rPr>
      <w:rFonts w:ascii="Times New Roman,Italic" w:eastAsia="Times New Roman,Italic" w:hAnsi="Times New Roman,Italic" w:cs="Times New Roman,Italic"/>
      <w:lang w:val="en-US" w:eastAsia="en-IE"/>
    </w:rPr>
  </w:style>
  <w:style w:type="paragraph" w:customStyle="1" w:styleId="FigureSource1">
    <w:name w:val="Figure Source 1"/>
    <w:basedOn w:val="Text1"/>
    <w:next w:val="Text1"/>
    <w:uiPriority w:val="2"/>
    <w:rsid w:val="00A71942"/>
    <w:pPr>
      <w:tabs>
        <w:tab w:val="num" w:pos="2835"/>
      </w:tabs>
      <w:spacing w:after="240"/>
      <w:ind w:left="2835" w:hanging="709"/>
    </w:pPr>
    <w:rPr>
      <w:rFonts w:ascii="Times New Roman,Italic" w:eastAsia="Times New Roman,Italic" w:hAnsi="Times New Roman,Italic" w:cs="Times New Roman,Italic"/>
      <w:sz w:val="20"/>
      <w:lang w:val="en-US" w:eastAsia="en-IE"/>
    </w:rPr>
  </w:style>
  <w:style w:type="paragraph" w:customStyle="1" w:styleId="FigureBody2">
    <w:name w:val="Figure Body 2"/>
    <w:basedOn w:val="Text2"/>
    <w:next w:val="FigureSource2"/>
    <w:uiPriority w:val="2"/>
    <w:rsid w:val="00A71942"/>
    <w:pPr>
      <w:keepNext/>
      <w:tabs>
        <w:tab w:val="clear" w:pos="2302"/>
      </w:tabs>
      <w:spacing w:after="40"/>
      <w:ind w:left="0"/>
    </w:pPr>
    <w:rPr>
      <w:rFonts w:ascii="Times New Roman,Italic" w:eastAsia="Times New Roman,Italic" w:hAnsi="Times New Roman,Italic" w:cs="Times New Roman,Italic"/>
      <w:lang w:val="en-US" w:eastAsia="en-IE"/>
    </w:rPr>
  </w:style>
  <w:style w:type="paragraph" w:customStyle="1" w:styleId="FigureSource2">
    <w:name w:val="Figure Source 2"/>
    <w:basedOn w:val="Text2"/>
    <w:next w:val="Text2"/>
    <w:uiPriority w:val="2"/>
    <w:rsid w:val="00A71942"/>
    <w:pPr>
      <w:tabs>
        <w:tab w:val="clear" w:pos="2302"/>
      </w:tabs>
      <w:spacing w:after="240"/>
      <w:ind w:left="0"/>
    </w:pPr>
    <w:rPr>
      <w:rFonts w:ascii="Times New Roman,Italic" w:eastAsia="Times New Roman,Italic" w:hAnsi="Times New Roman,Italic" w:cs="Times New Roman,Italic"/>
      <w:sz w:val="20"/>
      <w:lang w:val="en-US" w:eastAsia="en-IE"/>
    </w:rPr>
  </w:style>
  <w:style w:type="paragraph" w:customStyle="1" w:styleId="FigureBody3">
    <w:name w:val="Figure Body 3"/>
    <w:basedOn w:val="Text3"/>
    <w:next w:val="FigureSource3"/>
    <w:uiPriority w:val="2"/>
    <w:rsid w:val="00A71942"/>
    <w:pPr>
      <w:keepNext/>
      <w:tabs>
        <w:tab w:val="clear" w:pos="2302"/>
        <w:tab w:val="num" w:pos="1899"/>
      </w:tabs>
      <w:spacing w:after="40"/>
      <w:ind w:left="1899" w:hanging="708"/>
    </w:pPr>
    <w:rPr>
      <w:rFonts w:ascii="Times New Roman,Italic" w:eastAsia="Times New Roman,Italic" w:hAnsi="Times New Roman,Italic" w:cs="Times New Roman,Italic"/>
      <w:lang w:val="en-US" w:eastAsia="en-IE"/>
    </w:rPr>
  </w:style>
  <w:style w:type="paragraph" w:customStyle="1" w:styleId="FigureSource3">
    <w:name w:val="Figure Source 3"/>
    <w:basedOn w:val="Text3"/>
    <w:next w:val="Text3"/>
    <w:uiPriority w:val="2"/>
    <w:rsid w:val="00A71942"/>
    <w:pPr>
      <w:tabs>
        <w:tab w:val="clear" w:pos="2302"/>
        <w:tab w:val="num" w:pos="2608"/>
      </w:tabs>
      <w:ind w:left="2608" w:hanging="709"/>
    </w:pPr>
    <w:rPr>
      <w:rFonts w:ascii="Times New Roman,Italic" w:eastAsia="Times New Roman,Italic" w:hAnsi="Times New Roman,Italic" w:cs="Times New Roman,Italic"/>
      <w:sz w:val="20"/>
      <w:lang w:val="en-US" w:eastAsia="en-IE"/>
    </w:rPr>
  </w:style>
  <w:style w:type="paragraph" w:customStyle="1" w:styleId="FigureBody4">
    <w:name w:val="Figure Body 4"/>
    <w:basedOn w:val="Text4"/>
    <w:next w:val="FigureSource4"/>
    <w:uiPriority w:val="2"/>
    <w:rsid w:val="00A71942"/>
    <w:pPr>
      <w:keepNext/>
      <w:numPr>
        <w:ilvl w:val="1"/>
        <w:numId w:val="43"/>
      </w:numPr>
      <w:tabs>
        <w:tab w:val="clear" w:pos="1769"/>
      </w:tabs>
      <w:spacing w:after="40"/>
      <w:ind w:left="0" w:firstLine="0"/>
    </w:pPr>
    <w:rPr>
      <w:rFonts w:ascii="CharisSIL" w:hAnsi="CharisSIL"/>
    </w:rPr>
  </w:style>
  <w:style w:type="paragraph" w:customStyle="1" w:styleId="FigureSource4">
    <w:name w:val="Figure Source 4"/>
    <w:basedOn w:val="Text4"/>
    <w:next w:val="Text4"/>
    <w:uiPriority w:val="2"/>
    <w:rsid w:val="00A71942"/>
    <w:rPr>
      <w:sz w:val="20"/>
    </w:rPr>
  </w:style>
  <w:style w:type="paragraph" w:customStyle="1" w:styleId="FigureTitle0">
    <w:name w:val="Figure Title"/>
    <w:basedOn w:val="Normal"/>
    <w:next w:val="FigureBody"/>
    <w:uiPriority w:val="2"/>
    <w:rsid w:val="1FC5E705"/>
    <w:pPr>
      <w:keepNext/>
    </w:pPr>
    <w:rPr>
      <w:rFonts w:ascii="Times New Roman,Italic" w:eastAsia="Times New Roman,Italic" w:hAnsi="Times New Roman,Italic" w:cs="Times New Roman,Italic"/>
      <w:b/>
      <w:bCs/>
      <w:i/>
      <w:iCs/>
      <w:color w:val="auto"/>
      <w:lang w:val="en-US" w:eastAsia="en-IE"/>
    </w:rPr>
  </w:style>
  <w:style w:type="paragraph" w:customStyle="1" w:styleId="FigureTitle1">
    <w:name w:val="Figure Title 1"/>
    <w:basedOn w:val="Text1"/>
    <w:next w:val="FigureBody1"/>
    <w:uiPriority w:val="2"/>
    <w:rsid w:val="00A71942"/>
    <w:pPr>
      <w:keepNext/>
      <w:numPr>
        <w:ilvl w:val="1"/>
        <w:numId w:val="44"/>
      </w:numPr>
      <w:tabs>
        <w:tab w:val="clear" w:pos="1769"/>
      </w:tabs>
      <w:ind w:left="0" w:firstLine="0"/>
    </w:pPr>
    <w:rPr>
      <w:rFonts w:ascii="CharisSIL" w:eastAsia="Times New Roman,Italic" w:hAnsi="CharisSIL" w:cs="Times New Roman,Italic"/>
      <w:b/>
      <w:i/>
      <w:lang w:val="en-US" w:eastAsia="en-IE"/>
    </w:rPr>
  </w:style>
  <w:style w:type="paragraph" w:customStyle="1" w:styleId="FigureTitle2">
    <w:name w:val="Figure Title 2"/>
    <w:basedOn w:val="Text2"/>
    <w:next w:val="FigureBody2"/>
    <w:uiPriority w:val="2"/>
    <w:rsid w:val="00A71942"/>
    <w:pPr>
      <w:keepNext/>
      <w:tabs>
        <w:tab w:val="clear" w:pos="2302"/>
      </w:tabs>
      <w:ind w:left="0"/>
    </w:pPr>
    <w:rPr>
      <w:rFonts w:ascii="Times New Roman,Italic" w:eastAsia="Times New Roman,Italic" w:hAnsi="Times New Roman,Italic" w:cs="Times New Roman,Italic"/>
      <w:b/>
      <w:i/>
      <w:lang w:val="en-US" w:eastAsia="en-IE"/>
    </w:rPr>
  </w:style>
  <w:style w:type="paragraph" w:customStyle="1" w:styleId="FigureTitle3">
    <w:name w:val="Figure Title 3"/>
    <w:basedOn w:val="Text3"/>
    <w:next w:val="FigureBody3"/>
    <w:uiPriority w:val="2"/>
    <w:rsid w:val="00A71942"/>
    <w:pPr>
      <w:keepNext/>
      <w:tabs>
        <w:tab w:val="clear" w:pos="2302"/>
        <w:tab w:val="num" w:pos="1899"/>
      </w:tabs>
      <w:spacing w:after="120"/>
      <w:ind w:left="1899" w:hanging="708"/>
    </w:pPr>
    <w:rPr>
      <w:rFonts w:ascii="Times New Roman,Italic" w:eastAsia="Times New Roman,Italic" w:hAnsi="Times New Roman,Italic" w:cs="Times New Roman,Italic"/>
      <w:b/>
      <w:i/>
      <w:lang w:val="en-US" w:eastAsia="en-IE"/>
    </w:rPr>
  </w:style>
  <w:style w:type="paragraph" w:customStyle="1" w:styleId="FigureTitle4">
    <w:name w:val="Figure Title 4"/>
    <w:basedOn w:val="Text4"/>
    <w:next w:val="FigureBody4"/>
    <w:uiPriority w:val="2"/>
    <w:rsid w:val="00A71942"/>
    <w:pPr>
      <w:keepNext/>
      <w:tabs>
        <w:tab w:val="clear" w:pos="2608"/>
        <w:tab w:val="num" w:pos="1899"/>
      </w:tabs>
      <w:spacing w:after="120"/>
      <w:ind w:left="1899" w:hanging="708"/>
    </w:pPr>
    <w:rPr>
      <w:b/>
      <w:i/>
    </w:rPr>
  </w:style>
  <w:style w:type="paragraph" w:customStyle="1" w:styleId="FooterLine">
    <w:name w:val="Footer Line"/>
    <w:basedOn w:val="Footer"/>
    <w:next w:val="Footer"/>
    <w:uiPriority w:val="2"/>
    <w:rsid w:val="00A71942"/>
    <w:pPr>
      <w:tabs>
        <w:tab w:val="center" w:pos="4535"/>
        <w:tab w:val="right" w:pos="9071"/>
        <w:tab w:val="right" w:pos="9921"/>
      </w:tabs>
      <w:spacing w:before="360" w:after="0" w:line="240" w:lineRule="auto"/>
      <w:ind w:left="-850" w:right="-850"/>
      <w:jc w:val="both"/>
    </w:pPr>
    <w:rPr>
      <w:rFonts w:eastAsia="Calibri"/>
      <w:color w:val="auto"/>
      <w:sz w:val="24"/>
    </w:rPr>
  </w:style>
  <w:style w:type="paragraph" w:customStyle="1" w:styleId="HistoryTable">
    <w:name w:val="HistoryTable"/>
    <w:basedOn w:val="Normal"/>
    <w:uiPriority w:val="2"/>
    <w:rsid w:val="1FC5E705"/>
    <w:pPr>
      <w:spacing w:before="60" w:after="60"/>
    </w:pPr>
    <w:rPr>
      <w:rFonts w:ascii="Times New Roman,Italic" w:eastAsia="Times New Roman,Italic" w:hAnsi="Times New Roman,Italic" w:cs="Times New Roman,Italic"/>
      <w:color w:val="auto"/>
      <w:sz w:val="20"/>
      <w:szCs w:val="20"/>
      <w:lang w:val="en-US" w:eastAsia="en-IE"/>
    </w:rPr>
  </w:style>
  <w:style w:type="paragraph" w:customStyle="1" w:styleId="HistTableHeading">
    <w:name w:val="HistTableHeading"/>
    <w:basedOn w:val="Normal"/>
    <w:next w:val="HistoryTable"/>
    <w:uiPriority w:val="2"/>
    <w:rsid w:val="1FC5E705"/>
    <w:pPr>
      <w:spacing w:before="240" w:after="240"/>
      <w:ind w:left="360" w:hanging="360"/>
      <w:jc w:val="center"/>
    </w:pPr>
    <w:rPr>
      <w:rFonts w:ascii="Arial" w:eastAsia="Times New Roman,Italic" w:hAnsi="Arial" w:cs="Times New Roman,Italic"/>
      <w:b/>
      <w:bCs/>
      <w:caps/>
      <w:color w:val="auto"/>
      <w:lang w:val="en-US" w:eastAsia="en-IE"/>
    </w:rPr>
  </w:style>
  <w:style w:type="paragraph" w:customStyle="1" w:styleId="ListBulletLevel2">
    <w:name w:val="List Bullet (Level 2)"/>
    <w:basedOn w:val="Normal"/>
    <w:uiPriority w:val="1"/>
    <w:rsid w:val="1FC5E705"/>
    <w:pPr>
      <w:tabs>
        <w:tab w:val="num" w:pos="952"/>
      </w:tabs>
      <w:spacing w:after="240"/>
      <w:ind w:left="952" w:hanging="476"/>
    </w:pPr>
    <w:rPr>
      <w:rFonts w:ascii="Times New Roman,Italic" w:eastAsia="Times New Roman,Italic" w:hAnsi="Times New Roman,Italic" w:cs="Times New Roman,Italic"/>
      <w:color w:val="auto"/>
      <w:lang w:val="en-US" w:eastAsia="en-IE"/>
    </w:rPr>
  </w:style>
  <w:style w:type="paragraph" w:customStyle="1" w:styleId="ListBulletLevel3">
    <w:name w:val="List Bullet (Level 3)"/>
    <w:basedOn w:val="Normal"/>
    <w:uiPriority w:val="1"/>
    <w:semiHidden/>
    <w:unhideWhenUsed/>
    <w:rsid w:val="1FC5E705"/>
    <w:pPr>
      <w:numPr>
        <w:numId w:val="47"/>
      </w:numPr>
      <w:tabs>
        <w:tab w:val="clear" w:pos="1911"/>
        <w:tab w:val="num" w:pos="850"/>
      </w:tabs>
      <w:spacing w:after="240"/>
      <w:ind w:left="0" w:firstLine="0"/>
    </w:pPr>
    <w:rPr>
      <w:rFonts w:ascii="Times New Roman,Italic" w:eastAsia="Times New Roman,Italic" w:hAnsi="Times New Roman,Italic" w:cs="Times New Roman,Italic"/>
      <w:color w:val="auto"/>
      <w:lang w:val="en-US" w:eastAsia="en-IE"/>
    </w:rPr>
  </w:style>
  <w:style w:type="paragraph" w:customStyle="1" w:styleId="ListBulletLevel4">
    <w:name w:val="List Bullet (Level 4)"/>
    <w:basedOn w:val="Normal"/>
    <w:uiPriority w:val="1"/>
    <w:semiHidden/>
    <w:unhideWhenUsed/>
    <w:rsid w:val="1FC5E705"/>
    <w:pPr>
      <w:tabs>
        <w:tab w:val="num" w:pos="1429"/>
      </w:tabs>
      <w:spacing w:after="240"/>
      <w:ind w:left="1429" w:hanging="477"/>
    </w:pPr>
    <w:rPr>
      <w:rFonts w:ascii="Times New Roman,Italic" w:eastAsia="Times New Roman,Italic" w:hAnsi="Times New Roman,Italic" w:cs="Times New Roman,Italic"/>
      <w:color w:val="auto"/>
      <w:lang w:val="en-US" w:eastAsia="en-IE"/>
    </w:rPr>
  </w:style>
  <w:style w:type="paragraph" w:customStyle="1" w:styleId="ListBullet1">
    <w:name w:val="List Bullet 1"/>
    <w:basedOn w:val="Text1"/>
    <w:uiPriority w:val="1"/>
    <w:rsid w:val="00A71942"/>
    <w:pPr>
      <w:tabs>
        <w:tab w:val="num" w:pos="765"/>
        <w:tab w:val="num" w:pos="2835"/>
      </w:tabs>
      <w:spacing w:after="240"/>
      <w:ind w:left="765" w:hanging="283"/>
    </w:pPr>
    <w:rPr>
      <w:rFonts w:ascii="Yu Gothic Light" w:eastAsia="RijksoverheidSansText" w:hAnsi="Yu Gothic Light" w:cs="RijksoverheidSansText"/>
      <w:lang w:val="en-US" w:eastAsia="en-IE"/>
    </w:rPr>
  </w:style>
  <w:style w:type="paragraph" w:customStyle="1" w:styleId="ListBullet1Level2">
    <w:name w:val="List Bullet 1 (Level 2)"/>
    <w:basedOn w:val="Text1"/>
    <w:uiPriority w:val="1"/>
    <w:rsid w:val="00A71942"/>
    <w:pPr>
      <w:numPr>
        <w:numId w:val="48"/>
      </w:numPr>
      <w:tabs>
        <w:tab w:val="clear" w:pos="1911"/>
        <w:tab w:val="num" w:pos="1049"/>
      </w:tabs>
      <w:spacing w:after="240"/>
      <w:ind w:left="0" w:firstLine="0"/>
    </w:pPr>
    <w:rPr>
      <w:rFonts w:ascii="Times New Roman,Italic" w:eastAsia="Times New Roman,Italic" w:hAnsi="Times New Roman,Italic" w:cs="Times New Roman,Italic"/>
      <w:lang w:val="en-US" w:eastAsia="en-IE"/>
    </w:rPr>
  </w:style>
  <w:style w:type="paragraph" w:customStyle="1" w:styleId="ListBullet1Level3">
    <w:name w:val="List Bullet 1 (Level 3)"/>
    <w:basedOn w:val="Text1"/>
    <w:uiPriority w:val="1"/>
    <w:semiHidden/>
    <w:unhideWhenUsed/>
    <w:rsid w:val="00A71942"/>
    <w:pPr>
      <w:tabs>
        <w:tab w:val="num" w:pos="1332"/>
        <w:tab w:val="num" w:pos="2835"/>
      </w:tabs>
      <w:spacing w:after="240"/>
      <w:ind w:left="1332" w:hanging="283"/>
    </w:pPr>
    <w:rPr>
      <w:rFonts w:ascii="Times New Roman,Italic" w:eastAsia="Times New Roman,Italic" w:hAnsi="Times New Roman,Italic" w:cs="Times New Roman,Italic"/>
      <w:lang w:val="en-US" w:eastAsia="en-IE"/>
    </w:rPr>
  </w:style>
  <w:style w:type="paragraph" w:customStyle="1" w:styleId="ListBullet1Level4">
    <w:name w:val="List Bullet 1 (Level 4)"/>
    <w:basedOn w:val="Text1"/>
    <w:uiPriority w:val="1"/>
    <w:semiHidden/>
    <w:unhideWhenUsed/>
    <w:rsid w:val="00A71942"/>
    <w:pPr>
      <w:tabs>
        <w:tab w:val="num" w:pos="1616"/>
        <w:tab w:val="num" w:pos="2835"/>
      </w:tabs>
      <w:spacing w:after="240"/>
      <w:ind w:left="1616" w:hanging="284"/>
    </w:pPr>
    <w:rPr>
      <w:rFonts w:ascii="Times New Roman,Italic" w:eastAsia="Times New Roman,Italic" w:hAnsi="Times New Roman,Italic" w:cs="Times New Roman,Italic"/>
      <w:lang w:val="en-US" w:eastAsia="en-IE"/>
    </w:rPr>
  </w:style>
  <w:style w:type="paragraph" w:customStyle="1" w:styleId="ListBullet2Level2">
    <w:name w:val="List Bullet 2 (Level 2)"/>
    <w:basedOn w:val="Text2"/>
    <w:uiPriority w:val="1"/>
    <w:rsid w:val="00A71942"/>
    <w:pPr>
      <w:tabs>
        <w:tab w:val="clear" w:pos="2302"/>
        <w:tab w:val="num" w:pos="1769"/>
      </w:tabs>
      <w:spacing w:after="240"/>
      <w:ind w:left="1769" w:hanging="284"/>
    </w:pPr>
    <w:rPr>
      <w:rFonts w:ascii="Times New Roman,Italic" w:eastAsia="Times New Roman,Italic" w:hAnsi="Times New Roman,Italic" w:cs="Times New Roman,Italic"/>
      <w:lang w:val="en-US" w:eastAsia="en-IE"/>
    </w:rPr>
  </w:style>
  <w:style w:type="paragraph" w:customStyle="1" w:styleId="ListBullet2Level3">
    <w:name w:val="List Bullet 2 (Level 3)"/>
    <w:basedOn w:val="Text2"/>
    <w:uiPriority w:val="1"/>
    <w:semiHidden/>
    <w:unhideWhenUsed/>
    <w:rsid w:val="00A71942"/>
    <w:pPr>
      <w:tabs>
        <w:tab w:val="clear" w:pos="2302"/>
        <w:tab w:val="num" w:pos="2052"/>
      </w:tabs>
      <w:spacing w:after="240"/>
      <w:ind w:left="2052" w:hanging="283"/>
    </w:pPr>
    <w:rPr>
      <w:rFonts w:ascii="Times New Roman,Italic" w:eastAsia="Times New Roman,Italic" w:hAnsi="Times New Roman,Italic" w:cs="Times New Roman,Italic"/>
      <w:lang w:val="en-US" w:eastAsia="en-IE"/>
    </w:rPr>
  </w:style>
  <w:style w:type="paragraph" w:customStyle="1" w:styleId="ListBullet2Level4">
    <w:name w:val="List Bullet 2 (Level 4)"/>
    <w:basedOn w:val="Text2"/>
    <w:uiPriority w:val="1"/>
    <w:semiHidden/>
    <w:unhideWhenUsed/>
    <w:rsid w:val="00A71942"/>
    <w:pPr>
      <w:tabs>
        <w:tab w:val="clear" w:pos="2302"/>
        <w:tab w:val="num" w:pos="2336"/>
      </w:tabs>
      <w:spacing w:after="240"/>
      <w:ind w:left="2336" w:hanging="284"/>
    </w:pPr>
    <w:rPr>
      <w:rFonts w:ascii="Times New Roman,Italic" w:eastAsia="Times New Roman,Italic" w:hAnsi="Times New Roman,Italic" w:cs="Times New Roman,Italic"/>
      <w:lang w:val="en-US" w:eastAsia="en-IE"/>
    </w:rPr>
  </w:style>
  <w:style w:type="paragraph" w:customStyle="1" w:styleId="ListBullet3Level2">
    <w:name w:val="List Bullet 3 (Level 2)"/>
    <w:basedOn w:val="Text3"/>
    <w:uiPriority w:val="1"/>
    <w:rsid w:val="00A71942"/>
    <w:pPr>
      <w:tabs>
        <w:tab w:val="clear" w:pos="2302"/>
        <w:tab w:val="num" w:pos="1769"/>
        <w:tab w:val="num" w:pos="1899"/>
      </w:tabs>
      <w:ind w:left="1769" w:hanging="284"/>
    </w:pPr>
    <w:rPr>
      <w:rFonts w:ascii="Times New Roman,Italic" w:eastAsia="Times New Roman,Italic" w:hAnsi="Times New Roman,Italic" w:cs="Times New Roman,Italic"/>
      <w:lang w:val="en-US" w:eastAsia="en-IE"/>
    </w:rPr>
  </w:style>
  <w:style w:type="paragraph" w:customStyle="1" w:styleId="ListBullet3Level3">
    <w:name w:val="List Bullet 3 (Level 3)"/>
    <w:basedOn w:val="Text3"/>
    <w:uiPriority w:val="1"/>
    <w:semiHidden/>
    <w:unhideWhenUsed/>
    <w:rsid w:val="00A71942"/>
    <w:pPr>
      <w:tabs>
        <w:tab w:val="clear" w:pos="2302"/>
        <w:tab w:val="num" w:pos="1899"/>
        <w:tab w:val="num" w:pos="2052"/>
      </w:tabs>
      <w:ind w:left="2052" w:hanging="283"/>
    </w:pPr>
    <w:rPr>
      <w:rFonts w:ascii="Times New Roman,Italic" w:eastAsia="Times New Roman,Italic" w:hAnsi="Times New Roman,Italic" w:cs="Times New Roman,Italic"/>
      <w:lang w:val="en-US" w:eastAsia="en-IE"/>
    </w:rPr>
  </w:style>
  <w:style w:type="paragraph" w:customStyle="1" w:styleId="ListBullet3Level4">
    <w:name w:val="List Bullet 3 (Level 4)"/>
    <w:basedOn w:val="Text3"/>
    <w:uiPriority w:val="1"/>
    <w:semiHidden/>
    <w:unhideWhenUsed/>
    <w:rsid w:val="00A71942"/>
    <w:pPr>
      <w:numPr>
        <w:numId w:val="54"/>
      </w:numPr>
      <w:tabs>
        <w:tab w:val="clear" w:pos="2302"/>
        <w:tab w:val="num" w:pos="2336"/>
      </w:tabs>
      <w:ind w:left="0" w:firstLine="0"/>
    </w:pPr>
    <w:rPr>
      <w:rFonts w:ascii="Times New Roman,Italic" w:eastAsia="Times New Roman,Italic" w:hAnsi="Times New Roman,Italic" w:cs="Times New Roman,Italic"/>
      <w:lang w:val="en-US" w:eastAsia="en-IE"/>
    </w:rPr>
  </w:style>
  <w:style w:type="paragraph" w:customStyle="1" w:styleId="ListBullet4Level2">
    <w:name w:val="List Bullet 4 (Level 2)"/>
    <w:basedOn w:val="Text4"/>
    <w:uiPriority w:val="1"/>
    <w:rsid w:val="00A71942"/>
    <w:pPr>
      <w:tabs>
        <w:tab w:val="num" w:pos="1769"/>
      </w:tabs>
      <w:ind w:left="1769" w:hanging="284"/>
    </w:pPr>
  </w:style>
  <w:style w:type="paragraph" w:customStyle="1" w:styleId="ListBullet4Level3">
    <w:name w:val="List Bullet 4 (Level 3)"/>
    <w:basedOn w:val="Text4"/>
    <w:uiPriority w:val="1"/>
    <w:semiHidden/>
    <w:unhideWhenUsed/>
    <w:rsid w:val="00A71942"/>
    <w:pPr>
      <w:numPr>
        <w:numId w:val="53"/>
      </w:numPr>
      <w:tabs>
        <w:tab w:val="clear" w:pos="476"/>
        <w:tab w:val="num" w:pos="2052"/>
      </w:tabs>
      <w:ind w:left="0" w:firstLine="0"/>
    </w:pPr>
  </w:style>
  <w:style w:type="paragraph" w:customStyle="1" w:styleId="ListBullet4Level4">
    <w:name w:val="List Bullet 4 (Level 4)"/>
    <w:basedOn w:val="Text4"/>
    <w:uiPriority w:val="1"/>
    <w:semiHidden/>
    <w:unhideWhenUsed/>
    <w:rsid w:val="00A71942"/>
    <w:pPr>
      <w:tabs>
        <w:tab w:val="num" w:pos="2336"/>
      </w:tabs>
      <w:ind w:left="2336" w:hanging="284"/>
    </w:pPr>
  </w:style>
  <w:style w:type="paragraph" w:customStyle="1" w:styleId="ListDash">
    <w:name w:val="List Dash"/>
    <w:basedOn w:val="Normal"/>
    <w:uiPriority w:val="1"/>
    <w:rsid w:val="1FC5E705"/>
    <w:pPr>
      <w:numPr>
        <w:ilvl w:val="1"/>
        <w:numId w:val="53"/>
      </w:numPr>
      <w:tabs>
        <w:tab w:val="clear" w:pos="952"/>
        <w:tab w:val="num" w:pos="283"/>
      </w:tabs>
      <w:spacing w:after="240"/>
      <w:ind w:left="0" w:firstLine="0"/>
    </w:pPr>
    <w:rPr>
      <w:rFonts w:ascii="Yu Gothic Light" w:eastAsia="RijksoverheidSansText" w:hAnsi="Yu Gothic Light" w:cs="RijksoverheidSansText"/>
      <w:color w:val="auto"/>
      <w:lang w:val="en-US" w:eastAsia="en-IE"/>
    </w:rPr>
  </w:style>
  <w:style w:type="paragraph" w:customStyle="1" w:styleId="ListDashLevel2">
    <w:name w:val="List Dash (Level 2)"/>
    <w:basedOn w:val="Normal"/>
    <w:uiPriority w:val="1"/>
    <w:rsid w:val="1FC5E705"/>
    <w:pPr>
      <w:tabs>
        <w:tab w:val="num" w:pos="567"/>
      </w:tabs>
      <w:spacing w:after="240"/>
      <w:ind w:left="567" w:hanging="284"/>
    </w:pPr>
    <w:rPr>
      <w:rFonts w:ascii="Times New Roman,Italic" w:eastAsia="Times New Roman,Italic" w:hAnsi="Times New Roman,Italic" w:cs="Times New Roman,Italic"/>
      <w:color w:val="auto"/>
      <w:lang w:val="en-US" w:eastAsia="en-IE"/>
    </w:rPr>
  </w:style>
  <w:style w:type="paragraph" w:customStyle="1" w:styleId="ListDashLevel3">
    <w:name w:val="List Dash (Level 3)"/>
    <w:basedOn w:val="Normal"/>
    <w:uiPriority w:val="1"/>
    <w:semiHidden/>
    <w:unhideWhenUsed/>
    <w:rsid w:val="1FC5E705"/>
    <w:pPr>
      <w:numPr>
        <w:ilvl w:val="2"/>
        <w:numId w:val="53"/>
      </w:numPr>
      <w:tabs>
        <w:tab w:val="clear" w:pos="1429"/>
        <w:tab w:val="num" w:pos="850"/>
      </w:tabs>
      <w:spacing w:after="240"/>
      <w:ind w:left="0" w:firstLine="0"/>
    </w:pPr>
    <w:rPr>
      <w:rFonts w:ascii="Times New Roman,Italic" w:eastAsia="Times New Roman,Italic" w:hAnsi="Times New Roman,Italic" w:cs="Times New Roman,Italic"/>
      <w:color w:val="auto"/>
      <w:lang w:val="en-US" w:eastAsia="en-IE"/>
    </w:rPr>
  </w:style>
  <w:style w:type="paragraph" w:customStyle="1" w:styleId="ListDashLevel4">
    <w:name w:val="List Dash (Level 4)"/>
    <w:basedOn w:val="Normal"/>
    <w:uiPriority w:val="1"/>
    <w:semiHidden/>
    <w:unhideWhenUsed/>
    <w:rsid w:val="1FC5E705"/>
    <w:pPr>
      <w:tabs>
        <w:tab w:val="num" w:pos="1134"/>
      </w:tabs>
      <w:spacing w:after="240"/>
      <w:ind w:left="1134" w:hanging="284"/>
    </w:pPr>
    <w:rPr>
      <w:rFonts w:ascii="Times New Roman,Italic" w:eastAsia="Times New Roman,Italic" w:hAnsi="Times New Roman,Italic" w:cs="Times New Roman,Italic"/>
      <w:color w:val="auto"/>
      <w:lang w:val="en-US" w:eastAsia="en-IE"/>
    </w:rPr>
  </w:style>
  <w:style w:type="paragraph" w:customStyle="1" w:styleId="ListDash1Level2">
    <w:name w:val="List Dash 1 (Level 2)"/>
    <w:basedOn w:val="Text1"/>
    <w:uiPriority w:val="1"/>
    <w:rsid w:val="00A71942"/>
    <w:pPr>
      <w:tabs>
        <w:tab w:val="num" w:pos="1049"/>
        <w:tab w:val="num" w:pos="2835"/>
      </w:tabs>
      <w:spacing w:after="240"/>
      <w:ind w:left="1049" w:hanging="284"/>
    </w:pPr>
    <w:rPr>
      <w:rFonts w:ascii="Times New Roman,Italic" w:eastAsia="Times New Roman,Italic" w:hAnsi="Times New Roman,Italic" w:cs="Times New Roman,Italic"/>
      <w:lang w:val="en-US" w:eastAsia="en-IE"/>
    </w:rPr>
  </w:style>
  <w:style w:type="paragraph" w:customStyle="1" w:styleId="ListDash1Level3">
    <w:name w:val="List Dash 1 (Level 3)"/>
    <w:basedOn w:val="Text1"/>
    <w:uiPriority w:val="1"/>
    <w:semiHidden/>
    <w:unhideWhenUsed/>
    <w:rsid w:val="00A71942"/>
    <w:pPr>
      <w:tabs>
        <w:tab w:val="num" w:pos="1332"/>
        <w:tab w:val="num" w:pos="2835"/>
      </w:tabs>
      <w:spacing w:after="240"/>
      <w:ind w:left="1332" w:hanging="283"/>
    </w:pPr>
    <w:rPr>
      <w:rFonts w:ascii="Times New Roman,Italic" w:eastAsia="Times New Roman,Italic" w:hAnsi="Times New Roman,Italic" w:cs="Times New Roman,Italic"/>
      <w:lang w:val="en-US" w:eastAsia="en-IE"/>
    </w:rPr>
  </w:style>
  <w:style w:type="paragraph" w:customStyle="1" w:styleId="ListDash1Level4">
    <w:name w:val="List Dash 1 (Level 4)"/>
    <w:basedOn w:val="Text1"/>
    <w:uiPriority w:val="1"/>
    <w:semiHidden/>
    <w:unhideWhenUsed/>
    <w:rsid w:val="00A71942"/>
    <w:pPr>
      <w:tabs>
        <w:tab w:val="num" w:pos="1616"/>
        <w:tab w:val="num" w:pos="2835"/>
      </w:tabs>
      <w:spacing w:after="240"/>
      <w:ind w:left="1616" w:hanging="284"/>
    </w:pPr>
    <w:rPr>
      <w:rFonts w:ascii="Times New Roman,Italic" w:eastAsia="Times New Roman,Italic" w:hAnsi="Times New Roman,Italic" w:cs="Times New Roman,Italic"/>
      <w:lang w:val="en-US" w:eastAsia="en-IE"/>
    </w:rPr>
  </w:style>
  <w:style w:type="paragraph" w:customStyle="1" w:styleId="ListDash2">
    <w:name w:val="List Dash 2"/>
    <w:basedOn w:val="Text2"/>
    <w:uiPriority w:val="1"/>
    <w:rsid w:val="00A71942"/>
    <w:pPr>
      <w:tabs>
        <w:tab w:val="clear" w:pos="2302"/>
        <w:tab w:val="num" w:pos="1485"/>
      </w:tabs>
      <w:spacing w:after="240"/>
      <w:ind w:left="1485" w:hanging="283"/>
    </w:pPr>
    <w:rPr>
      <w:rFonts w:ascii="Yu Gothic Light" w:eastAsia="RijksoverheidSansText" w:hAnsi="Yu Gothic Light" w:cs="RijksoverheidSansText"/>
      <w:lang w:val="en-US" w:eastAsia="en-IE"/>
    </w:rPr>
  </w:style>
  <w:style w:type="paragraph" w:customStyle="1" w:styleId="ListDash2Level2">
    <w:name w:val="List Dash 2 (Level 2)"/>
    <w:basedOn w:val="Text2"/>
    <w:uiPriority w:val="1"/>
    <w:rsid w:val="00A71942"/>
    <w:pPr>
      <w:tabs>
        <w:tab w:val="clear" w:pos="2302"/>
        <w:tab w:val="num" w:pos="1769"/>
      </w:tabs>
      <w:spacing w:after="240"/>
      <w:ind w:left="1769" w:hanging="284"/>
    </w:pPr>
    <w:rPr>
      <w:rFonts w:ascii="Times New Roman,Italic" w:eastAsia="Times New Roman,Italic" w:hAnsi="Times New Roman,Italic" w:cs="Times New Roman,Italic"/>
      <w:lang w:val="en-US" w:eastAsia="en-IE"/>
    </w:rPr>
  </w:style>
  <w:style w:type="paragraph" w:customStyle="1" w:styleId="ListDash2Level3">
    <w:name w:val="List Dash 2 (Level 3)"/>
    <w:basedOn w:val="Text2"/>
    <w:uiPriority w:val="1"/>
    <w:semiHidden/>
    <w:unhideWhenUsed/>
    <w:rsid w:val="00A71942"/>
    <w:pPr>
      <w:tabs>
        <w:tab w:val="clear" w:pos="2302"/>
        <w:tab w:val="num" w:pos="2052"/>
      </w:tabs>
      <w:spacing w:after="240"/>
      <w:ind w:left="2052" w:hanging="283"/>
    </w:pPr>
    <w:rPr>
      <w:rFonts w:ascii="Times New Roman,Italic" w:eastAsia="Times New Roman,Italic" w:hAnsi="Times New Roman,Italic" w:cs="Times New Roman,Italic"/>
      <w:lang w:val="en-US" w:eastAsia="en-IE"/>
    </w:rPr>
  </w:style>
  <w:style w:type="paragraph" w:customStyle="1" w:styleId="ListDash2Level4">
    <w:name w:val="List Dash 2 (Level 4)"/>
    <w:basedOn w:val="Text2"/>
    <w:uiPriority w:val="1"/>
    <w:semiHidden/>
    <w:unhideWhenUsed/>
    <w:rsid w:val="00A71942"/>
    <w:pPr>
      <w:tabs>
        <w:tab w:val="clear" w:pos="2302"/>
        <w:tab w:val="num" w:pos="2336"/>
      </w:tabs>
      <w:spacing w:after="240"/>
      <w:ind w:left="2336" w:hanging="284"/>
    </w:pPr>
    <w:rPr>
      <w:rFonts w:ascii="Times New Roman,Italic" w:eastAsia="Times New Roman,Italic" w:hAnsi="Times New Roman,Italic" w:cs="Times New Roman,Italic"/>
      <w:lang w:val="en-US" w:eastAsia="en-IE"/>
    </w:rPr>
  </w:style>
  <w:style w:type="paragraph" w:customStyle="1" w:styleId="ListDash3">
    <w:name w:val="List Dash 3"/>
    <w:basedOn w:val="Text3"/>
    <w:uiPriority w:val="1"/>
    <w:rsid w:val="00A71942"/>
    <w:pPr>
      <w:tabs>
        <w:tab w:val="clear" w:pos="2302"/>
        <w:tab w:val="num" w:pos="1485"/>
        <w:tab w:val="num" w:pos="1899"/>
      </w:tabs>
      <w:ind w:left="1485" w:hanging="283"/>
    </w:pPr>
    <w:rPr>
      <w:rFonts w:ascii="Yu Gothic Light" w:eastAsia="RijksoverheidSansText" w:hAnsi="Yu Gothic Light" w:cs="RijksoverheidSansText"/>
      <w:lang w:val="en-US" w:eastAsia="en-IE"/>
    </w:rPr>
  </w:style>
  <w:style w:type="paragraph" w:customStyle="1" w:styleId="ListDash3Level2">
    <w:name w:val="List Dash 3 (Level 2)"/>
    <w:basedOn w:val="Text3"/>
    <w:uiPriority w:val="1"/>
    <w:rsid w:val="00A71942"/>
    <w:pPr>
      <w:tabs>
        <w:tab w:val="clear" w:pos="2302"/>
        <w:tab w:val="num" w:pos="1769"/>
        <w:tab w:val="num" w:pos="1899"/>
      </w:tabs>
      <w:ind w:left="1769" w:hanging="284"/>
    </w:pPr>
    <w:rPr>
      <w:rFonts w:ascii="Times New Roman,Italic" w:eastAsia="Times New Roman,Italic" w:hAnsi="Times New Roman,Italic" w:cs="Times New Roman,Italic"/>
      <w:lang w:val="en-US" w:eastAsia="en-IE"/>
    </w:rPr>
  </w:style>
  <w:style w:type="paragraph" w:customStyle="1" w:styleId="ListDash3Level3">
    <w:name w:val="List Dash 3 (Level 3)"/>
    <w:basedOn w:val="Text3"/>
    <w:uiPriority w:val="1"/>
    <w:semiHidden/>
    <w:unhideWhenUsed/>
    <w:rsid w:val="00A71942"/>
    <w:pPr>
      <w:tabs>
        <w:tab w:val="clear" w:pos="2302"/>
        <w:tab w:val="num" w:pos="1899"/>
        <w:tab w:val="num" w:pos="2052"/>
      </w:tabs>
      <w:ind w:left="2052" w:hanging="283"/>
    </w:pPr>
    <w:rPr>
      <w:rFonts w:ascii="Times New Roman,Italic" w:eastAsia="Times New Roman,Italic" w:hAnsi="Times New Roman,Italic" w:cs="Times New Roman,Italic"/>
      <w:lang w:val="en-US" w:eastAsia="en-IE"/>
    </w:rPr>
  </w:style>
  <w:style w:type="paragraph" w:customStyle="1" w:styleId="ListDash3Level4">
    <w:name w:val="List Dash 3 (Level 4)"/>
    <w:basedOn w:val="Text3"/>
    <w:uiPriority w:val="1"/>
    <w:semiHidden/>
    <w:unhideWhenUsed/>
    <w:rsid w:val="00A71942"/>
    <w:pPr>
      <w:tabs>
        <w:tab w:val="clear" w:pos="2302"/>
        <w:tab w:val="num" w:pos="476"/>
      </w:tabs>
      <w:ind w:left="476" w:hanging="476"/>
    </w:pPr>
    <w:rPr>
      <w:rFonts w:ascii="CharisSIL" w:eastAsia="Times New Roman,Italic" w:hAnsi="CharisSIL" w:cs="Times New Roman,Italic"/>
      <w:lang w:val="en-US" w:eastAsia="en-IE"/>
    </w:rPr>
  </w:style>
  <w:style w:type="paragraph" w:customStyle="1" w:styleId="ListDash4">
    <w:name w:val="List Dash 4"/>
    <w:basedOn w:val="Text4"/>
    <w:uiPriority w:val="1"/>
    <w:rsid w:val="00A71942"/>
    <w:pPr>
      <w:tabs>
        <w:tab w:val="clear" w:pos="2608"/>
        <w:tab w:val="num" w:pos="952"/>
      </w:tabs>
      <w:ind w:left="952" w:hanging="476"/>
    </w:pPr>
    <w:rPr>
      <w:rFonts w:ascii="Yu Gothic Light" w:eastAsia="RijksoverheidSansText" w:hAnsi="Yu Gothic Light" w:cs="RijksoverheidSansText"/>
    </w:rPr>
  </w:style>
  <w:style w:type="paragraph" w:customStyle="1" w:styleId="ListDash4Level2">
    <w:name w:val="List Dash 4 (Level 2)"/>
    <w:basedOn w:val="Text4"/>
    <w:uiPriority w:val="1"/>
    <w:rsid w:val="00A71942"/>
    <w:pPr>
      <w:tabs>
        <w:tab w:val="clear" w:pos="2608"/>
        <w:tab w:val="num" w:pos="1429"/>
      </w:tabs>
      <w:ind w:left="1429" w:hanging="477"/>
    </w:pPr>
  </w:style>
  <w:style w:type="paragraph" w:customStyle="1" w:styleId="ListDash4Level3">
    <w:name w:val="List Dash 4 (Level 3)"/>
    <w:basedOn w:val="Text4"/>
    <w:uiPriority w:val="1"/>
    <w:semiHidden/>
    <w:unhideWhenUsed/>
    <w:rsid w:val="00A71942"/>
    <w:pPr>
      <w:tabs>
        <w:tab w:val="clear" w:pos="2608"/>
        <w:tab w:val="num" w:pos="283"/>
      </w:tabs>
      <w:ind w:left="283" w:hanging="283"/>
    </w:pPr>
    <w:rPr>
      <w:rFonts w:ascii="CharisSIL" w:hAnsi="CharisSIL"/>
    </w:rPr>
  </w:style>
  <w:style w:type="paragraph" w:customStyle="1" w:styleId="ListDash4Level4">
    <w:name w:val="List Dash 4 (Level 4)"/>
    <w:basedOn w:val="Text4"/>
    <w:uiPriority w:val="1"/>
    <w:semiHidden/>
    <w:unhideWhenUsed/>
    <w:rsid w:val="00A71942"/>
    <w:pPr>
      <w:tabs>
        <w:tab w:val="clear" w:pos="2608"/>
        <w:tab w:val="num" w:pos="567"/>
      </w:tabs>
      <w:ind w:left="567" w:hanging="284"/>
    </w:pPr>
  </w:style>
  <w:style w:type="paragraph" w:customStyle="1" w:styleId="ListNumberLevel2">
    <w:name w:val="List Number (Level 2)"/>
    <w:basedOn w:val="Normal"/>
    <w:uiPriority w:val="1"/>
    <w:rsid w:val="1FC5E705"/>
    <w:pPr>
      <w:tabs>
        <w:tab w:val="num" w:pos="1134"/>
      </w:tabs>
      <w:spacing w:after="240"/>
      <w:ind w:left="1134" w:hanging="284"/>
    </w:pPr>
    <w:rPr>
      <w:rFonts w:ascii="Times New Roman,Italic" w:eastAsia="Times New Roman,Italic" w:hAnsi="Times New Roman,Italic" w:cs="Times New Roman,Italic"/>
      <w:color w:val="auto"/>
      <w:lang w:val="en-US" w:eastAsia="en-IE"/>
    </w:rPr>
  </w:style>
  <w:style w:type="paragraph" w:customStyle="1" w:styleId="ListNumberLevel3">
    <w:name w:val="List Number (Level 3)"/>
    <w:basedOn w:val="Normal"/>
    <w:uiPriority w:val="1"/>
    <w:semiHidden/>
    <w:unhideWhenUsed/>
    <w:rsid w:val="1FC5E705"/>
    <w:pPr>
      <w:tabs>
        <w:tab w:val="num" w:pos="765"/>
      </w:tabs>
      <w:spacing w:after="240"/>
      <w:ind w:left="765" w:hanging="283"/>
    </w:pPr>
    <w:rPr>
      <w:rFonts w:ascii="CharisSIL" w:eastAsia="Times New Roman,Italic" w:hAnsi="CharisSIL" w:cs="Times New Roman,Italic"/>
      <w:color w:val="auto"/>
      <w:lang w:val="en-US" w:eastAsia="en-IE"/>
    </w:rPr>
  </w:style>
  <w:style w:type="paragraph" w:customStyle="1" w:styleId="ListNumberLevel4">
    <w:name w:val="List Number (Level 4)"/>
    <w:basedOn w:val="Normal"/>
    <w:uiPriority w:val="1"/>
    <w:semiHidden/>
    <w:unhideWhenUsed/>
    <w:rsid w:val="1FC5E705"/>
    <w:pPr>
      <w:tabs>
        <w:tab w:val="num" w:pos="1049"/>
      </w:tabs>
      <w:spacing w:after="240"/>
      <w:ind w:left="1049" w:hanging="284"/>
    </w:pPr>
    <w:rPr>
      <w:rFonts w:ascii="Times New Roman,Italic" w:eastAsia="Times New Roman,Italic" w:hAnsi="Times New Roman,Italic" w:cs="Times New Roman,Italic"/>
      <w:color w:val="auto"/>
      <w:lang w:val="en-US" w:eastAsia="en-IE"/>
    </w:rPr>
  </w:style>
  <w:style w:type="paragraph" w:customStyle="1" w:styleId="ListNumber1">
    <w:name w:val="List Number 1"/>
    <w:basedOn w:val="Text1"/>
    <w:uiPriority w:val="1"/>
    <w:rsid w:val="00A71942"/>
    <w:pPr>
      <w:tabs>
        <w:tab w:val="num" w:pos="1332"/>
      </w:tabs>
      <w:spacing w:after="240"/>
      <w:ind w:left="1332" w:hanging="283"/>
    </w:pPr>
    <w:rPr>
      <w:rFonts w:ascii="Yu Gothic Light" w:eastAsia="RijksoverheidSansText" w:hAnsi="Yu Gothic Light" w:cs="RijksoverheidSansText"/>
      <w:lang w:val="en-US" w:eastAsia="en-IE"/>
    </w:rPr>
  </w:style>
  <w:style w:type="paragraph" w:customStyle="1" w:styleId="ListNumber1Level2">
    <w:name w:val="List Number 1 (Level 2)"/>
    <w:basedOn w:val="Text1"/>
    <w:uiPriority w:val="1"/>
    <w:rsid w:val="00A71942"/>
    <w:pPr>
      <w:tabs>
        <w:tab w:val="num" w:pos="1616"/>
      </w:tabs>
      <w:spacing w:after="240"/>
      <w:ind w:left="1616" w:hanging="284"/>
    </w:pPr>
    <w:rPr>
      <w:rFonts w:ascii="Times New Roman,Italic" w:eastAsia="Times New Roman,Italic" w:hAnsi="Times New Roman,Italic" w:cs="Times New Roman,Italic"/>
      <w:lang w:val="en-US" w:eastAsia="en-IE"/>
    </w:rPr>
  </w:style>
  <w:style w:type="paragraph" w:customStyle="1" w:styleId="ListNumber1Level3">
    <w:name w:val="List Number 1 (Level 3)"/>
    <w:basedOn w:val="Text1"/>
    <w:uiPriority w:val="1"/>
    <w:semiHidden/>
    <w:unhideWhenUsed/>
    <w:rsid w:val="00A71942"/>
    <w:pPr>
      <w:tabs>
        <w:tab w:val="num" w:pos="1485"/>
      </w:tabs>
      <w:spacing w:after="240"/>
      <w:ind w:left="1485" w:hanging="283"/>
    </w:pPr>
    <w:rPr>
      <w:rFonts w:ascii="CharisSIL" w:eastAsia="Times New Roman,Italic" w:hAnsi="CharisSIL" w:cs="Times New Roman,Italic"/>
      <w:lang w:val="en-US" w:eastAsia="en-IE"/>
    </w:rPr>
  </w:style>
  <w:style w:type="paragraph" w:customStyle="1" w:styleId="ListNumber1Level4">
    <w:name w:val="List Number 1 (Level 4)"/>
    <w:basedOn w:val="Text1"/>
    <w:uiPriority w:val="1"/>
    <w:semiHidden/>
    <w:unhideWhenUsed/>
    <w:rsid w:val="00A71942"/>
    <w:pPr>
      <w:tabs>
        <w:tab w:val="num" w:pos="1769"/>
      </w:tabs>
      <w:spacing w:after="240"/>
      <w:ind w:left="1769" w:hanging="284"/>
    </w:pPr>
    <w:rPr>
      <w:rFonts w:ascii="Times New Roman,Italic" w:eastAsia="Times New Roman,Italic" w:hAnsi="Times New Roman,Italic" w:cs="Times New Roman,Italic"/>
      <w:lang w:val="en-US" w:eastAsia="en-IE"/>
    </w:rPr>
  </w:style>
  <w:style w:type="paragraph" w:customStyle="1" w:styleId="ListNumber2Level2">
    <w:name w:val="List Number 2 (Level 2)"/>
    <w:basedOn w:val="Text2"/>
    <w:uiPriority w:val="1"/>
    <w:rsid w:val="00A71942"/>
    <w:pPr>
      <w:tabs>
        <w:tab w:val="clear" w:pos="2302"/>
        <w:tab w:val="num" w:pos="2336"/>
      </w:tabs>
      <w:spacing w:after="240"/>
      <w:ind w:left="2336" w:hanging="284"/>
    </w:pPr>
    <w:rPr>
      <w:rFonts w:ascii="Times New Roman,Italic" w:eastAsia="Times New Roman,Italic" w:hAnsi="Times New Roman,Italic" w:cs="Times New Roman,Italic"/>
      <w:lang w:val="en-US" w:eastAsia="en-IE"/>
    </w:rPr>
  </w:style>
  <w:style w:type="paragraph" w:customStyle="1" w:styleId="ListNumber2Level3">
    <w:name w:val="List Number 2 (Level 3)"/>
    <w:basedOn w:val="Text2"/>
    <w:uiPriority w:val="1"/>
    <w:semiHidden/>
    <w:unhideWhenUsed/>
    <w:rsid w:val="00A71942"/>
    <w:pPr>
      <w:tabs>
        <w:tab w:val="clear" w:pos="2302"/>
        <w:tab w:val="num" w:pos="1485"/>
      </w:tabs>
      <w:spacing w:after="240"/>
      <w:ind w:left="1485" w:hanging="283"/>
    </w:pPr>
    <w:rPr>
      <w:rFonts w:ascii="CharisSIL" w:eastAsia="Times New Roman,Italic" w:hAnsi="CharisSIL" w:cs="Times New Roman,Italic"/>
      <w:lang w:val="en-US" w:eastAsia="en-IE"/>
    </w:rPr>
  </w:style>
  <w:style w:type="paragraph" w:customStyle="1" w:styleId="ListNumber2Level4">
    <w:name w:val="List Number 2 (Level 4)"/>
    <w:basedOn w:val="Text2"/>
    <w:uiPriority w:val="1"/>
    <w:semiHidden/>
    <w:unhideWhenUsed/>
    <w:rsid w:val="00A71942"/>
    <w:pPr>
      <w:tabs>
        <w:tab w:val="clear" w:pos="2302"/>
        <w:tab w:val="num" w:pos="1769"/>
      </w:tabs>
      <w:spacing w:after="240"/>
      <w:ind w:left="1769" w:hanging="284"/>
    </w:pPr>
    <w:rPr>
      <w:rFonts w:ascii="Times New Roman,Italic" w:eastAsia="Times New Roman,Italic" w:hAnsi="Times New Roman,Italic" w:cs="Times New Roman,Italic"/>
      <w:lang w:val="en-US" w:eastAsia="en-IE"/>
    </w:rPr>
  </w:style>
  <w:style w:type="paragraph" w:customStyle="1" w:styleId="ListNumber3Level2">
    <w:name w:val="List Number 3 (Level 2)"/>
    <w:basedOn w:val="Text3"/>
    <w:uiPriority w:val="1"/>
    <w:rsid w:val="00A71942"/>
    <w:pPr>
      <w:tabs>
        <w:tab w:val="clear" w:pos="2302"/>
        <w:tab w:val="num" w:pos="2336"/>
      </w:tabs>
      <w:ind w:left="2336" w:hanging="284"/>
    </w:pPr>
    <w:rPr>
      <w:rFonts w:ascii="Times New Roman,Italic" w:eastAsia="Times New Roman,Italic" w:hAnsi="Times New Roman,Italic" w:cs="Times New Roman,Italic"/>
      <w:lang w:val="en-US" w:eastAsia="en-IE"/>
    </w:rPr>
  </w:style>
  <w:style w:type="paragraph" w:customStyle="1" w:styleId="ListNumber3Level3">
    <w:name w:val="List Number 3 (Level 3)"/>
    <w:basedOn w:val="Text3"/>
    <w:uiPriority w:val="1"/>
    <w:semiHidden/>
    <w:unhideWhenUsed/>
    <w:rsid w:val="00A71942"/>
    <w:pPr>
      <w:tabs>
        <w:tab w:val="clear" w:pos="2302"/>
      </w:tabs>
      <w:ind w:left="0"/>
    </w:pPr>
    <w:rPr>
      <w:rFonts w:ascii="CharisSIL" w:eastAsia="Times New Roman,Italic" w:hAnsi="CharisSIL" w:cs="Times New Roman,Italic"/>
      <w:lang w:val="en-US" w:eastAsia="en-IE"/>
    </w:rPr>
  </w:style>
  <w:style w:type="paragraph" w:customStyle="1" w:styleId="ListNumber3Level4">
    <w:name w:val="List Number 3 (Level 4)"/>
    <w:basedOn w:val="Text3"/>
    <w:uiPriority w:val="1"/>
    <w:semiHidden/>
    <w:unhideWhenUsed/>
    <w:rsid w:val="00A71942"/>
    <w:pPr>
      <w:tabs>
        <w:tab w:val="clear" w:pos="2302"/>
        <w:tab w:val="num" w:pos="476"/>
      </w:tabs>
      <w:ind w:left="476" w:hanging="476"/>
    </w:pPr>
    <w:rPr>
      <w:rFonts w:ascii="Times New Roman,Italic" w:eastAsia="Times New Roman,Italic" w:hAnsi="Times New Roman,Italic" w:cs="Times New Roman,Italic"/>
      <w:lang w:val="en-US" w:eastAsia="en-IE"/>
    </w:rPr>
  </w:style>
  <w:style w:type="paragraph" w:customStyle="1" w:styleId="ListNumber4Level2">
    <w:name w:val="List Number 4 (Level 2)"/>
    <w:basedOn w:val="Text4"/>
    <w:uiPriority w:val="1"/>
    <w:rsid w:val="00A71942"/>
    <w:pPr>
      <w:tabs>
        <w:tab w:val="clear" w:pos="2608"/>
      </w:tabs>
      <w:ind w:left="0" w:firstLine="0"/>
    </w:pPr>
  </w:style>
  <w:style w:type="paragraph" w:customStyle="1" w:styleId="ListNumber4Level3">
    <w:name w:val="List Number 4 (Level 3)"/>
    <w:basedOn w:val="Text4"/>
    <w:uiPriority w:val="1"/>
    <w:semiHidden/>
    <w:unhideWhenUsed/>
    <w:rsid w:val="00A71942"/>
    <w:pPr>
      <w:tabs>
        <w:tab w:val="clear" w:pos="2608"/>
      </w:tabs>
      <w:ind w:left="0" w:firstLine="0"/>
    </w:pPr>
    <w:rPr>
      <w:rFonts w:ascii="CharisSIL" w:hAnsi="CharisSIL"/>
    </w:rPr>
  </w:style>
  <w:style w:type="paragraph" w:customStyle="1" w:styleId="ListNumber4Level4">
    <w:name w:val="List Number 4 (Level 4)"/>
    <w:basedOn w:val="Text4"/>
    <w:uiPriority w:val="1"/>
    <w:semiHidden/>
    <w:unhideWhenUsed/>
    <w:rsid w:val="00A71942"/>
    <w:pPr>
      <w:tabs>
        <w:tab w:val="clear" w:pos="2608"/>
        <w:tab w:val="num" w:pos="283"/>
      </w:tabs>
      <w:ind w:left="283" w:hanging="283"/>
    </w:pPr>
  </w:style>
  <w:style w:type="paragraph" w:customStyle="1" w:styleId="Marking">
    <w:name w:val="Marking"/>
    <w:basedOn w:val="Normal"/>
    <w:uiPriority w:val="1"/>
    <w:semiHidden/>
    <w:rsid w:val="1FC5E705"/>
    <w:pPr>
      <w:spacing w:after="240"/>
      <w:ind w:left="5102" w:right="-680"/>
      <w:contextualSpacing/>
    </w:pPr>
    <w:rPr>
      <w:rFonts w:eastAsia="Times New Roman"/>
      <w:color w:val="auto"/>
      <w:sz w:val="28"/>
      <w:szCs w:val="28"/>
      <w:lang w:val="en-IE" w:eastAsia="en-IE"/>
    </w:rPr>
  </w:style>
  <w:style w:type="paragraph" w:customStyle="1" w:styleId="NumPar1">
    <w:name w:val="NumPar 1"/>
    <w:basedOn w:val="Heading1"/>
    <w:uiPriority w:val="1"/>
    <w:qFormat/>
    <w:rsid w:val="00A71942"/>
    <w:pPr>
      <w:keepNext w:val="0"/>
      <w:keepLines w:val="0"/>
      <w:numPr>
        <w:ilvl w:val="1"/>
        <w:numId w:val="52"/>
      </w:numPr>
      <w:pBdr>
        <w:bottom w:val="none" w:sz="0" w:space="0" w:color="auto"/>
      </w:pBdr>
      <w:tabs>
        <w:tab w:val="clear" w:pos="1049"/>
      </w:tabs>
      <w:spacing w:before="0"/>
      <w:ind w:left="0" w:firstLine="0"/>
      <w:outlineLvl w:val="9"/>
    </w:pPr>
    <w:rPr>
      <w:rFonts w:ascii="CharisSIL" w:eastAsia="Yu Gothic Light" w:hAnsi="CharisSIL" w:cs="Yu Gothic Light"/>
      <w:b/>
      <w:caps w:val="0"/>
      <w:smallCaps/>
      <w:color w:val="auto"/>
      <w:sz w:val="24"/>
      <w:szCs w:val="24"/>
      <w:lang w:eastAsia="en-IE"/>
    </w:rPr>
  </w:style>
  <w:style w:type="paragraph" w:customStyle="1" w:styleId="NumPar2">
    <w:name w:val="NumPar 2"/>
    <w:basedOn w:val="Heading2"/>
    <w:uiPriority w:val="1"/>
    <w:qFormat/>
    <w:rsid w:val="00A71942"/>
    <w:pPr>
      <w:keepNext w:val="0"/>
      <w:keepLines w:val="0"/>
      <w:numPr>
        <w:ilvl w:val="2"/>
        <w:numId w:val="52"/>
      </w:numPr>
      <w:tabs>
        <w:tab w:val="clear" w:pos="1332"/>
      </w:tabs>
      <w:spacing w:before="120"/>
      <w:ind w:left="0" w:firstLine="0"/>
      <w:textAlignment w:val="baseline"/>
      <w:outlineLvl w:val="9"/>
    </w:pPr>
    <w:rPr>
      <w:rFonts w:ascii="Times New Roman,Italic" w:eastAsia="Times New Roman,Italic" w:hAnsi="Times New Roman,Italic" w:cs="Times New Roman,Italic"/>
      <w:b/>
      <w:caps w:val="0"/>
      <w:color w:val="auto"/>
      <w:sz w:val="24"/>
      <w:szCs w:val="24"/>
      <w:lang w:eastAsia="en-IE"/>
    </w:rPr>
  </w:style>
  <w:style w:type="paragraph" w:customStyle="1" w:styleId="NumPar3">
    <w:name w:val="NumPar 3"/>
    <w:basedOn w:val="Heading3"/>
    <w:uiPriority w:val="1"/>
    <w:qFormat/>
    <w:rsid w:val="00A71942"/>
    <w:pPr>
      <w:keepNext w:val="0"/>
      <w:keepLines w:val="0"/>
      <w:numPr>
        <w:ilvl w:val="3"/>
        <w:numId w:val="52"/>
      </w:numPr>
      <w:tabs>
        <w:tab w:val="clear" w:pos="1616"/>
      </w:tabs>
      <w:spacing w:before="120"/>
      <w:ind w:left="0" w:firstLine="0"/>
      <w:outlineLvl w:val="9"/>
    </w:pPr>
    <w:rPr>
      <w:rFonts w:ascii="Times New Roman,Italic" w:eastAsia="Times New Roman,Italic" w:hAnsi="Times New Roman,Italic" w:cs="Times New Roman,Italic"/>
      <w:b w:val="0"/>
      <w:i/>
      <w:color w:val="auto"/>
      <w:lang w:eastAsia="en-IE"/>
    </w:rPr>
  </w:style>
  <w:style w:type="paragraph" w:customStyle="1" w:styleId="NumPar4">
    <w:name w:val="NumPar 4"/>
    <w:basedOn w:val="Heading4"/>
    <w:uiPriority w:val="1"/>
    <w:qFormat/>
    <w:rsid w:val="00A71942"/>
    <w:pPr>
      <w:keepNext w:val="0"/>
      <w:keepLines w:val="0"/>
      <w:numPr>
        <w:ilvl w:val="0"/>
        <w:numId w:val="0"/>
      </w:numPr>
      <w:tabs>
        <w:tab w:val="num" w:pos="2336"/>
      </w:tabs>
      <w:spacing w:before="120"/>
      <w:ind w:left="2336" w:hanging="284"/>
      <w:outlineLvl w:val="9"/>
    </w:pPr>
    <w:rPr>
      <w:rFonts w:ascii="Times New Roman,Italic" w:eastAsia="Times New Roman,Italic" w:hAnsi="Times New Roman,Italic" w:cs="Times New Roman,Italic"/>
      <w:lang w:val="en-IE" w:eastAsia="en-IE"/>
    </w:rPr>
  </w:style>
  <w:style w:type="paragraph" w:customStyle="1" w:styleId="PartTitle">
    <w:name w:val="PartTitle"/>
    <w:basedOn w:val="Normal"/>
    <w:next w:val="ChapterTitle"/>
    <w:uiPriority w:val="1"/>
    <w:qFormat/>
    <w:rsid w:val="1FC5E705"/>
    <w:pPr>
      <w:keepNext/>
      <w:pageBreakBefore/>
      <w:numPr>
        <w:ilvl w:val="1"/>
        <w:numId w:val="51"/>
      </w:numPr>
      <w:tabs>
        <w:tab w:val="clear" w:pos="1769"/>
      </w:tabs>
      <w:spacing w:after="480"/>
      <w:ind w:left="0" w:firstLine="0"/>
      <w:jc w:val="center"/>
      <w:outlineLvl w:val="0"/>
    </w:pPr>
    <w:rPr>
      <w:rFonts w:ascii="CharisSIL" w:eastAsia="Times New Roman,Italic" w:hAnsi="CharisSIL" w:cs="Times New Roman,Italic"/>
      <w:b/>
      <w:bCs/>
      <w:color w:val="auto"/>
      <w:sz w:val="36"/>
      <w:szCs w:val="36"/>
      <w:lang w:val="en-US" w:eastAsia="en-IE"/>
    </w:rPr>
  </w:style>
  <w:style w:type="paragraph" w:customStyle="1" w:styleId="Releasable">
    <w:name w:val="Releasable"/>
    <w:basedOn w:val="Normal"/>
    <w:uiPriority w:val="1"/>
    <w:semiHidden/>
    <w:rsid w:val="1FC5E705"/>
    <w:pPr>
      <w:numPr>
        <w:ilvl w:val="3"/>
        <w:numId w:val="51"/>
      </w:numPr>
      <w:tabs>
        <w:tab w:val="clear" w:pos="2336"/>
      </w:tabs>
      <w:spacing w:after="0"/>
      <w:ind w:left="0" w:firstLine="0"/>
      <w:jc w:val="center"/>
    </w:pPr>
    <w:rPr>
      <w:rFonts w:ascii="Times New Roman,Italic" w:eastAsia="Times New Roman,Italic" w:hAnsi="Times New Roman,Italic" w:cs="Times New Roman,Italic"/>
      <w:b/>
      <w:bCs/>
      <w:caps/>
      <w:color w:val="auto"/>
      <w:sz w:val="32"/>
      <w:szCs w:val="32"/>
      <w:lang w:val="en-US" w:eastAsia="en-IE"/>
    </w:rPr>
  </w:style>
  <w:style w:type="paragraph" w:customStyle="1" w:styleId="RUE">
    <w:name w:val="RUE"/>
    <w:basedOn w:val="Normal"/>
    <w:uiPriority w:val="1"/>
    <w:semiHidden/>
    <w:rsid w:val="1FC5E705"/>
    <w:pPr>
      <w:spacing w:after="0"/>
      <w:jc w:val="center"/>
    </w:pPr>
    <w:rPr>
      <w:rFonts w:ascii="Times New Roman,Italic" w:eastAsia="Times New Roman,Italic" w:hAnsi="Times New Roman,Italic" w:cs="Times New Roman,Italic"/>
      <w:b/>
      <w:bCs/>
      <w:caps/>
      <w:color w:val="auto"/>
      <w:sz w:val="32"/>
      <w:szCs w:val="32"/>
      <w:lang w:val="en-US" w:eastAsia="en-IE"/>
    </w:rPr>
  </w:style>
  <w:style w:type="paragraph" w:customStyle="1" w:styleId="SecretUE">
    <w:name w:val="Secret UE"/>
    <w:basedOn w:val="Normal"/>
    <w:uiPriority w:val="1"/>
    <w:semiHidden/>
    <w:rsid w:val="1FC5E705"/>
    <w:pPr>
      <w:spacing w:after="0"/>
      <w:jc w:val="center"/>
    </w:pPr>
    <w:rPr>
      <w:rFonts w:ascii="CharisSIL" w:eastAsia="Times New Roman,Italic" w:hAnsi="CharisSIL" w:cs="Times New Roman,Italic"/>
      <w:b/>
      <w:bCs/>
      <w:caps/>
      <w:color w:val="FF0000"/>
      <w:sz w:val="32"/>
      <w:szCs w:val="32"/>
      <w:lang w:val="en-US" w:eastAsia="en-IE"/>
    </w:rPr>
  </w:style>
  <w:style w:type="paragraph" w:customStyle="1" w:styleId="SignatureL">
    <w:name w:val="SignatureL"/>
    <w:basedOn w:val="Normal"/>
    <w:uiPriority w:val="2"/>
    <w:rsid w:val="1FC5E705"/>
    <w:pPr>
      <w:numPr>
        <w:numId w:val="50"/>
      </w:numPr>
      <w:tabs>
        <w:tab w:val="clear" w:pos="1485"/>
      </w:tabs>
      <w:spacing w:before="1200" w:after="0"/>
      <w:ind w:left="0" w:firstLine="0"/>
    </w:pPr>
    <w:rPr>
      <w:rFonts w:ascii="Times New Roman,Italic" w:eastAsia="Times New Roman,Italic" w:hAnsi="Times New Roman,Italic" w:cs="Times New Roman,Italic"/>
      <w:color w:val="auto"/>
      <w:lang w:val="en-US" w:eastAsia="en-IE"/>
    </w:rPr>
  </w:style>
  <w:style w:type="paragraph" w:customStyle="1" w:styleId="SubTitle1">
    <w:name w:val="SubTitle 1"/>
    <w:basedOn w:val="Normal"/>
    <w:next w:val="SubTitle2"/>
    <w:uiPriority w:val="1"/>
    <w:qFormat/>
    <w:rsid w:val="1FC5E705"/>
    <w:pPr>
      <w:numPr>
        <w:ilvl w:val="1"/>
        <w:numId w:val="50"/>
      </w:numPr>
      <w:tabs>
        <w:tab w:val="clear" w:pos="1769"/>
      </w:tabs>
      <w:spacing w:after="240"/>
      <w:ind w:left="0" w:firstLine="0"/>
      <w:jc w:val="center"/>
    </w:pPr>
    <w:rPr>
      <w:rFonts w:ascii="CharisSIL" w:eastAsia="Times New Roman,Italic" w:hAnsi="CharisSIL" w:cs="Times New Roman,Italic"/>
      <w:b/>
      <w:bCs/>
      <w:color w:val="auto"/>
      <w:sz w:val="40"/>
      <w:szCs w:val="40"/>
      <w:lang w:val="en-US" w:eastAsia="en-IE"/>
    </w:rPr>
  </w:style>
  <w:style w:type="paragraph" w:customStyle="1" w:styleId="SubTitle2">
    <w:name w:val="SubTitle 2"/>
    <w:basedOn w:val="Normal"/>
    <w:uiPriority w:val="1"/>
    <w:qFormat/>
    <w:rsid w:val="1FC5E705"/>
    <w:pPr>
      <w:numPr>
        <w:ilvl w:val="2"/>
        <w:numId w:val="50"/>
      </w:numPr>
      <w:tabs>
        <w:tab w:val="clear" w:pos="2052"/>
      </w:tabs>
      <w:spacing w:after="240"/>
      <w:ind w:left="0" w:firstLine="0"/>
      <w:jc w:val="center"/>
    </w:pPr>
    <w:rPr>
      <w:rFonts w:ascii="Times New Roman,Italic" w:eastAsia="Times New Roman,Italic" w:hAnsi="Times New Roman,Italic" w:cs="Times New Roman,Italic"/>
      <w:b/>
      <w:bCs/>
      <w:color w:val="auto"/>
      <w:sz w:val="32"/>
      <w:szCs w:val="32"/>
      <w:lang w:val="en-US" w:eastAsia="en-IE"/>
    </w:rPr>
  </w:style>
  <w:style w:type="paragraph" w:customStyle="1" w:styleId="TableListBullet">
    <w:name w:val="Table List Bullet"/>
    <w:basedOn w:val="TableText"/>
    <w:uiPriority w:val="1"/>
    <w:rsid w:val="00A71942"/>
    <w:pPr>
      <w:numPr>
        <w:ilvl w:val="3"/>
        <w:numId w:val="50"/>
      </w:numPr>
      <w:tabs>
        <w:tab w:val="clear" w:pos="2336"/>
      </w:tabs>
      <w:ind w:left="0" w:firstLine="0"/>
    </w:pPr>
    <w:rPr>
      <w:rFonts w:ascii="Yu Gothic Light" w:eastAsia="RijksoverheidSansText" w:hAnsi="Yu Gothic Light" w:cs="RijksoverheidSansText"/>
      <w:color w:val="auto"/>
      <w:lang w:val="en-US" w:eastAsia="en-IE"/>
    </w:rPr>
  </w:style>
  <w:style w:type="paragraph" w:customStyle="1" w:styleId="TableListBulletLevel2">
    <w:name w:val="Table List Bullet (Level 2)"/>
    <w:basedOn w:val="TableText"/>
    <w:uiPriority w:val="1"/>
    <w:rsid w:val="00A71942"/>
    <w:pPr>
      <w:numPr>
        <w:numId w:val="46"/>
      </w:numPr>
      <w:tabs>
        <w:tab w:val="clear" w:pos="283"/>
      </w:tabs>
      <w:ind w:left="0" w:firstLine="0"/>
    </w:pPr>
    <w:rPr>
      <w:rFonts w:ascii="Times New Roman,Italic" w:eastAsia="Times New Roman,Italic" w:hAnsi="Times New Roman,Italic" w:cs="Times New Roman,Italic"/>
      <w:color w:val="auto"/>
      <w:lang w:val="en-US" w:eastAsia="en-IE"/>
    </w:rPr>
  </w:style>
  <w:style w:type="paragraph" w:customStyle="1" w:styleId="TableListBulletLevel3">
    <w:name w:val="Table List Bullet (Level 3)"/>
    <w:basedOn w:val="TableText"/>
    <w:uiPriority w:val="1"/>
    <w:semiHidden/>
    <w:unhideWhenUsed/>
    <w:rsid w:val="00A71942"/>
    <w:pPr>
      <w:numPr>
        <w:ilvl w:val="1"/>
        <w:numId w:val="46"/>
      </w:numPr>
      <w:tabs>
        <w:tab w:val="clear" w:pos="567"/>
      </w:tabs>
      <w:ind w:left="0" w:firstLine="0"/>
    </w:pPr>
    <w:rPr>
      <w:rFonts w:ascii="Times New Roman,Italic" w:eastAsia="Times New Roman,Italic" w:hAnsi="Times New Roman,Italic" w:cs="Times New Roman,Italic"/>
      <w:color w:val="auto"/>
      <w:lang w:val="en-US" w:eastAsia="en-IE"/>
    </w:rPr>
  </w:style>
  <w:style w:type="paragraph" w:customStyle="1" w:styleId="TableListBulletLevel4">
    <w:name w:val="Table List Bullet (Level 4)"/>
    <w:basedOn w:val="TableText"/>
    <w:uiPriority w:val="1"/>
    <w:semiHidden/>
    <w:unhideWhenUsed/>
    <w:rsid w:val="00A71942"/>
    <w:pPr>
      <w:numPr>
        <w:ilvl w:val="2"/>
        <w:numId w:val="46"/>
      </w:numPr>
      <w:tabs>
        <w:tab w:val="clear" w:pos="850"/>
      </w:tabs>
      <w:ind w:left="0" w:firstLine="0"/>
    </w:pPr>
    <w:rPr>
      <w:rFonts w:ascii="CharisSIL" w:eastAsia="Times New Roman,Italic" w:hAnsi="CharisSIL" w:cs="Times New Roman,Italic"/>
      <w:color w:val="auto"/>
      <w:lang w:val="en-US" w:eastAsia="en-IE"/>
    </w:rPr>
  </w:style>
  <w:style w:type="paragraph" w:customStyle="1" w:styleId="TableListDash">
    <w:name w:val="Table List Dash"/>
    <w:basedOn w:val="TableText"/>
    <w:uiPriority w:val="1"/>
    <w:rsid w:val="00A71942"/>
    <w:pPr>
      <w:numPr>
        <w:ilvl w:val="3"/>
        <w:numId w:val="46"/>
      </w:numPr>
      <w:tabs>
        <w:tab w:val="clear" w:pos="1134"/>
      </w:tabs>
      <w:ind w:left="0" w:firstLine="0"/>
    </w:pPr>
    <w:rPr>
      <w:rFonts w:ascii="Yu Gothic Light" w:eastAsia="RijksoverheidSansText" w:hAnsi="Yu Gothic Light" w:cs="RijksoverheidSansText"/>
      <w:color w:val="auto"/>
      <w:lang w:val="en-US" w:eastAsia="en-IE"/>
    </w:rPr>
  </w:style>
  <w:style w:type="paragraph" w:customStyle="1" w:styleId="TableListDashLevel2">
    <w:name w:val="Table List Dash (Level 2)"/>
    <w:basedOn w:val="TableText"/>
    <w:uiPriority w:val="1"/>
    <w:rsid w:val="00A71942"/>
    <w:pPr>
      <w:numPr>
        <w:numId w:val="45"/>
      </w:numPr>
      <w:tabs>
        <w:tab w:val="clear" w:pos="765"/>
      </w:tabs>
      <w:ind w:left="0" w:firstLine="0"/>
    </w:pPr>
    <w:rPr>
      <w:rFonts w:ascii="Times New Roman,Italic" w:eastAsia="Times New Roman,Italic" w:hAnsi="Times New Roman,Italic" w:cs="Times New Roman,Italic"/>
      <w:color w:val="auto"/>
      <w:lang w:val="en-US" w:eastAsia="en-IE"/>
    </w:rPr>
  </w:style>
  <w:style w:type="paragraph" w:customStyle="1" w:styleId="TableListDashLevel3">
    <w:name w:val="Table List Dash (Level 3)"/>
    <w:basedOn w:val="TableText"/>
    <w:uiPriority w:val="1"/>
    <w:semiHidden/>
    <w:unhideWhenUsed/>
    <w:rsid w:val="00A71942"/>
    <w:pPr>
      <w:tabs>
        <w:tab w:val="num" w:pos="1049"/>
      </w:tabs>
      <w:ind w:left="1049" w:hanging="284"/>
    </w:pPr>
    <w:rPr>
      <w:rFonts w:ascii="Times New Roman,Italic" w:eastAsia="Times New Roman,Italic" w:hAnsi="Times New Roman,Italic" w:cs="Times New Roman,Italic"/>
      <w:color w:val="auto"/>
      <w:lang w:val="en-US" w:eastAsia="en-IE"/>
    </w:rPr>
  </w:style>
  <w:style w:type="paragraph" w:customStyle="1" w:styleId="TableListDashLevel4">
    <w:name w:val="Table List Dash (Level 4)"/>
    <w:basedOn w:val="TableText"/>
    <w:uiPriority w:val="1"/>
    <w:semiHidden/>
    <w:unhideWhenUsed/>
    <w:rsid w:val="00A71942"/>
    <w:pPr>
      <w:numPr>
        <w:ilvl w:val="2"/>
        <w:numId w:val="45"/>
      </w:numPr>
      <w:tabs>
        <w:tab w:val="clear" w:pos="1332"/>
      </w:tabs>
      <w:ind w:left="0" w:firstLine="0"/>
    </w:pPr>
    <w:rPr>
      <w:rFonts w:ascii="CharisSIL" w:eastAsia="Times New Roman,Italic" w:hAnsi="CharisSIL" w:cs="Times New Roman,Italic"/>
      <w:color w:val="auto"/>
      <w:lang w:val="en-US" w:eastAsia="en-IE"/>
    </w:rPr>
  </w:style>
  <w:style w:type="paragraph" w:customStyle="1" w:styleId="TableListNumber">
    <w:name w:val="Table List Number"/>
    <w:basedOn w:val="TableText"/>
    <w:uiPriority w:val="1"/>
    <w:rsid w:val="00A71942"/>
    <w:pPr>
      <w:numPr>
        <w:ilvl w:val="3"/>
        <w:numId w:val="45"/>
      </w:numPr>
      <w:tabs>
        <w:tab w:val="clear" w:pos="1616"/>
      </w:tabs>
      <w:ind w:left="0" w:firstLine="0"/>
    </w:pPr>
    <w:rPr>
      <w:rFonts w:ascii="Yu Gothic Light" w:eastAsia="RijksoverheidSansText" w:hAnsi="Yu Gothic Light" w:cs="RijksoverheidSansText"/>
      <w:color w:val="auto"/>
      <w:lang w:val="en-US" w:eastAsia="en-IE"/>
    </w:rPr>
  </w:style>
  <w:style w:type="paragraph" w:customStyle="1" w:styleId="TableListNumberLevel2">
    <w:name w:val="Table List Number (Level 2)"/>
    <w:basedOn w:val="TableText"/>
    <w:uiPriority w:val="1"/>
    <w:rsid w:val="00A71942"/>
    <w:pPr>
      <w:numPr>
        <w:numId w:val="44"/>
      </w:numPr>
      <w:tabs>
        <w:tab w:val="clear" w:pos="1485"/>
      </w:tabs>
      <w:ind w:left="0" w:firstLine="0"/>
    </w:pPr>
    <w:rPr>
      <w:rFonts w:ascii="Times New Roman,Italic" w:eastAsia="Times New Roman,Italic" w:hAnsi="Times New Roman,Italic" w:cs="Times New Roman,Italic"/>
      <w:color w:val="auto"/>
      <w:lang w:val="en-US" w:eastAsia="en-IE"/>
    </w:rPr>
  </w:style>
  <w:style w:type="paragraph" w:customStyle="1" w:styleId="TableListNumberLevel3">
    <w:name w:val="Table List Number (Level 3)"/>
    <w:basedOn w:val="TableText"/>
    <w:uiPriority w:val="1"/>
    <w:semiHidden/>
    <w:unhideWhenUsed/>
    <w:rsid w:val="00A71942"/>
    <w:pPr>
      <w:numPr>
        <w:ilvl w:val="2"/>
        <w:numId w:val="44"/>
      </w:numPr>
      <w:tabs>
        <w:tab w:val="clear" w:pos="2052"/>
      </w:tabs>
      <w:ind w:left="0" w:firstLine="0"/>
    </w:pPr>
    <w:rPr>
      <w:rFonts w:ascii="CharisSIL" w:eastAsia="Times New Roman,Italic" w:hAnsi="CharisSIL" w:cs="Times New Roman,Italic"/>
      <w:color w:val="auto"/>
      <w:lang w:val="en-US" w:eastAsia="en-IE"/>
    </w:rPr>
  </w:style>
  <w:style w:type="paragraph" w:customStyle="1" w:styleId="TableListNumberLevel4">
    <w:name w:val="Table List Number (Level 4)"/>
    <w:basedOn w:val="TableText"/>
    <w:uiPriority w:val="1"/>
    <w:semiHidden/>
    <w:unhideWhenUsed/>
    <w:rsid w:val="00A71942"/>
    <w:pPr>
      <w:numPr>
        <w:ilvl w:val="3"/>
        <w:numId w:val="44"/>
      </w:numPr>
      <w:tabs>
        <w:tab w:val="clear" w:pos="2336"/>
      </w:tabs>
      <w:ind w:left="0" w:firstLine="0"/>
    </w:pPr>
    <w:rPr>
      <w:rFonts w:ascii="Times New Roman,Italic" w:eastAsia="Times New Roman,Italic" w:hAnsi="Times New Roman,Italic" w:cs="Times New Roman,Italic"/>
      <w:color w:val="auto"/>
      <w:lang w:val="en-US" w:eastAsia="en-IE"/>
    </w:rPr>
  </w:style>
  <w:style w:type="paragraph" w:customStyle="1" w:styleId="TableSource">
    <w:name w:val="Table Source"/>
    <w:basedOn w:val="Normal"/>
    <w:next w:val="Normal"/>
    <w:uiPriority w:val="1"/>
    <w:semiHidden/>
    <w:unhideWhenUsed/>
    <w:rsid w:val="1FC5E705"/>
    <w:pPr>
      <w:numPr>
        <w:numId w:val="43"/>
      </w:numPr>
      <w:tabs>
        <w:tab w:val="clear" w:pos="1485"/>
      </w:tabs>
      <w:spacing w:after="240"/>
      <w:ind w:left="0" w:firstLine="0"/>
    </w:pPr>
    <w:rPr>
      <w:rFonts w:ascii="Times New Roman,Italic" w:eastAsia="Times New Roman,Italic" w:hAnsi="Times New Roman,Italic" w:cs="Times New Roman,Italic"/>
      <w:color w:val="auto"/>
      <w:sz w:val="20"/>
      <w:szCs w:val="20"/>
      <w:lang w:val="en-US" w:eastAsia="en-IE"/>
    </w:rPr>
  </w:style>
  <w:style w:type="paragraph" w:customStyle="1" w:styleId="TableSource1">
    <w:name w:val="Table Source 1"/>
    <w:basedOn w:val="Text1"/>
    <w:next w:val="Text1"/>
    <w:semiHidden/>
    <w:unhideWhenUsed/>
    <w:rsid w:val="00A71942"/>
    <w:pPr>
      <w:numPr>
        <w:ilvl w:val="2"/>
        <w:numId w:val="43"/>
      </w:numPr>
      <w:tabs>
        <w:tab w:val="clear" w:pos="2052"/>
      </w:tabs>
      <w:spacing w:after="240"/>
      <w:ind w:left="0" w:firstLine="0"/>
    </w:pPr>
    <w:rPr>
      <w:rFonts w:ascii="Times New Roman,Italic" w:eastAsia="Times New Roman,Italic" w:hAnsi="Times New Roman,Italic" w:cs="Times New Roman,Italic"/>
      <w:sz w:val="20"/>
      <w:lang w:val="en-US" w:eastAsia="en-IE"/>
    </w:rPr>
  </w:style>
  <w:style w:type="paragraph" w:customStyle="1" w:styleId="TableSource2">
    <w:name w:val="Table Source 2"/>
    <w:basedOn w:val="Text2"/>
    <w:next w:val="Text2"/>
    <w:semiHidden/>
    <w:unhideWhenUsed/>
    <w:rsid w:val="00A71942"/>
    <w:pPr>
      <w:numPr>
        <w:ilvl w:val="3"/>
        <w:numId w:val="43"/>
      </w:numPr>
      <w:tabs>
        <w:tab w:val="clear" w:pos="2302"/>
        <w:tab w:val="clear" w:pos="2336"/>
      </w:tabs>
      <w:spacing w:after="240"/>
      <w:ind w:left="0" w:firstLine="0"/>
    </w:pPr>
    <w:rPr>
      <w:rFonts w:ascii="Times New Roman,Italic" w:eastAsia="Times New Roman,Italic" w:hAnsi="Times New Roman,Italic" w:cs="Times New Roman,Italic"/>
      <w:sz w:val="20"/>
      <w:lang w:val="en-US" w:eastAsia="en-IE"/>
    </w:rPr>
  </w:style>
  <w:style w:type="paragraph" w:customStyle="1" w:styleId="TableSource3">
    <w:name w:val="Table Source 3"/>
    <w:basedOn w:val="Text3"/>
    <w:next w:val="Text3"/>
    <w:semiHidden/>
    <w:unhideWhenUsed/>
    <w:rsid w:val="00A71942"/>
    <w:pPr>
      <w:tabs>
        <w:tab w:val="clear" w:pos="2302"/>
      </w:tabs>
      <w:ind w:left="0"/>
    </w:pPr>
    <w:rPr>
      <w:rFonts w:ascii="Times New Roman,Italic" w:eastAsia="Times New Roman,Italic" w:hAnsi="Times New Roman,Italic" w:cs="Times New Roman,Italic"/>
      <w:sz w:val="20"/>
      <w:lang w:val="en-US" w:eastAsia="en-IE"/>
    </w:rPr>
  </w:style>
  <w:style w:type="paragraph" w:customStyle="1" w:styleId="TableSource4">
    <w:name w:val="Table Source 4"/>
    <w:basedOn w:val="Text4"/>
    <w:next w:val="Text4"/>
    <w:semiHidden/>
    <w:unhideWhenUsed/>
    <w:rsid w:val="00A71942"/>
    <w:pPr>
      <w:tabs>
        <w:tab w:val="clear" w:pos="2608"/>
      </w:tabs>
      <w:ind w:left="0" w:firstLine="0"/>
    </w:pPr>
    <w:rPr>
      <w:rFonts w:ascii="CharisSIL" w:hAnsi="CharisSIL"/>
      <w:sz w:val="20"/>
    </w:rPr>
  </w:style>
  <w:style w:type="paragraph" w:customStyle="1" w:styleId="TableTitle1">
    <w:name w:val="Table Title 1"/>
    <w:basedOn w:val="Text1"/>
    <w:uiPriority w:val="1"/>
    <w:semiHidden/>
    <w:unhideWhenUsed/>
    <w:rsid w:val="00A71942"/>
    <w:pPr>
      <w:keepNext/>
      <w:tabs>
        <w:tab w:val="num" w:pos="1485"/>
      </w:tabs>
      <w:ind w:left="1485" w:hanging="283"/>
    </w:pPr>
    <w:rPr>
      <w:rFonts w:ascii="Times New Roman,Italic" w:eastAsia="Times New Roman,Italic" w:hAnsi="Times New Roman,Italic" w:cs="Times New Roman,Italic"/>
      <w:b/>
      <w:i/>
      <w:lang w:val="en-US" w:eastAsia="en-IE"/>
    </w:rPr>
  </w:style>
  <w:style w:type="paragraph" w:customStyle="1" w:styleId="TableTitle2">
    <w:name w:val="Table Title 2"/>
    <w:basedOn w:val="Text2"/>
    <w:uiPriority w:val="1"/>
    <w:semiHidden/>
    <w:unhideWhenUsed/>
    <w:rsid w:val="00A71942"/>
    <w:pPr>
      <w:keepNext/>
      <w:numPr>
        <w:numId w:val="49"/>
      </w:numPr>
      <w:tabs>
        <w:tab w:val="clear" w:pos="709"/>
        <w:tab w:val="clear" w:pos="2302"/>
      </w:tabs>
      <w:ind w:left="0" w:firstLine="0"/>
    </w:pPr>
    <w:rPr>
      <w:rFonts w:ascii="Times New Roman,Italic" w:eastAsia="Times New Roman,Italic" w:hAnsi="Times New Roman,Italic" w:cs="Times New Roman,Italic"/>
      <w:b/>
      <w:i/>
      <w:lang w:val="en-US" w:eastAsia="en-IE"/>
    </w:rPr>
  </w:style>
  <w:style w:type="paragraph" w:customStyle="1" w:styleId="TableTitle3">
    <w:name w:val="Table Title 3"/>
    <w:basedOn w:val="Text3"/>
    <w:uiPriority w:val="1"/>
    <w:semiHidden/>
    <w:unhideWhenUsed/>
    <w:rsid w:val="00A71942"/>
    <w:pPr>
      <w:keepNext/>
      <w:numPr>
        <w:ilvl w:val="1"/>
        <w:numId w:val="49"/>
      </w:numPr>
      <w:tabs>
        <w:tab w:val="clear" w:pos="1417"/>
        <w:tab w:val="clear" w:pos="2302"/>
      </w:tabs>
      <w:spacing w:after="120"/>
      <w:ind w:left="0" w:firstLine="0"/>
    </w:pPr>
    <w:rPr>
      <w:rFonts w:ascii="Times New Roman,Italic" w:eastAsia="Times New Roman,Italic" w:hAnsi="Times New Roman,Italic" w:cs="Times New Roman,Italic"/>
      <w:b/>
      <w:i/>
      <w:lang w:val="en-US" w:eastAsia="en-IE"/>
    </w:rPr>
  </w:style>
  <w:style w:type="paragraph" w:customStyle="1" w:styleId="TableTitle4">
    <w:name w:val="Table Title 4"/>
    <w:basedOn w:val="Text4"/>
    <w:uiPriority w:val="1"/>
    <w:semiHidden/>
    <w:unhideWhenUsed/>
    <w:rsid w:val="00A71942"/>
    <w:pPr>
      <w:keepNext/>
      <w:numPr>
        <w:ilvl w:val="2"/>
        <w:numId w:val="49"/>
      </w:numPr>
      <w:tabs>
        <w:tab w:val="clear" w:pos="2126"/>
      </w:tabs>
      <w:spacing w:after="120"/>
      <w:ind w:left="0" w:firstLine="0"/>
    </w:pPr>
    <w:rPr>
      <w:b/>
      <w:i/>
    </w:rPr>
  </w:style>
  <w:style w:type="paragraph" w:customStyle="1" w:styleId="TrsSecretUE">
    <w:name w:val="Très Secret UE"/>
    <w:basedOn w:val="Normal"/>
    <w:uiPriority w:val="1"/>
    <w:semiHidden/>
    <w:rsid w:val="1FC5E705"/>
    <w:pPr>
      <w:tabs>
        <w:tab w:val="num" w:pos="1134"/>
      </w:tabs>
      <w:spacing w:after="0"/>
      <w:ind w:left="1134" w:hanging="284"/>
      <w:jc w:val="center"/>
    </w:pPr>
    <w:rPr>
      <w:rFonts w:ascii="Times New Roman,Italic" w:eastAsia="Times New Roman,Italic" w:hAnsi="Times New Roman,Italic" w:cs="Times New Roman,Italic"/>
      <w:b/>
      <w:bCs/>
      <w:caps/>
      <w:color w:val="FF0000"/>
      <w:sz w:val="32"/>
      <w:szCs w:val="32"/>
      <w:lang w:val="en-US" w:eastAsia="en-IE"/>
    </w:rPr>
  </w:style>
  <w:style w:type="paragraph" w:customStyle="1" w:styleId="ZCom">
    <w:name w:val="Z_Com"/>
    <w:basedOn w:val="Normal"/>
    <w:next w:val="Normal"/>
    <w:uiPriority w:val="2"/>
    <w:rsid w:val="1FC5E705"/>
    <w:pPr>
      <w:widowControl w:val="0"/>
      <w:tabs>
        <w:tab w:val="num" w:pos="283"/>
      </w:tabs>
      <w:spacing w:before="90" w:after="0"/>
      <w:ind w:left="283" w:right="85" w:hanging="283"/>
    </w:pPr>
    <w:rPr>
      <w:rFonts w:ascii="CharisSIL" w:eastAsia="Times New Roman,Italic" w:hAnsi="CharisSIL" w:cs="Times New Roman,Italic"/>
      <w:color w:val="auto"/>
      <w:lang w:val="en-US" w:eastAsia="en-IE"/>
    </w:rPr>
  </w:style>
  <w:style w:type="paragraph" w:customStyle="1" w:styleId="ZDGName">
    <w:name w:val="Z_DGName"/>
    <w:basedOn w:val="Normal"/>
    <w:uiPriority w:val="2"/>
    <w:rsid w:val="1FC5E705"/>
    <w:pPr>
      <w:widowControl w:val="0"/>
      <w:tabs>
        <w:tab w:val="num" w:pos="907"/>
      </w:tabs>
      <w:spacing w:after="0"/>
      <w:ind w:left="907" w:right="85" w:hanging="453"/>
    </w:pPr>
    <w:rPr>
      <w:rFonts w:ascii="Times New Roman,Italic" w:eastAsia="Times New Roman,Italic" w:hAnsi="Times New Roman,Italic" w:cs="Times New Roman,Italic"/>
      <w:color w:val="auto"/>
      <w:sz w:val="16"/>
      <w:szCs w:val="16"/>
      <w:lang w:val="en-US" w:eastAsia="en-IE"/>
    </w:rPr>
  </w:style>
  <w:style w:type="paragraph" w:customStyle="1" w:styleId="ZFlag">
    <w:name w:val="Z_Flag"/>
    <w:basedOn w:val="Normal"/>
    <w:next w:val="Normal"/>
    <w:uiPriority w:val="2"/>
    <w:rsid w:val="1FC5E705"/>
    <w:pPr>
      <w:widowControl w:val="0"/>
      <w:tabs>
        <w:tab w:val="num" w:pos="1361"/>
      </w:tabs>
      <w:spacing w:after="0"/>
      <w:ind w:left="1361" w:right="85" w:hanging="454"/>
    </w:pPr>
    <w:rPr>
      <w:rFonts w:ascii="Times New Roman,Italic" w:eastAsia="Times New Roman,Italic" w:hAnsi="Times New Roman,Italic" w:cs="Times New Roman,Italic"/>
      <w:color w:val="auto"/>
      <w:lang w:val="en-US" w:eastAsia="en-IE"/>
    </w:rPr>
  </w:style>
  <w:style w:type="table" w:customStyle="1" w:styleId="EurolookClassicBlue">
    <w:name w:val="Eurolook Classic Blue"/>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A71942"/>
    <w:pPr>
      <w:tabs>
        <w:tab w:val="num" w:pos="567"/>
      </w:tabs>
      <w:spacing w:before="120" w:after="240" w:line="240" w:lineRule="auto"/>
      <w:ind w:left="567" w:hanging="284"/>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A71942"/>
    <w:pPr>
      <w:tabs>
        <w:tab w:val="num" w:pos="850"/>
      </w:tabs>
      <w:spacing w:before="120" w:after="240" w:line="240" w:lineRule="auto"/>
      <w:ind w:left="850" w:hanging="283"/>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A71942"/>
    <w:pPr>
      <w:tabs>
        <w:tab w:val="num" w:pos="1134"/>
      </w:tabs>
      <w:spacing w:before="120" w:after="240" w:line="240" w:lineRule="auto"/>
      <w:ind w:left="1134" w:hanging="284"/>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A71942"/>
    <w:pPr>
      <w:tabs>
        <w:tab w:val="num" w:pos="283"/>
      </w:tabs>
      <w:spacing w:before="120" w:after="240" w:line="240" w:lineRule="auto"/>
      <w:ind w:left="283" w:hanging="283"/>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A71942"/>
    <w:pPr>
      <w:tabs>
        <w:tab w:val="num" w:pos="907"/>
      </w:tabs>
      <w:spacing w:before="120" w:after="240" w:line="240" w:lineRule="auto"/>
      <w:ind w:left="907" w:hanging="453"/>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rsid w:val="00A71942"/>
    <w:pPr>
      <w:tabs>
        <w:tab w:val="num" w:pos="1361"/>
      </w:tabs>
      <w:spacing w:before="120" w:after="240" w:line="240" w:lineRule="auto"/>
      <w:ind w:left="1361" w:hanging="454"/>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A71942"/>
    <w:pPr>
      <w:tabs>
        <w:tab w:val="num" w:pos="1814"/>
      </w:tabs>
      <w:spacing w:before="120" w:after="240" w:line="240" w:lineRule="auto"/>
      <w:ind w:left="1814" w:hanging="453"/>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b w:val="0"/>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b w:val="0"/>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b w:val="0"/>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b w:val="0"/>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b w:val="0"/>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A71942"/>
    <w:pPr>
      <w:spacing w:before="120" w:after="240" w:line="240" w:lineRule="auto"/>
      <w:jc w:val="left"/>
    </w:pPr>
    <w:rPr>
      <w:rFonts w:ascii="Times New Roman,Italic" w:eastAsia="Times New Roman,Italic" w:hAnsi="Times New Roman,Italic" w:cs="Times New Roman,Italic"/>
      <w:color w:val="auto"/>
      <w:sz w:val="24"/>
      <w:szCs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576161" w:themeColor="text1" w:themeTint="BF"/>
        </w:tcBorders>
        <w:shd w:val="clear" w:color="auto" w:fill="auto"/>
        <w:vAlign w:val="bottom"/>
      </w:tcPr>
    </w:tblStylePr>
    <w:tblStylePr w:type="lastRow">
      <w:rPr>
        <w:b w:val="0"/>
      </w:rPr>
      <w:tblPr/>
      <w:tcPr>
        <w:tcBorders>
          <w:top w:val="single" w:sz="12" w:space="0" w:color="576161" w:themeColor="text1" w:themeTint="BF"/>
        </w:tcBorders>
        <w:shd w:val="clear" w:color="auto" w:fill="auto"/>
      </w:tcPr>
    </w:tblStylePr>
    <w:tblStylePr w:type="firstCol">
      <w:rPr>
        <w:color w:val="000000"/>
      </w:rPr>
      <w:tblPr/>
      <w:tcPr>
        <w:tcBorders>
          <w:right w:val="single" w:sz="12" w:space="0" w:color="576161"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A71942"/>
    <w:pPr>
      <w:spacing w:before="120" w:after="0" w:line="240" w:lineRule="auto"/>
      <w:jc w:val="left"/>
    </w:pPr>
    <w:rPr>
      <w:rFonts w:ascii="Times New Roman,Italic" w:eastAsia="Times New Roman,Italic" w:hAnsi="Times New Roman,Italic" w:cs="Times New Roman,Italic"/>
      <w:color w:val="auto"/>
      <w:sz w:val="24"/>
      <w:szCs w:val="24"/>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A71942"/>
    <w:tblPr>
      <w:tblInd w:w="482" w:type="dxa"/>
    </w:tblPr>
    <w:tblStylePr w:type="firstRow">
      <w:rPr>
        <w:b/>
      </w:rPr>
    </w:tblStylePr>
  </w:style>
  <w:style w:type="table" w:customStyle="1" w:styleId="EurolookTable2">
    <w:name w:val="Eurolook Table 2"/>
    <w:basedOn w:val="EurolookTable"/>
    <w:semiHidden/>
    <w:unhideWhenUsed/>
    <w:rsid w:val="00A71942"/>
    <w:tblPr>
      <w:tblInd w:w="1202" w:type="dxa"/>
    </w:tblPr>
    <w:tblStylePr w:type="firstRow">
      <w:rPr>
        <w:b/>
      </w:rPr>
    </w:tblStylePr>
  </w:style>
  <w:style w:type="table" w:customStyle="1" w:styleId="EurolookTable3">
    <w:name w:val="Eurolook Table 3"/>
    <w:basedOn w:val="EurolookTable"/>
    <w:semiHidden/>
    <w:unhideWhenUsed/>
    <w:rsid w:val="00A71942"/>
    <w:tblPr>
      <w:tblInd w:w="1202" w:type="dxa"/>
    </w:tblPr>
    <w:tblStylePr w:type="firstRow">
      <w:rPr>
        <w:b/>
      </w:rPr>
    </w:tblStylePr>
  </w:style>
  <w:style w:type="table" w:customStyle="1" w:styleId="EurolookTable4">
    <w:name w:val="Eurolook Table 4"/>
    <w:basedOn w:val="EurolookTable"/>
    <w:semiHidden/>
    <w:unhideWhenUsed/>
    <w:rsid w:val="00A71942"/>
    <w:tblPr>
      <w:tblInd w:w="1202" w:type="dxa"/>
    </w:tblPr>
    <w:tblStylePr w:type="firstRow">
      <w:rPr>
        <w:b/>
      </w:rPr>
    </w:tblStylePr>
  </w:style>
  <w:style w:type="table" w:customStyle="1" w:styleId="HelperTableBase">
    <w:name w:val="Helper Table Base"/>
    <w:semiHidden/>
    <w:rsid w:val="00A71942"/>
    <w:pPr>
      <w:spacing w:before="120" w:after="0" w:line="240" w:lineRule="auto"/>
      <w:jc w:val="left"/>
    </w:pPr>
    <w:rPr>
      <w:rFonts w:ascii="Times New Roman,Italic" w:eastAsia="Times New Roman,Italic" w:hAnsi="Times New Roman,Italic" w:cs="Times New Roman,Italic"/>
      <w:color w:val="auto"/>
      <w:sz w:val="24"/>
      <w:szCs w:val="24"/>
      <w:lang w:eastAsia="en-I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A71942"/>
    <w:tblPr/>
  </w:style>
  <w:style w:type="table" w:customStyle="1" w:styleId="TableHistory">
    <w:name w:val="Table History"/>
    <w:basedOn w:val="TableNormal"/>
    <w:semiHidden/>
    <w:rsid w:val="00A71942"/>
    <w:pPr>
      <w:spacing w:before="60" w:after="60" w:line="264" w:lineRule="auto"/>
      <w:jc w:val="left"/>
    </w:pPr>
    <w:rPr>
      <w:rFonts w:ascii="Times New Roman,Italic" w:eastAsia="Times New Roman,Italic" w:hAnsi="Times New Roman,Italic" w:cs="Times New Roman,Italic"/>
      <w:color w:val="auto"/>
      <w:sz w:val="22"/>
      <w:szCs w:val="24"/>
      <w:lang w:eastAsia="en-I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A71942"/>
    <w:pPr>
      <w:spacing w:before="120" w:after="0" w:line="240" w:lineRule="auto"/>
      <w:jc w:val="left"/>
    </w:pPr>
    <w:rPr>
      <w:rFonts w:ascii="Times New Roman,Italic" w:eastAsia="Times New Roman,Italic" w:hAnsi="Times New Roman,Italic" w:cs="Times New Roman,Italic"/>
      <w:color w:val="auto"/>
      <w:sz w:val="24"/>
      <w:szCs w:val="24"/>
      <w:lang w:eastAsia="en-IE"/>
    </w:rPr>
    <w:tblPr>
      <w:tblCellMar>
        <w:left w:w="0" w:type="dxa"/>
        <w:bottom w:w="340" w:type="dxa"/>
        <w:right w:w="0" w:type="dxa"/>
      </w:tblCellMar>
    </w:tblPr>
  </w:style>
  <w:style w:type="character" w:customStyle="1" w:styleId="FooterSensitivityChar">
    <w:name w:val="Footer Sensitivity Char"/>
    <w:basedOn w:val="DefaultParagraphFont"/>
    <w:link w:val="FooterSensitivity"/>
    <w:rsid w:val="00A71942"/>
    <w:rPr>
      <w:rFonts w:ascii="Times New Roman" w:hAnsi="Times New Roman" w:cs="Times New Roman"/>
      <w:b/>
      <w:sz w:val="32"/>
      <w:szCs w:val="24"/>
    </w:rPr>
  </w:style>
  <w:style w:type="character" w:customStyle="1" w:styleId="HeaderSensitivityChar">
    <w:name w:val="Header Sensitivity Char"/>
    <w:basedOn w:val="DefaultParagraphFont"/>
    <w:link w:val="HeaderSensitivity"/>
    <w:rsid w:val="00A71942"/>
    <w:rPr>
      <w:rFonts w:ascii="Times New Roman" w:hAnsi="Times New Roman" w:cs="Times New Roman"/>
      <w:b/>
      <w:sz w:val="32"/>
      <w:szCs w:val="24"/>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uiPriority w:val="99"/>
    <w:unhideWhenUsed/>
    <w:rsid w:val="1FC5E705"/>
    <w:rPr>
      <w:color w:val="auto"/>
      <w:vertAlign w:val="superscript"/>
      <w:lang w:val="en-US"/>
    </w:rPr>
  </w:style>
  <w:style w:type="character" w:customStyle="1" w:styleId="UnresolvedMention10">
    <w:name w:val="Unresolved Mention1"/>
    <w:basedOn w:val="DefaultParagraphFont"/>
    <w:uiPriority w:val="99"/>
    <w:unhideWhenUsed/>
    <w:rsid w:val="00036DBD"/>
    <w:rPr>
      <w:color w:val="605E5C"/>
      <w:shd w:val="clear" w:color="auto" w:fill="E1DFDD"/>
    </w:rPr>
  </w:style>
  <w:style w:type="character" w:customStyle="1" w:styleId="Mention10">
    <w:name w:val="Mention1"/>
    <w:basedOn w:val="DefaultParagraphFont"/>
    <w:uiPriority w:val="99"/>
    <w:unhideWhenUsed/>
    <w:rsid w:val="00A71942"/>
    <w:rPr>
      <w:color w:val="2B579A"/>
      <w:shd w:val="clear" w:color="auto" w:fill="E1DFDD"/>
    </w:rPr>
  </w:style>
  <w:style w:type="character" w:customStyle="1" w:styleId="UnresolvedMention2">
    <w:name w:val="Unresolved Mention2"/>
    <w:basedOn w:val="DefaultParagraphFont"/>
    <w:uiPriority w:val="99"/>
    <w:unhideWhenUsed/>
    <w:rsid w:val="00A71942"/>
    <w:rPr>
      <w:color w:val="605E5C"/>
      <w:shd w:val="clear" w:color="auto" w:fill="E1DFDD"/>
    </w:rPr>
  </w:style>
  <w:style w:type="character" w:customStyle="1" w:styleId="Mention2">
    <w:name w:val="Mention2"/>
    <w:basedOn w:val="DefaultParagraphFont"/>
    <w:uiPriority w:val="99"/>
    <w:unhideWhenUsed/>
    <w:rsid w:val="00A71942"/>
    <w:rPr>
      <w:color w:val="2B579A"/>
      <w:shd w:val="clear" w:color="auto" w:fill="E1DFDD"/>
    </w:rPr>
  </w:style>
  <w:style w:type="paragraph" w:customStyle="1" w:styleId="CT2040GraphSOURCE">
    <w:name w:val="CT2040_Graph_SOURCE"/>
    <w:basedOn w:val="Normal"/>
    <w:link w:val="CT2040GraphSOURCEChar"/>
    <w:uiPriority w:val="1"/>
    <w:rsid w:val="1FC5E705"/>
    <w:pPr>
      <w:spacing w:after="240"/>
      <w:jc w:val="right"/>
    </w:pPr>
    <w:rPr>
      <w:rFonts w:ascii="EC Square Sans Cond Pro" w:eastAsia="Times New Roman,Italic" w:hAnsi="EC Square Sans Cond Pro" w:cs="Times New Roman,Italic"/>
      <w:i/>
      <w:iCs/>
      <w:color w:val="auto"/>
    </w:rPr>
  </w:style>
  <w:style w:type="character" w:customStyle="1" w:styleId="CT2040GraphSOURCEChar">
    <w:name w:val="CT2040_Graph_SOURCE Char"/>
    <w:basedOn w:val="Text2Char"/>
    <w:link w:val="CT2040GraphSOURCE"/>
    <w:uiPriority w:val="1"/>
    <w:rsid w:val="00A71942"/>
    <w:rPr>
      <w:rFonts w:ascii="EC Square Sans Cond Pro" w:eastAsia="Times New Roman,Italic" w:hAnsi="EC Square Sans Cond Pro" w:cs="Times New Roman,Italic"/>
      <w:i/>
      <w:iCs/>
      <w:color w:val="auto"/>
      <w:sz w:val="24"/>
      <w:szCs w:val="24"/>
    </w:rPr>
  </w:style>
  <w:style w:type="paragraph" w:customStyle="1" w:styleId="CT2040GraphsNotes">
    <w:name w:val="CT2040:Graphs Notes"/>
    <w:basedOn w:val="Normal"/>
    <w:link w:val="CT2040GraphsNotesChar"/>
    <w:uiPriority w:val="1"/>
    <w:rsid w:val="1FC5E705"/>
    <w:pPr>
      <w:spacing w:after="240"/>
    </w:pPr>
    <w:rPr>
      <w:rFonts w:ascii="Times New Roman,Italic" w:eastAsia="Times New Roman,Italic" w:hAnsi="Times New Roman,Italic" w:cs="Times New Roman,Italic"/>
      <w:color w:val="auto"/>
    </w:rPr>
  </w:style>
  <w:style w:type="character" w:customStyle="1" w:styleId="CT2040GraphsNotesChar">
    <w:name w:val="CT2040:Graphs Notes Char"/>
    <w:basedOn w:val="CT2040GraphSOURCEChar"/>
    <w:link w:val="CT2040GraphsNotes"/>
    <w:uiPriority w:val="1"/>
    <w:rsid w:val="00A71942"/>
    <w:rPr>
      <w:rFonts w:ascii="Times New Roman,Italic" w:eastAsia="Times New Roman,Italic" w:hAnsi="Times New Roman,Italic" w:cs="Times New Roman,Italic"/>
      <w:i w:val="0"/>
      <w:iCs w:val="0"/>
      <w:color w:val="auto"/>
      <w:sz w:val="24"/>
      <w:szCs w:val="24"/>
    </w:rPr>
  </w:style>
  <w:style w:type="character" w:customStyle="1" w:styleId="paragraphChar">
    <w:name w:val="paragraph Char"/>
    <w:basedOn w:val="DefaultParagraphFont"/>
    <w:link w:val="paragraph"/>
    <w:rsid w:val="00A71942"/>
    <w:rPr>
      <w:rFonts w:ascii="Times New Roman" w:eastAsia="Times New Roman" w:hAnsi="Times New Roman" w:cs="Times New Roman"/>
      <w:color w:val="auto"/>
      <w:sz w:val="24"/>
      <w:szCs w:val="24"/>
      <w:lang w:eastAsia="en-GB"/>
    </w:rPr>
  </w:style>
  <w:style w:type="character" w:customStyle="1" w:styleId="UnresolvedMention3">
    <w:name w:val="Unresolved Mention3"/>
    <w:basedOn w:val="DefaultParagraphFont"/>
    <w:uiPriority w:val="99"/>
    <w:unhideWhenUsed/>
    <w:rsid w:val="00A71942"/>
    <w:rPr>
      <w:color w:val="605E5C"/>
      <w:shd w:val="clear" w:color="auto" w:fill="E1DFDD"/>
    </w:rPr>
  </w:style>
  <w:style w:type="character" w:customStyle="1" w:styleId="Mention3">
    <w:name w:val="Mention3"/>
    <w:basedOn w:val="DefaultParagraphFont"/>
    <w:uiPriority w:val="99"/>
    <w:unhideWhenUsed/>
    <w:rsid w:val="00A71942"/>
    <w:rPr>
      <w:color w:val="2B579A"/>
      <w:shd w:val="clear" w:color="auto" w:fill="E1DFDD"/>
    </w:rPr>
  </w:style>
  <w:style w:type="character" w:customStyle="1" w:styleId="UnresolvedMention4">
    <w:name w:val="Unresolved Mention4"/>
    <w:basedOn w:val="DefaultParagraphFont"/>
    <w:uiPriority w:val="99"/>
    <w:unhideWhenUsed/>
    <w:rsid w:val="00A71942"/>
    <w:rPr>
      <w:color w:val="605E5C"/>
      <w:shd w:val="clear" w:color="auto" w:fill="E1DFDD"/>
    </w:rPr>
  </w:style>
  <w:style w:type="character" w:customStyle="1" w:styleId="Mention4">
    <w:name w:val="Mention4"/>
    <w:basedOn w:val="DefaultParagraphFont"/>
    <w:uiPriority w:val="99"/>
    <w:unhideWhenUsed/>
    <w:rsid w:val="00A71942"/>
    <w:rPr>
      <w:color w:val="2B579A"/>
      <w:shd w:val="clear" w:color="auto" w:fill="E1DFDD"/>
    </w:rPr>
  </w:style>
  <w:style w:type="character" w:customStyle="1" w:styleId="classifiedinformation--address-row">
    <w:name w:val="classified__information--address-row"/>
    <w:basedOn w:val="DefaultParagraphFont"/>
    <w:rsid w:val="00A71942"/>
  </w:style>
  <w:style w:type="character" w:customStyle="1" w:styleId="ui-provider">
    <w:name w:val="ui-provider"/>
    <w:basedOn w:val="DefaultParagraphFont"/>
    <w:rsid w:val="00A71942"/>
  </w:style>
  <w:style w:type="character" w:customStyle="1" w:styleId="findhit">
    <w:name w:val="findhit"/>
    <w:basedOn w:val="DefaultParagraphFont"/>
    <w:rsid w:val="00A71942"/>
  </w:style>
  <w:style w:type="character" w:customStyle="1" w:styleId="tabchar">
    <w:name w:val="tabchar"/>
    <w:basedOn w:val="DefaultParagraphFont"/>
    <w:rsid w:val="00A71942"/>
  </w:style>
  <w:style w:type="paragraph" w:customStyle="1" w:styleId="ICFTitlePagesubtitleBlack">
    <w:name w:val="ICF Title Page subtitle Black"/>
    <w:basedOn w:val="Normal"/>
    <w:uiPriority w:val="1"/>
    <w:qFormat/>
    <w:rsid w:val="1FC5E705"/>
    <w:rPr>
      <w:rFonts w:ascii="Roboto" w:hAnsi="Roboto" w:cs="Symbol"/>
      <w:b/>
      <w:bCs/>
      <w:sz w:val="40"/>
      <w:szCs w:val="40"/>
      <w:lang w:val="en-US"/>
    </w:rPr>
  </w:style>
  <w:style w:type="character" w:customStyle="1" w:styleId="mo">
    <w:name w:val="mo"/>
    <w:basedOn w:val="DefaultParagraphFont"/>
    <w:rsid w:val="00A71942"/>
  </w:style>
  <w:style w:type="paragraph" w:customStyle="1" w:styleId="Style2">
    <w:name w:val="Style2"/>
    <w:basedOn w:val="paragraph"/>
    <w:link w:val="Style2Char"/>
    <w:uiPriority w:val="1"/>
    <w:qFormat/>
    <w:rsid w:val="00A71942"/>
    <w:pPr>
      <w:spacing w:before="0" w:beforeAutospacing="0" w:after="0" w:afterAutospacing="0"/>
      <w:jc w:val="both"/>
    </w:pPr>
    <w:rPr>
      <w:rFonts w:ascii="Times New Roman,Italic" w:hAnsi="Times New Roman,Italic"/>
      <w:lang w:val="en-US"/>
    </w:rPr>
  </w:style>
  <w:style w:type="character" w:customStyle="1" w:styleId="Style2Char">
    <w:name w:val="Style2 Char"/>
    <w:basedOn w:val="paragraphChar"/>
    <w:link w:val="Style2"/>
    <w:uiPriority w:val="1"/>
    <w:rsid w:val="00A71942"/>
    <w:rPr>
      <w:rFonts w:ascii="Times New Roman,Italic" w:eastAsia="Times New Roman" w:hAnsi="Times New Roman,Italic" w:cs="Times New Roman"/>
      <w:color w:val="auto"/>
      <w:sz w:val="24"/>
      <w:szCs w:val="24"/>
      <w:lang w:val="en-US" w:eastAsia="en-GB"/>
    </w:rPr>
  </w:style>
  <w:style w:type="character" w:customStyle="1" w:styleId="mjxassistivemathml">
    <w:name w:val="mjx_assistive_mathml"/>
    <w:basedOn w:val="DefaultParagraphFont"/>
    <w:rsid w:val="00A71942"/>
  </w:style>
  <w:style w:type="character" w:customStyle="1" w:styleId="scxw52429007">
    <w:name w:val="scxw52429007"/>
    <w:basedOn w:val="DefaultParagraphFont"/>
    <w:rsid w:val="00A71942"/>
  </w:style>
  <w:style w:type="character" w:customStyle="1" w:styleId="SmartLink1">
    <w:name w:val="SmartLink1"/>
    <w:basedOn w:val="DefaultParagraphFont"/>
    <w:uiPriority w:val="99"/>
    <w:semiHidden/>
    <w:unhideWhenUsed/>
    <w:rsid w:val="00A71942"/>
    <w:rPr>
      <w:color w:val="0000FF"/>
      <w:u w:val="single"/>
      <w:shd w:val="clear" w:color="auto" w:fill="F3F2F1"/>
    </w:rPr>
  </w:style>
  <w:style w:type="paragraph" w:customStyle="1" w:styleId="Tabeltekst">
    <w:name w:val="Tabeltekst"/>
    <w:basedOn w:val="Normal"/>
    <w:link w:val="TabeltekstChar"/>
    <w:uiPriority w:val="1"/>
    <w:qFormat/>
    <w:rsid w:val="1FC5E705"/>
    <w:pPr>
      <w:numPr>
        <w:numId w:val="55"/>
      </w:numPr>
      <w:shd w:val="clear" w:color="auto" w:fill="FFFFFF" w:themeFill="background1"/>
      <w:spacing w:after="0" w:line="300" w:lineRule="atLeast"/>
      <w:ind w:left="0" w:firstLine="0"/>
      <w:contextualSpacing/>
    </w:pPr>
    <w:rPr>
      <w:rFonts w:ascii="Calibri Light" w:eastAsiaTheme="minorEastAsia" w:hAnsi="Calibri Light"/>
      <w:color w:val="auto"/>
      <w:sz w:val="20"/>
      <w:szCs w:val="20"/>
      <w:lang w:val="en-US"/>
    </w:rPr>
  </w:style>
  <w:style w:type="character" w:customStyle="1" w:styleId="TabeltekstChar">
    <w:name w:val="Tabeltekst Char"/>
    <w:basedOn w:val="DefaultParagraphFont"/>
    <w:link w:val="Tabeltekst"/>
    <w:rsid w:val="00A71942"/>
    <w:rPr>
      <w:rFonts w:ascii="Calibri Light" w:eastAsiaTheme="minorEastAsia" w:hAnsi="Calibri Light" w:cs="Times New Roman"/>
      <w:color w:val="auto"/>
      <w:szCs w:val="21"/>
      <w:lang w:val="en-US"/>
    </w:rPr>
  </w:style>
  <w:style w:type="paragraph" w:customStyle="1" w:styleId="Briefinglist1">
    <w:name w:val="Briefing list 1"/>
    <w:basedOn w:val="Normal"/>
    <w:uiPriority w:val="1"/>
    <w:rsid w:val="1FC5E705"/>
    <w:pPr>
      <w:spacing w:after="240"/>
      <w:ind w:left="720" w:hanging="360"/>
    </w:pPr>
    <w:rPr>
      <w:rFonts w:ascii="Times New Roman,Italic" w:eastAsia="Times New Roman,Italic" w:hAnsi="Times New Roman,Italic" w:cs="Times New Roman,Italic"/>
      <w:color w:val="auto"/>
      <w:lang w:val="en-US" w:eastAsia="en-IE"/>
    </w:rPr>
  </w:style>
  <w:style w:type="character" w:customStyle="1" w:styleId="UnresolvedMention5">
    <w:name w:val="Unresolved Mention5"/>
    <w:basedOn w:val="DefaultParagraphFont"/>
    <w:uiPriority w:val="99"/>
    <w:unhideWhenUsed/>
    <w:rsid w:val="00A71942"/>
    <w:rPr>
      <w:color w:val="605E5C"/>
      <w:shd w:val="clear" w:color="auto" w:fill="E1DFDD"/>
    </w:rPr>
  </w:style>
  <w:style w:type="character" w:customStyle="1" w:styleId="Mention5">
    <w:name w:val="Mention5"/>
    <w:basedOn w:val="DefaultParagraphFont"/>
    <w:uiPriority w:val="99"/>
    <w:unhideWhenUsed/>
    <w:rsid w:val="00A71942"/>
    <w:rPr>
      <w:color w:val="2B579A"/>
      <w:shd w:val="clear" w:color="auto" w:fill="E1DFDD"/>
    </w:rPr>
  </w:style>
  <w:style w:type="character" w:customStyle="1" w:styleId="UnresolvedMention6">
    <w:name w:val="Unresolved Mention6"/>
    <w:basedOn w:val="DefaultParagraphFont"/>
    <w:uiPriority w:val="99"/>
    <w:semiHidden/>
    <w:unhideWhenUsed/>
    <w:rsid w:val="00A71942"/>
    <w:rPr>
      <w:color w:val="605E5C"/>
      <w:shd w:val="clear" w:color="auto" w:fill="E1DFDD"/>
    </w:rPr>
  </w:style>
  <w:style w:type="character" w:customStyle="1" w:styleId="UnresolvedMention7">
    <w:name w:val="Unresolved Mention7"/>
    <w:basedOn w:val="DefaultParagraphFont"/>
    <w:uiPriority w:val="99"/>
    <w:semiHidden/>
    <w:unhideWhenUsed/>
    <w:rsid w:val="00A71942"/>
    <w:rPr>
      <w:color w:val="605E5C"/>
      <w:shd w:val="clear" w:color="auto" w:fill="E1DFDD"/>
    </w:rPr>
  </w:style>
  <w:style w:type="paragraph" w:customStyle="1" w:styleId="CT2040-SOURCE">
    <w:name w:val="CT2040 - SOURCE"/>
    <w:basedOn w:val="Normal"/>
    <w:link w:val="CT2040-SOURCEChar"/>
    <w:uiPriority w:val="1"/>
    <w:qFormat/>
    <w:rsid w:val="1FC5E705"/>
    <w:pPr>
      <w:tabs>
        <w:tab w:val="num" w:pos="1899"/>
      </w:tabs>
      <w:spacing w:after="240"/>
      <w:jc w:val="right"/>
    </w:pPr>
    <w:rPr>
      <w:rFonts w:ascii="EC Square Sans Cond Pro" w:hAnsi="EC Square Sans Cond Pro" w:cs="Avenir Next LT Pro"/>
      <w:i/>
      <w:iCs/>
      <w:color w:val="auto"/>
      <w:lang w:val="en-IE"/>
    </w:rPr>
  </w:style>
  <w:style w:type="character" w:customStyle="1" w:styleId="CT2040-SOURCEChar">
    <w:name w:val="CT2040 - SOURCE Char"/>
    <w:basedOn w:val="DefaultParagraphFont"/>
    <w:link w:val="CT2040-SOURCE"/>
    <w:uiPriority w:val="1"/>
    <w:rsid w:val="00A71942"/>
    <w:rPr>
      <w:rFonts w:ascii="EC Square Sans Cond Pro" w:hAnsi="EC Square Sans Cond Pro" w:cs="Avenir Next LT Pro"/>
      <w:i/>
      <w:iCs/>
      <w:color w:val="auto"/>
      <w:sz w:val="24"/>
      <w:szCs w:val="24"/>
      <w:lang w:val="en-IE"/>
    </w:rPr>
  </w:style>
  <w:style w:type="paragraph" w:customStyle="1" w:styleId="FootnoteText1">
    <w:name w:val="Footnote Text1"/>
    <w:basedOn w:val="FootnoteText"/>
    <w:link w:val="footnotetextChar0"/>
    <w:uiPriority w:val="1"/>
    <w:qFormat/>
    <w:rsid w:val="00A71942"/>
    <w:pPr>
      <w:spacing w:after="0" w:line="276" w:lineRule="auto"/>
    </w:pPr>
    <w:rPr>
      <w:rFonts w:eastAsiaTheme="minorEastAsia" w:cstheme="minorBidi"/>
      <w:color w:val="auto"/>
      <w:sz w:val="18"/>
      <w:szCs w:val="18"/>
      <w:lang w:val="en-US"/>
    </w:rPr>
  </w:style>
  <w:style w:type="character" w:customStyle="1" w:styleId="footnotetextChar0">
    <w:name w:val="footnote text Char"/>
    <w:basedOn w:val="DefaultParagraphFont"/>
    <w:link w:val="FootnoteText1"/>
    <w:uiPriority w:val="1"/>
    <w:rsid w:val="00A71942"/>
    <w:rPr>
      <w:rFonts w:ascii="Times New Roman" w:eastAsiaTheme="minorEastAsia" w:hAnsi="Times New Roman"/>
      <w:color w:val="auto"/>
      <w:sz w:val="18"/>
      <w:szCs w:val="18"/>
      <w:lang w:val="en-US"/>
    </w:rPr>
  </w:style>
  <w:style w:type="character" w:customStyle="1" w:styleId="UnresolvedMention8">
    <w:name w:val="Unresolved Mention8"/>
    <w:basedOn w:val="DefaultParagraphFont"/>
    <w:uiPriority w:val="99"/>
    <w:semiHidden/>
    <w:unhideWhenUsed/>
    <w:rsid w:val="00A71942"/>
    <w:rPr>
      <w:color w:val="605E5C"/>
      <w:shd w:val="clear" w:color="auto" w:fill="E1DFDD"/>
    </w:rPr>
  </w:style>
  <w:style w:type="character" w:customStyle="1" w:styleId="Mention6">
    <w:name w:val="Mention6"/>
    <w:basedOn w:val="DefaultParagraphFont"/>
    <w:uiPriority w:val="99"/>
    <w:unhideWhenUsed/>
    <w:rsid w:val="00A71942"/>
    <w:rPr>
      <w:color w:val="2B579A"/>
      <w:shd w:val="clear" w:color="auto" w:fill="E1DFDD"/>
    </w:rPr>
  </w:style>
  <w:style w:type="character" w:customStyle="1" w:styleId="UnresolvedMention9">
    <w:name w:val="Unresolved Mention9"/>
    <w:basedOn w:val="DefaultParagraphFont"/>
    <w:uiPriority w:val="99"/>
    <w:semiHidden/>
    <w:unhideWhenUsed/>
    <w:rsid w:val="00A71942"/>
    <w:rPr>
      <w:color w:val="605E5C"/>
      <w:shd w:val="clear" w:color="auto" w:fill="E1DFDD"/>
    </w:rPr>
  </w:style>
  <w:style w:type="paragraph" w:customStyle="1" w:styleId="pf0">
    <w:name w:val="pf0"/>
    <w:basedOn w:val="Normal"/>
    <w:uiPriority w:val="1"/>
    <w:rsid w:val="1FC5E705"/>
    <w:pPr>
      <w:spacing w:beforeAutospacing="1" w:afterAutospacing="1"/>
    </w:pPr>
    <w:rPr>
      <w:rFonts w:eastAsia="Times New Roman"/>
      <w:color w:val="auto"/>
      <w:lang w:val="en-IE" w:eastAsia="en-IE"/>
    </w:rPr>
  </w:style>
  <w:style w:type="character" w:customStyle="1" w:styleId="Mention7">
    <w:name w:val="Mention7"/>
    <w:basedOn w:val="DefaultParagraphFont"/>
    <w:uiPriority w:val="99"/>
    <w:unhideWhenUsed/>
    <w:rsid w:val="00A71942"/>
    <w:rPr>
      <w:color w:val="2B579A"/>
      <w:shd w:val="clear" w:color="auto" w:fill="E1DFDD"/>
    </w:rPr>
  </w:style>
  <w:style w:type="character" w:customStyle="1" w:styleId="CT2040-CaptionChar">
    <w:name w:val="CT2040-Caption Char"/>
    <w:aliases w:val="Tasks Char1,Beschriftung Char2 Char1,Beschriftung Char1 Char1 Char1,Beschriftung Char Char Char1 Char1,Beschriftung Char1 Char Char Char1,Beschriftung Char Char Char Char Char1,Beschriftung Char Char1 Char Char1"/>
    <w:basedOn w:val="DefaultParagraphFont"/>
    <w:uiPriority w:val="35"/>
    <w:locked/>
    <w:rsid w:val="00A71942"/>
    <w:rPr>
      <w:rFonts w:ascii="Times New Roman,Italic" w:eastAsia="Times New Roman,Italic" w:hAnsi="Times New Roman,Italic" w:cs="Times New Roman"/>
      <w:b/>
      <w:noProof/>
      <w:sz w:val="24"/>
      <w:szCs w:val="24"/>
      <w:lang w:val="en-US" w:eastAsia="en-IE"/>
    </w:rPr>
  </w:style>
  <w:style w:type="paragraph" w:customStyle="1" w:styleId="CTNoteGraphs">
    <w:name w:val="CT: Note Graphs"/>
    <w:basedOn w:val="Normal"/>
    <w:link w:val="CTNoteGraphsChar"/>
    <w:uiPriority w:val="1"/>
    <w:qFormat/>
    <w:rsid w:val="1FC5E705"/>
    <w:pPr>
      <w:spacing w:after="240"/>
    </w:pPr>
    <w:rPr>
      <w:rFonts w:ascii="Times New Roman,Italic" w:eastAsia="Times New Roman,Italic" w:hAnsi="Times New Roman,Italic" w:cs="Times New Roman,Italic"/>
      <w:color w:val="auto"/>
      <w:lang w:val="en-US" w:eastAsia="en-IE"/>
    </w:rPr>
  </w:style>
  <w:style w:type="character" w:customStyle="1" w:styleId="CTNoteGraphsChar">
    <w:name w:val="CT: Note Graphs Char"/>
    <w:basedOn w:val="DefaultParagraphFont"/>
    <w:link w:val="CTNoteGraphs"/>
    <w:rsid w:val="00A71942"/>
    <w:rPr>
      <w:rFonts w:ascii="Times New Roman,Italic" w:eastAsia="Times New Roman,Italic" w:hAnsi="Times New Roman,Italic" w:cs="Times New Roman,Italic"/>
      <w:color w:val="auto"/>
      <w:sz w:val="24"/>
      <w:szCs w:val="24"/>
      <w:lang w:val="en-US" w:eastAsia="en-IE"/>
    </w:rPr>
  </w:style>
  <w:style w:type="paragraph" w:customStyle="1" w:styleId="CT-NOTE">
    <w:name w:val="CT - NOTE"/>
    <w:basedOn w:val="Text3"/>
    <w:link w:val="CT-NOTEChar"/>
    <w:uiPriority w:val="1"/>
    <w:qFormat/>
    <w:rsid w:val="00A71942"/>
    <w:pPr>
      <w:keepNext/>
      <w:tabs>
        <w:tab w:val="clear" w:pos="2302"/>
        <w:tab w:val="num" w:pos="1899"/>
      </w:tabs>
      <w:spacing w:after="0"/>
      <w:ind w:left="0"/>
    </w:pPr>
    <w:rPr>
      <w:rFonts w:ascii="EC Square Sans Cond Pro" w:eastAsia="Times New Roman,Italic" w:hAnsi="EC Square Sans Cond Pro" w:cs="Avenir Next LT Pro"/>
      <w:i/>
      <w:iCs/>
      <w:lang w:val="en-US" w:eastAsia="en-IE"/>
    </w:rPr>
  </w:style>
  <w:style w:type="character" w:customStyle="1" w:styleId="CT-NOTEChar">
    <w:name w:val="CT - NOTE Char"/>
    <w:basedOn w:val="CTNoteGraphsChar"/>
    <w:link w:val="CT-NOTE"/>
    <w:uiPriority w:val="1"/>
    <w:rsid w:val="00A71942"/>
    <w:rPr>
      <w:rFonts w:ascii="EC Square Sans Cond Pro" w:eastAsia="Times New Roman,Italic" w:hAnsi="EC Square Sans Cond Pro" w:cs="Avenir Next LT Pro"/>
      <w:i/>
      <w:iCs/>
      <w:color w:val="auto"/>
      <w:sz w:val="24"/>
      <w:szCs w:val="24"/>
      <w:lang w:val="en-US" w:eastAsia="en-IE"/>
    </w:rPr>
  </w:style>
  <w:style w:type="paragraph" w:customStyle="1" w:styleId="CT-SOURCE">
    <w:name w:val="CT- SOURCE"/>
    <w:basedOn w:val="CT-NOTE"/>
    <w:link w:val="CT-SOURCEChar"/>
    <w:uiPriority w:val="1"/>
    <w:qFormat/>
    <w:rsid w:val="00A71942"/>
    <w:pPr>
      <w:spacing w:after="240"/>
      <w:jc w:val="right"/>
    </w:pPr>
  </w:style>
  <w:style w:type="character" w:customStyle="1" w:styleId="CT-SOURCEChar">
    <w:name w:val="CT- SOURCE Char"/>
    <w:basedOn w:val="CT-NOTEChar"/>
    <w:link w:val="CT-SOURCE"/>
    <w:uiPriority w:val="1"/>
    <w:rsid w:val="00A71942"/>
    <w:rPr>
      <w:rFonts w:ascii="EC Square Sans Cond Pro" w:eastAsia="Times New Roman,Italic" w:hAnsi="EC Square Sans Cond Pro" w:cs="Avenir Next LT Pro"/>
      <w:i/>
      <w:iCs/>
      <w:color w:val="auto"/>
      <w:sz w:val="24"/>
      <w:szCs w:val="24"/>
      <w:lang w:val="en-US" w:eastAsia="en-IE"/>
    </w:rPr>
  </w:style>
  <w:style w:type="character" w:customStyle="1" w:styleId="Mention8">
    <w:name w:val="Mention8"/>
    <w:basedOn w:val="DefaultParagraphFont"/>
    <w:uiPriority w:val="99"/>
    <w:unhideWhenUsed/>
    <w:rsid w:val="00A71942"/>
    <w:rPr>
      <w:color w:val="2B579A"/>
      <w:shd w:val="clear" w:color="auto" w:fill="E6E6E6"/>
    </w:rPr>
  </w:style>
  <w:style w:type="character" w:customStyle="1" w:styleId="Mention9">
    <w:name w:val="Mention9"/>
    <w:basedOn w:val="DefaultParagraphFont"/>
    <w:uiPriority w:val="99"/>
    <w:unhideWhenUsed/>
    <w:rsid w:val="00A71942"/>
    <w:rPr>
      <w:color w:val="2B579A"/>
      <w:shd w:val="clear" w:color="auto" w:fill="E1DFDD"/>
    </w:rPr>
  </w:style>
  <w:style w:type="character" w:customStyle="1" w:styleId="UnresolvedMention100">
    <w:name w:val="Unresolved Mention10"/>
    <w:basedOn w:val="DefaultParagraphFont"/>
    <w:uiPriority w:val="99"/>
    <w:semiHidden/>
    <w:unhideWhenUsed/>
    <w:rsid w:val="00A71942"/>
    <w:rPr>
      <w:color w:val="605E5C"/>
      <w:shd w:val="clear" w:color="auto" w:fill="E1DFDD"/>
    </w:rPr>
  </w:style>
  <w:style w:type="character" w:customStyle="1" w:styleId="Mention100">
    <w:name w:val="Mention10"/>
    <w:basedOn w:val="DefaultParagraphFont"/>
    <w:uiPriority w:val="99"/>
    <w:unhideWhenUsed/>
    <w:rsid w:val="00A71942"/>
    <w:rPr>
      <w:color w:val="2B579A"/>
      <w:shd w:val="clear" w:color="auto" w:fill="E1DFDD"/>
    </w:rPr>
  </w:style>
  <w:style w:type="paragraph" w:customStyle="1" w:styleId="BVIfnr">
    <w:name w:val="BVI fnr Знак Знак"/>
    <w:basedOn w:val="Normal"/>
    <w:uiPriority w:val="99"/>
    <w:rsid w:val="1FC5E705"/>
    <w:rPr>
      <w:color w:val="auto"/>
      <w:vertAlign w:val="superscript"/>
      <w:lang w:val="en-IE"/>
    </w:rPr>
  </w:style>
  <w:style w:type="character" w:customStyle="1" w:styleId="Mention11">
    <w:name w:val="Mention11"/>
    <w:basedOn w:val="DefaultParagraphFont"/>
    <w:uiPriority w:val="99"/>
    <w:unhideWhenUsed/>
    <w:rsid w:val="00A71942"/>
    <w:rPr>
      <w:color w:val="2B579A"/>
      <w:shd w:val="clear" w:color="auto" w:fill="E1DFDD"/>
    </w:rPr>
  </w:style>
  <w:style w:type="character" w:customStyle="1" w:styleId="UnresolvedMention11">
    <w:name w:val="Unresolved Mention11"/>
    <w:basedOn w:val="DefaultParagraphFont"/>
    <w:uiPriority w:val="99"/>
    <w:semiHidden/>
    <w:unhideWhenUsed/>
    <w:rsid w:val="00A71942"/>
    <w:rPr>
      <w:color w:val="605E5C"/>
      <w:shd w:val="clear" w:color="auto" w:fill="E1DFDD"/>
    </w:rPr>
  </w:style>
  <w:style w:type="character" w:customStyle="1" w:styleId="Mention12">
    <w:name w:val="Mention12"/>
    <w:basedOn w:val="DefaultParagraphFont"/>
    <w:uiPriority w:val="99"/>
    <w:unhideWhenUsed/>
    <w:rsid w:val="00A71942"/>
    <w:rPr>
      <w:color w:val="2B579A"/>
      <w:shd w:val="clear" w:color="auto" w:fill="E1DFDD"/>
    </w:rPr>
  </w:style>
  <w:style w:type="character" w:customStyle="1" w:styleId="A12">
    <w:name w:val="A12"/>
    <w:uiPriority w:val="99"/>
    <w:rsid w:val="00A71942"/>
    <w:rPr>
      <w:rFonts w:cs="Elza"/>
      <w:color w:val="000000"/>
      <w:sz w:val="17"/>
      <w:szCs w:val="17"/>
    </w:rPr>
  </w:style>
  <w:style w:type="character" w:customStyle="1" w:styleId="Mention13">
    <w:name w:val="Mention13"/>
    <w:basedOn w:val="DefaultParagraphFont"/>
    <w:uiPriority w:val="99"/>
    <w:unhideWhenUsed/>
    <w:rsid w:val="00A71942"/>
    <w:rPr>
      <w:color w:val="2B579A"/>
      <w:shd w:val="clear" w:color="auto" w:fill="E1DFDD"/>
    </w:rPr>
  </w:style>
  <w:style w:type="paragraph" w:customStyle="1" w:styleId="W03Object-01Title">
    <w:name w:val="W03 Object - 01 Title"/>
    <w:basedOn w:val="Normal"/>
    <w:uiPriority w:val="1"/>
    <w:rsid w:val="1FC5E705"/>
    <w:pPr>
      <w:spacing w:after="0"/>
    </w:pPr>
    <w:rPr>
      <w:rFonts w:ascii="Montserrat SemiBold" w:hAnsi="Montserrat SemiBold" w:cs="Calibri"/>
      <w:i/>
      <w:iCs/>
      <w:color w:val="5F497A"/>
      <w:sz w:val="18"/>
      <w:szCs w:val="18"/>
      <w:lang w:val="en-IE"/>
    </w:rPr>
  </w:style>
  <w:style w:type="paragraph" w:customStyle="1" w:styleId="CaptionIA">
    <w:name w:val="CaptionIA"/>
    <w:basedOn w:val="Caption"/>
    <w:link w:val="CaptionIAChar"/>
    <w:uiPriority w:val="1"/>
    <w:qFormat/>
    <w:rsid w:val="00A71942"/>
    <w:pPr>
      <w:keepLines w:val="0"/>
      <w:pBdr>
        <w:top w:val="none" w:sz="0" w:space="0" w:color="auto"/>
        <w:bottom w:val="none" w:sz="0" w:space="0" w:color="auto"/>
      </w:pBdr>
      <w:spacing w:before="160" w:after="120"/>
    </w:pPr>
    <w:rPr>
      <w:rFonts w:eastAsia="Times New Roman"/>
      <w:bCs w:val="0"/>
      <w:i/>
      <w:color w:val="auto"/>
      <w:szCs w:val="20"/>
      <w:lang w:val="en-IE" w:eastAsia="en-IE"/>
    </w:rPr>
  </w:style>
  <w:style w:type="character" w:customStyle="1" w:styleId="CaptionIAChar">
    <w:name w:val="CaptionIA Char"/>
    <w:basedOn w:val="DefaultParagraphFont"/>
    <w:link w:val="CaptionIA"/>
    <w:uiPriority w:val="1"/>
    <w:rsid w:val="00A71942"/>
    <w:rPr>
      <w:rFonts w:ascii="Times New Roman" w:eastAsia="Times New Roman" w:hAnsi="Times New Roman" w:cs="Times New Roman"/>
      <w:i/>
      <w:color w:val="auto"/>
      <w:sz w:val="24"/>
      <w:lang w:val="en-IE" w:eastAsia="en-IE"/>
    </w:rPr>
  </w:style>
  <w:style w:type="character" w:customStyle="1" w:styleId="UnresolvedMention12">
    <w:name w:val="Unresolved Mention12"/>
    <w:basedOn w:val="DefaultParagraphFont"/>
    <w:uiPriority w:val="99"/>
    <w:semiHidden/>
    <w:unhideWhenUsed/>
    <w:rsid w:val="00A71942"/>
    <w:rPr>
      <w:color w:val="605E5C"/>
      <w:shd w:val="clear" w:color="auto" w:fill="E1DFDD"/>
    </w:rPr>
  </w:style>
  <w:style w:type="character" w:customStyle="1" w:styleId="UnresolvedMention13">
    <w:name w:val="Unresolved Mention13"/>
    <w:basedOn w:val="DefaultParagraphFont"/>
    <w:uiPriority w:val="99"/>
    <w:semiHidden/>
    <w:unhideWhenUsed/>
    <w:rsid w:val="00A71942"/>
    <w:rPr>
      <w:color w:val="605E5C"/>
      <w:shd w:val="clear" w:color="auto" w:fill="E1DFDD"/>
    </w:rPr>
  </w:style>
  <w:style w:type="paragraph" w:customStyle="1" w:styleId="Char1">
    <w:name w:val="Char1"/>
    <w:basedOn w:val="Normal"/>
    <w:uiPriority w:val="99"/>
    <w:rsid w:val="1FC5E705"/>
    <w:rPr>
      <w:rFonts w:eastAsia="Times New Roman"/>
      <w:color w:val="auto"/>
      <w:sz w:val="20"/>
      <w:szCs w:val="20"/>
      <w:vertAlign w:val="superscript"/>
      <w:lang w:val="en-US" w:eastAsia="en-GB"/>
    </w:rPr>
  </w:style>
  <w:style w:type="character" w:customStyle="1" w:styleId="UnresolvedMention14">
    <w:name w:val="Unresolved Mention14"/>
    <w:basedOn w:val="DefaultParagraphFont"/>
    <w:uiPriority w:val="99"/>
    <w:semiHidden/>
    <w:unhideWhenUsed/>
    <w:rsid w:val="00A71942"/>
    <w:rPr>
      <w:color w:val="605E5C"/>
      <w:shd w:val="clear" w:color="auto" w:fill="E1DFDD"/>
    </w:rPr>
  </w:style>
  <w:style w:type="character" w:customStyle="1" w:styleId="Mention14">
    <w:name w:val="Mention14"/>
    <w:basedOn w:val="DefaultParagraphFont"/>
    <w:uiPriority w:val="99"/>
    <w:unhideWhenUsed/>
    <w:rsid w:val="00A71942"/>
    <w:rPr>
      <w:color w:val="2B579A"/>
      <w:shd w:val="clear" w:color="auto" w:fill="E1DFDD"/>
    </w:rPr>
  </w:style>
  <w:style w:type="character" w:customStyle="1" w:styleId="Mention15">
    <w:name w:val="Mention15"/>
    <w:basedOn w:val="DefaultParagraphFont"/>
    <w:uiPriority w:val="99"/>
    <w:unhideWhenUsed/>
    <w:rsid w:val="00A71942"/>
    <w:rPr>
      <w:color w:val="2B579A"/>
      <w:shd w:val="clear" w:color="auto" w:fill="E1DFDD"/>
    </w:rPr>
  </w:style>
  <w:style w:type="character" w:customStyle="1" w:styleId="UnresolvedMention15">
    <w:name w:val="Unresolved Mention15"/>
    <w:basedOn w:val="DefaultParagraphFont"/>
    <w:uiPriority w:val="99"/>
    <w:semiHidden/>
    <w:unhideWhenUsed/>
    <w:rsid w:val="00A71942"/>
    <w:rPr>
      <w:color w:val="605E5C"/>
      <w:shd w:val="clear" w:color="auto" w:fill="E1DFDD"/>
    </w:rPr>
  </w:style>
  <w:style w:type="character" w:customStyle="1" w:styleId="ecl-linklabel">
    <w:name w:val="ecl-link__label"/>
    <w:basedOn w:val="DefaultParagraphFont"/>
    <w:rsid w:val="00A71942"/>
  </w:style>
  <w:style w:type="character" w:customStyle="1" w:styleId="cf21">
    <w:name w:val="cf21"/>
    <w:basedOn w:val="DefaultParagraphFont"/>
    <w:rsid w:val="00A71942"/>
    <w:rPr>
      <w:rFonts w:ascii="Segoe UI" w:hAnsi="Segoe UI" w:cs="Segoe UI" w:hint="default"/>
      <w:sz w:val="18"/>
      <w:szCs w:val="18"/>
    </w:rPr>
  </w:style>
  <w:style w:type="character" w:customStyle="1" w:styleId="authorname">
    <w:name w:val="authorname"/>
    <w:basedOn w:val="DefaultParagraphFont"/>
    <w:rsid w:val="00A71942"/>
  </w:style>
  <w:style w:type="character" w:customStyle="1" w:styleId="separator">
    <w:name w:val="separator"/>
    <w:basedOn w:val="DefaultParagraphFont"/>
    <w:rsid w:val="00A71942"/>
  </w:style>
  <w:style w:type="character" w:customStyle="1" w:styleId="Date1">
    <w:name w:val="Date1"/>
    <w:basedOn w:val="DefaultParagraphFont"/>
    <w:rsid w:val="00A71942"/>
  </w:style>
  <w:style w:type="character" w:customStyle="1" w:styleId="arttitle">
    <w:name w:val="art_title"/>
    <w:basedOn w:val="DefaultParagraphFont"/>
    <w:rsid w:val="00A71942"/>
  </w:style>
  <w:style w:type="character" w:customStyle="1" w:styleId="serialtitle">
    <w:name w:val="serial_title"/>
    <w:basedOn w:val="DefaultParagraphFont"/>
    <w:rsid w:val="00A71942"/>
  </w:style>
  <w:style w:type="character" w:customStyle="1" w:styleId="volumeissue">
    <w:name w:val="volume_issue"/>
    <w:basedOn w:val="DefaultParagraphFont"/>
    <w:rsid w:val="00A71942"/>
  </w:style>
  <w:style w:type="character" w:customStyle="1" w:styleId="pagerange">
    <w:name w:val="page_range"/>
    <w:basedOn w:val="DefaultParagraphFont"/>
    <w:rsid w:val="00A71942"/>
  </w:style>
  <w:style w:type="character" w:customStyle="1" w:styleId="doilink">
    <w:name w:val="doi_link"/>
    <w:basedOn w:val="DefaultParagraphFont"/>
    <w:rsid w:val="00A71942"/>
  </w:style>
  <w:style w:type="character" w:customStyle="1" w:styleId="BodytextChar0">
    <w:name w:val="Body text Char"/>
    <w:link w:val="BodyText1"/>
    <w:rsid w:val="00A71942"/>
    <w:rPr>
      <w:rFonts w:asciiTheme="minorHAnsi" w:hAnsiTheme="minorHAnsi" w:cs="Arial"/>
      <w:color w:val="auto"/>
      <w:kern w:val="2"/>
      <w:sz w:val="22"/>
      <w:szCs w:val="22"/>
      <w:lang w:val="en-US"/>
      <w14:ligatures w14:val="standardContextual"/>
    </w:rPr>
  </w:style>
  <w:style w:type="paragraph" w:customStyle="1" w:styleId="footnote">
    <w:name w:val="footnote"/>
    <w:basedOn w:val="FootnoteText"/>
    <w:link w:val="footnoteChar"/>
    <w:autoRedefine/>
    <w:qFormat/>
    <w:rsid w:val="00A71942"/>
    <w:pPr>
      <w:spacing w:after="0"/>
      <w:contextualSpacing/>
    </w:pPr>
    <w:rPr>
      <w:rFonts w:ascii="Arial" w:eastAsia="Times New Roman" w:hAnsi="Arial" w:cs="Times New Roman"/>
      <w:color w:val="auto"/>
      <w:lang w:val="en-US" w:eastAsia="en-GB"/>
    </w:rPr>
  </w:style>
  <w:style w:type="character" w:customStyle="1" w:styleId="footnoteChar">
    <w:name w:val="footnote Char"/>
    <w:link w:val="footnote"/>
    <w:rsid w:val="00A71942"/>
    <w:rPr>
      <w:rFonts w:eastAsia="Times New Roman" w:cs="Times New Roman"/>
      <w:color w:val="auto"/>
      <w:sz w:val="16"/>
      <w:szCs w:val="16"/>
      <w:lang w:val="en-US" w:eastAsia="en-GB"/>
    </w:rPr>
  </w:style>
  <w:style w:type="character" w:customStyle="1" w:styleId="Hashtag10">
    <w:name w:val="Hashtag1"/>
    <w:basedOn w:val="DefaultParagraphFont"/>
    <w:uiPriority w:val="99"/>
    <w:semiHidden/>
    <w:unhideWhenUsed/>
    <w:rsid w:val="00036DBD"/>
    <w:rPr>
      <w:rFonts w:ascii="Arial" w:hAnsi="Arial" w:cs="Arial"/>
      <w:color w:val="2B579A"/>
      <w:shd w:val="clear" w:color="auto" w:fill="E6E6E6"/>
    </w:rPr>
  </w:style>
  <w:style w:type="character" w:customStyle="1" w:styleId="SmartHyperlink10">
    <w:name w:val="Smart Hyperlink1"/>
    <w:basedOn w:val="DefaultParagraphFont"/>
    <w:uiPriority w:val="99"/>
    <w:semiHidden/>
    <w:unhideWhenUsed/>
    <w:rsid w:val="00036DBD"/>
    <w:rPr>
      <w:rFonts w:ascii="Arial" w:hAnsi="Arial" w:cs="Arial"/>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852">
      <w:bodyDiv w:val="1"/>
      <w:marLeft w:val="0"/>
      <w:marRight w:val="0"/>
      <w:marTop w:val="0"/>
      <w:marBottom w:val="0"/>
      <w:divBdr>
        <w:top w:val="none" w:sz="0" w:space="0" w:color="auto"/>
        <w:left w:val="none" w:sz="0" w:space="0" w:color="auto"/>
        <w:bottom w:val="none" w:sz="0" w:space="0" w:color="auto"/>
        <w:right w:val="none" w:sz="0" w:space="0" w:color="auto"/>
      </w:divBdr>
    </w:div>
    <w:div w:id="11225238">
      <w:bodyDiv w:val="1"/>
      <w:marLeft w:val="0"/>
      <w:marRight w:val="0"/>
      <w:marTop w:val="0"/>
      <w:marBottom w:val="0"/>
      <w:divBdr>
        <w:top w:val="none" w:sz="0" w:space="0" w:color="auto"/>
        <w:left w:val="none" w:sz="0" w:space="0" w:color="auto"/>
        <w:bottom w:val="none" w:sz="0" w:space="0" w:color="auto"/>
        <w:right w:val="none" w:sz="0" w:space="0" w:color="auto"/>
      </w:divBdr>
    </w:div>
    <w:div w:id="16545929">
      <w:bodyDiv w:val="1"/>
      <w:marLeft w:val="0"/>
      <w:marRight w:val="0"/>
      <w:marTop w:val="0"/>
      <w:marBottom w:val="0"/>
      <w:divBdr>
        <w:top w:val="none" w:sz="0" w:space="0" w:color="auto"/>
        <w:left w:val="none" w:sz="0" w:space="0" w:color="auto"/>
        <w:bottom w:val="none" w:sz="0" w:space="0" w:color="auto"/>
        <w:right w:val="none" w:sz="0" w:space="0" w:color="auto"/>
      </w:divBdr>
      <w:divsChild>
        <w:div w:id="756439440">
          <w:marLeft w:val="274"/>
          <w:marRight w:val="0"/>
          <w:marTop w:val="0"/>
          <w:marBottom w:val="0"/>
          <w:divBdr>
            <w:top w:val="none" w:sz="0" w:space="0" w:color="auto"/>
            <w:left w:val="none" w:sz="0" w:space="0" w:color="auto"/>
            <w:bottom w:val="none" w:sz="0" w:space="0" w:color="auto"/>
            <w:right w:val="none" w:sz="0" w:space="0" w:color="auto"/>
          </w:divBdr>
        </w:div>
        <w:div w:id="1215970024">
          <w:marLeft w:val="274"/>
          <w:marRight w:val="0"/>
          <w:marTop w:val="0"/>
          <w:marBottom w:val="0"/>
          <w:divBdr>
            <w:top w:val="none" w:sz="0" w:space="0" w:color="auto"/>
            <w:left w:val="none" w:sz="0" w:space="0" w:color="auto"/>
            <w:bottom w:val="none" w:sz="0" w:space="0" w:color="auto"/>
            <w:right w:val="none" w:sz="0" w:space="0" w:color="auto"/>
          </w:divBdr>
        </w:div>
        <w:div w:id="1673214500">
          <w:marLeft w:val="274"/>
          <w:marRight w:val="0"/>
          <w:marTop w:val="0"/>
          <w:marBottom w:val="0"/>
          <w:divBdr>
            <w:top w:val="none" w:sz="0" w:space="0" w:color="auto"/>
            <w:left w:val="none" w:sz="0" w:space="0" w:color="auto"/>
            <w:bottom w:val="none" w:sz="0" w:space="0" w:color="auto"/>
            <w:right w:val="none" w:sz="0" w:space="0" w:color="auto"/>
          </w:divBdr>
        </w:div>
        <w:div w:id="1841895079">
          <w:marLeft w:val="274"/>
          <w:marRight w:val="0"/>
          <w:marTop w:val="0"/>
          <w:marBottom w:val="0"/>
          <w:divBdr>
            <w:top w:val="none" w:sz="0" w:space="0" w:color="auto"/>
            <w:left w:val="none" w:sz="0" w:space="0" w:color="auto"/>
            <w:bottom w:val="none" w:sz="0" w:space="0" w:color="auto"/>
            <w:right w:val="none" w:sz="0" w:space="0" w:color="auto"/>
          </w:divBdr>
        </w:div>
        <w:div w:id="1995988493">
          <w:marLeft w:val="274"/>
          <w:marRight w:val="0"/>
          <w:marTop w:val="0"/>
          <w:marBottom w:val="0"/>
          <w:divBdr>
            <w:top w:val="none" w:sz="0" w:space="0" w:color="auto"/>
            <w:left w:val="none" w:sz="0" w:space="0" w:color="auto"/>
            <w:bottom w:val="none" w:sz="0" w:space="0" w:color="auto"/>
            <w:right w:val="none" w:sz="0" w:space="0" w:color="auto"/>
          </w:divBdr>
        </w:div>
      </w:divsChild>
    </w:div>
    <w:div w:id="34472949">
      <w:bodyDiv w:val="1"/>
      <w:marLeft w:val="0"/>
      <w:marRight w:val="0"/>
      <w:marTop w:val="0"/>
      <w:marBottom w:val="0"/>
      <w:divBdr>
        <w:top w:val="none" w:sz="0" w:space="0" w:color="auto"/>
        <w:left w:val="none" w:sz="0" w:space="0" w:color="auto"/>
        <w:bottom w:val="none" w:sz="0" w:space="0" w:color="auto"/>
        <w:right w:val="none" w:sz="0" w:space="0" w:color="auto"/>
      </w:divBdr>
    </w:div>
    <w:div w:id="47808071">
      <w:bodyDiv w:val="1"/>
      <w:marLeft w:val="0"/>
      <w:marRight w:val="0"/>
      <w:marTop w:val="0"/>
      <w:marBottom w:val="0"/>
      <w:divBdr>
        <w:top w:val="none" w:sz="0" w:space="0" w:color="auto"/>
        <w:left w:val="none" w:sz="0" w:space="0" w:color="auto"/>
        <w:bottom w:val="none" w:sz="0" w:space="0" w:color="auto"/>
        <w:right w:val="none" w:sz="0" w:space="0" w:color="auto"/>
      </w:divBdr>
    </w:div>
    <w:div w:id="49158664">
      <w:bodyDiv w:val="1"/>
      <w:marLeft w:val="0"/>
      <w:marRight w:val="0"/>
      <w:marTop w:val="0"/>
      <w:marBottom w:val="0"/>
      <w:divBdr>
        <w:top w:val="none" w:sz="0" w:space="0" w:color="auto"/>
        <w:left w:val="none" w:sz="0" w:space="0" w:color="auto"/>
        <w:bottom w:val="none" w:sz="0" w:space="0" w:color="auto"/>
        <w:right w:val="none" w:sz="0" w:space="0" w:color="auto"/>
      </w:divBdr>
    </w:div>
    <w:div w:id="50008043">
      <w:bodyDiv w:val="1"/>
      <w:marLeft w:val="0"/>
      <w:marRight w:val="0"/>
      <w:marTop w:val="0"/>
      <w:marBottom w:val="0"/>
      <w:divBdr>
        <w:top w:val="none" w:sz="0" w:space="0" w:color="auto"/>
        <w:left w:val="none" w:sz="0" w:space="0" w:color="auto"/>
        <w:bottom w:val="none" w:sz="0" w:space="0" w:color="auto"/>
        <w:right w:val="none" w:sz="0" w:space="0" w:color="auto"/>
      </w:divBdr>
    </w:div>
    <w:div w:id="55127638">
      <w:bodyDiv w:val="1"/>
      <w:marLeft w:val="0"/>
      <w:marRight w:val="0"/>
      <w:marTop w:val="0"/>
      <w:marBottom w:val="0"/>
      <w:divBdr>
        <w:top w:val="none" w:sz="0" w:space="0" w:color="auto"/>
        <w:left w:val="none" w:sz="0" w:space="0" w:color="auto"/>
        <w:bottom w:val="none" w:sz="0" w:space="0" w:color="auto"/>
        <w:right w:val="none" w:sz="0" w:space="0" w:color="auto"/>
      </w:divBdr>
    </w:div>
    <w:div w:id="56558773">
      <w:bodyDiv w:val="1"/>
      <w:marLeft w:val="0"/>
      <w:marRight w:val="0"/>
      <w:marTop w:val="0"/>
      <w:marBottom w:val="0"/>
      <w:divBdr>
        <w:top w:val="none" w:sz="0" w:space="0" w:color="auto"/>
        <w:left w:val="none" w:sz="0" w:space="0" w:color="auto"/>
        <w:bottom w:val="none" w:sz="0" w:space="0" w:color="auto"/>
        <w:right w:val="none" w:sz="0" w:space="0" w:color="auto"/>
      </w:divBdr>
    </w:div>
    <w:div w:id="60951394">
      <w:bodyDiv w:val="1"/>
      <w:marLeft w:val="0"/>
      <w:marRight w:val="0"/>
      <w:marTop w:val="0"/>
      <w:marBottom w:val="0"/>
      <w:divBdr>
        <w:top w:val="none" w:sz="0" w:space="0" w:color="auto"/>
        <w:left w:val="none" w:sz="0" w:space="0" w:color="auto"/>
        <w:bottom w:val="none" w:sz="0" w:space="0" w:color="auto"/>
        <w:right w:val="none" w:sz="0" w:space="0" w:color="auto"/>
      </w:divBdr>
    </w:div>
    <w:div w:id="66075797">
      <w:bodyDiv w:val="1"/>
      <w:marLeft w:val="0"/>
      <w:marRight w:val="0"/>
      <w:marTop w:val="0"/>
      <w:marBottom w:val="0"/>
      <w:divBdr>
        <w:top w:val="none" w:sz="0" w:space="0" w:color="auto"/>
        <w:left w:val="none" w:sz="0" w:space="0" w:color="auto"/>
        <w:bottom w:val="none" w:sz="0" w:space="0" w:color="auto"/>
        <w:right w:val="none" w:sz="0" w:space="0" w:color="auto"/>
      </w:divBdr>
    </w:div>
    <w:div w:id="67924395">
      <w:bodyDiv w:val="1"/>
      <w:marLeft w:val="0"/>
      <w:marRight w:val="0"/>
      <w:marTop w:val="0"/>
      <w:marBottom w:val="0"/>
      <w:divBdr>
        <w:top w:val="none" w:sz="0" w:space="0" w:color="auto"/>
        <w:left w:val="none" w:sz="0" w:space="0" w:color="auto"/>
        <w:bottom w:val="none" w:sz="0" w:space="0" w:color="auto"/>
        <w:right w:val="none" w:sz="0" w:space="0" w:color="auto"/>
      </w:divBdr>
    </w:div>
    <w:div w:id="90517736">
      <w:bodyDiv w:val="1"/>
      <w:marLeft w:val="0"/>
      <w:marRight w:val="0"/>
      <w:marTop w:val="0"/>
      <w:marBottom w:val="0"/>
      <w:divBdr>
        <w:top w:val="none" w:sz="0" w:space="0" w:color="auto"/>
        <w:left w:val="none" w:sz="0" w:space="0" w:color="auto"/>
        <w:bottom w:val="none" w:sz="0" w:space="0" w:color="auto"/>
        <w:right w:val="none" w:sz="0" w:space="0" w:color="auto"/>
      </w:divBdr>
    </w:div>
    <w:div w:id="93331345">
      <w:bodyDiv w:val="1"/>
      <w:marLeft w:val="0"/>
      <w:marRight w:val="0"/>
      <w:marTop w:val="0"/>
      <w:marBottom w:val="0"/>
      <w:divBdr>
        <w:top w:val="none" w:sz="0" w:space="0" w:color="auto"/>
        <w:left w:val="none" w:sz="0" w:space="0" w:color="auto"/>
        <w:bottom w:val="none" w:sz="0" w:space="0" w:color="auto"/>
        <w:right w:val="none" w:sz="0" w:space="0" w:color="auto"/>
      </w:divBdr>
    </w:div>
    <w:div w:id="98986667">
      <w:bodyDiv w:val="1"/>
      <w:marLeft w:val="0"/>
      <w:marRight w:val="0"/>
      <w:marTop w:val="0"/>
      <w:marBottom w:val="0"/>
      <w:divBdr>
        <w:top w:val="none" w:sz="0" w:space="0" w:color="auto"/>
        <w:left w:val="none" w:sz="0" w:space="0" w:color="auto"/>
        <w:bottom w:val="none" w:sz="0" w:space="0" w:color="auto"/>
        <w:right w:val="none" w:sz="0" w:space="0" w:color="auto"/>
      </w:divBdr>
    </w:div>
    <w:div w:id="117602277">
      <w:bodyDiv w:val="1"/>
      <w:marLeft w:val="0"/>
      <w:marRight w:val="0"/>
      <w:marTop w:val="0"/>
      <w:marBottom w:val="0"/>
      <w:divBdr>
        <w:top w:val="none" w:sz="0" w:space="0" w:color="auto"/>
        <w:left w:val="none" w:sz="0" w:space="0" w:color="auto"/>
        <w:bottom w:val="none" w:sz="0" w:space="0" w:color="auto"/>
        <w:right w:val="none" w:sz="0" w:space="0" w:color="auto"/>
      </w:divBdr>
    </w:div>
    <w:div w:id="119149462">
      <w:bodyDiv w:val="1"/>
      <w:marLeft w:val="0"/>
      <w:marRight w:val="0"/>
      <w:marTop w:val="0"/>
      <w:marBottom w:val="0"/>
      <w:divBdr>
        <w:top w:val="none" w:sz="0" w:space="0" w:color="auto"/>
        <w:left w:val="none" w:sz="0" w:space="0" w:color="auto"/>
        <w:bottom w:val="none" w:sz="0" w:space="0" w:color="auto"/>
        <w:right w:val="none" w:sz="0" w:space="0" w:color="auto"/>
      </w:divBdr>
    </w:div>
    <w:div w:id="129248677">
      <w:bodyDiv w:val="1"/>
      <w:marLeft w:val="0"/>
      <w:marRight w:val="0"/>
      <w:marTop w:val="0"/>
      <w:marBottom w:val="0"/>
      <w:divBdr>
        <w:top w:val="none" w:sz="0" w:space="0" w:color="auto"/>
        <w:left w:val="none" w:sz="0" w:space="0" w:color="auto"/>
        <w:bottom w:val="none" w:sz="0" w:space="0" w:color="auto"/>
        <w:right w:val="none" w:sz="0" w:space="0" w:color="auto"/>
      </w:divBdr>
    </w:div>
    <w:div w:id="133643244">
      <w:bodyDiv w:val="1"/>
      <w:marLeft w:val="0"/>
      <w:marRight w:val="0"/>
      <w:marTop w:val="0"/>
      <w:marBottom w:val="0"/>
      <w:divBdr>
        <w:top w:val="none" w:sz="0" w:space="0" w:color="auto"/>
        <w:left w:val="none" w:sz="0" w:space="0" w:color="auto"/>
        <w:bottom w:val="none" w:sz="0" w:space="0" w:color="auto"/>
        <w:right w:val="none" w:sz="0" w:space="0" w:color="auto"/>
      </w:divBdr>
    </w:div>
    <w:div w:id="145830368">
      <w:bodyDiv w:val="1"/>
      <w:marLeft w:val="0"/>
      <w:marRight w:val="0"/>
      <w:marTop w:val="0"/>
      <w:marBottom w:val="0"/>
      <w:divBdr>
        <w:top w:val="none" w:sz="0" w:space="0" w:color="auto"/>
        <w:left w:val="none" w:sz="0" w:space="0" w:color="auto"/>
        <w:bottom w:val="none" w:sz="0" w:space="0" w:color="auto"/>
        <w:right w:val="none" w:sz="0" w:space="0" w:color="auto"/>
      </w:divBdr>
    </w:div>
    <w:div w:id="150220207">
      <w:bodyDiv w:val="1"/>
      <w:marLeft w:val="0"/>
      <w:marRight w:val="0"/>
      <w:marTop w:val="0"/>
      <w:marBottom w:val="0"/>
      <w:divBdr>
        <w:top w:val="none" w:sz="0" w:space="0" w:color="auto"/>
        <w:left w:val="none" w:sz="0" w:space="0" w:color="auto"/>
        <w:bottom w:val="none" w:sz="0" w:space="0" w:color="auto"/>
        <w:right w:val="none" w:sz="0" w:space="0" w:color="auto"/>
      </w:divBdr>
    </w:div>
    <w:div w:id="194199995">
      <w:bodyDiv w:val="1"/>
      <w:marLeft w:val="0"/>
      <w:marRight w:val="0"/>
      <w:marTop w:val="0"/>
      <w:marBottom w:val="0"/>
      <w:divBdr>
        <w:top w:val="none" w:sz="0" w:space="0" w:color="auto"/>
        <w:left w:val="none" w:sz="0" w:space="0" w:color="auto"/>
        <w:bottom w:val="none" w:sz="0" w:space="0" w:color="auto"/>
        <w:right w:val="none" w:sz="0" w:space="0" w:color="auto"/>
      </w:divBdr>
    </w:div>
    <w:div w:id="195848198">
      <w:bodyDiv w:val="1"/>
      <w:marLeft w:val="0"/>
      <w:marRight w:val="0"/>
      <w:marTop w:val="0"/>
      <w:marBottom w:val="0"/>
      <w:divBdr>
        <w:top w:val="none" w:sz="0" w:space="0" w:color="auto"/>
        <w:left w:val="none" w:sz="0" w:space="0" w:color="auto"/>
        <w:bottom w:val="none" w:sz="0" w:space="0" w:color="auto"/>
        <w:right w:val="none" w:sz="0" w:space="0" w:color="auto"/>
      </w:divBdr>
    </w:div>
    <w:div w:id="199129872">
      <w:bodyDiv w:val="1"/>
      <w:marLeft w:val="0"/>
      <w:marRight w:val="0"/>
      <w:marTop w:val="0"/>
      <w:marBottom w:val="0"/>
      <w:divBdr>
        <w:top w:val="none" w:sz="0" w:space="0" w:color="auto"/>
        <w:left w:val="none" w:sz="0" w:space="0" w:color="auto"/>
        <w:bottom w:val="none" w:sz="0" w:space="0" w:color="auto"/>
        <w:right w:val="none" w:sz="0" w:space="0" w:color="auto"/>
      </w:divBdr>
    </w:div>
    <w:div w:id="202524172">
      <w:bodyDiv w:val="1"/>
      <w:marLeft w:val="0"/>
      <w:marRight w:val="0"/>
      <w:marTop w:val="0"/>
      <w:marBottom w:val="0"/>
      <w:divBdr>
        <w:top w:val="none" w:sz="0" w:space="0" w:color="auto"/>
        <w:left w:val="none" w:sz="0" w:space="0" w:color="auto"/>
        <w:bottom w:val="none" w:sz="0" w:space="0" w:color="auto"/>
        <w:right w:val="none" w:sz="0" w:space="0" w:color="auto"/>
      </w:divBdr>
    </w:div>
    <w:div w:id="206381362">
      <w:bodyDiv w:val="1"/>
      <w:marLeft w:val="0"/>
      <w:marRight w:val="0"/>
      <w:marTop w:val="0"/>
      <w:marBottom w:val="0"/>
      <w:divBdr>
        <w:top w:val="none" w:sz="0" w:space="0" w:color="auto"/>
        <w:left w:val="none" w:sz="0" w:space="0" w:color="auto"/>
        <w:bottom w:val="none" w:sz="0" w:space="0" w:color="auto"/>
        <w:right w:val="none" w:sz="0" w:space="0" w:color="auto"/>
      </w:divBdr>
    </w:div>
    <w:div w:id="220948804">
      <w:bodyDiv w:val="1"/>
      <w:marLeft w:val="0"/>
      <w:marRight w:val="0"/>
      <w:marTop w:val="0"/>
      <w:marBottom w:val="0"/>
      <w:divBdr>
        <w:top w:val="none" w:sz="0" w:space="0" w:color="auto"/>
        <w:left w:val="none" w:sz="0" w:space="0" w:color="auto"/>
        <w:bottom w:val="none" w:sz="0" w:space="0" w:color="auto"/>
        <w:right w:val="none" w:sz="0" w:space="0" w:color="auto"/>
      </w:divBdr>
      <w:divsChild>
        <w:div w:id="827090451">
          <w:marLeft w:val="0"/>
          <w:marRight w:val="0"/>
          <w:marTop w:val="0"/>
          <w:marBottom w:val="0"/>
          <w:divBdr>
            <w:top w:val="none" w:sz="0" w:space="0" w:color="auto"/>
            <w:left w:val="none" w:sz="0" w:space="0" w:color="auto"/>
            <w:bottom w:val="none" w:sz="0" w:space="0" w:color="auto"/>
            <w:right w:val="none" w:sz="0" w:space="0" w:color="auto"/>
          </w:divBdr>
        </w:div>
        <w:div w:id="901213309">
          <w:marLeft w:val="0"/>
          <w:marRight w:val="0"/>
          <w:marTop w:val="0"/>
          <w:marBottom w:val="0"/>
          <w:divBdr>
            <w:top w:val="none" w:sz="0" w:space="0" w:color="auto"/>
            <w:left w:val="none" w:sz="0" w:space="0" w:color="auto"/>
            <w:bottom w:val="none" w:sz="0" w:space="0" w:color="auto"/>
            <w:right w:val="none" w:sz="0" w:space="0" w:color="auto"/>
          </w:divBdr>
        </w:div>
      </w:divsChild>
    </w:div>
    <w:div w:id="225267546">
      <w:bodyDiv w:val="1"/>
      <w:marLeft w:val="0"/>
      <w:marRight w:val="0"/>
      <w:marTop w:val="0"/>
      <w:marBottom w:val="0"/>
      <w:divBdr>
        <w:top w:val="none" w:sz="0" w:space="0" w:color="auto"/>
        <w:left w:val="none" w:sz="0" w:space="0" w:color="auto"/>
        <w:bottom w:val="none" w:sz="0" w:space="0" w:color="auto"/>
        <w:right w:val="none" w:sz="0" w:space="0" w:color="auto"/>
      </w:divBdr>
    </w:div>
    <w:div w:id="248782795">
      <w:bodyDiv w:val="1"/>
      <w:marLeft w:val="0"/>
      <w:marRight w:val="0"/>
      <w:marTop w:val="0"/>
      <w:marBottom w:val="0"/>
      <w:divBdr>
        <w:top w:val="none" w:sz="0" w:space="0" w:color="auto"/>
        <w:left w:val="none" w:sz="0" w:space="0" w:color="auto"/>
        <w:bottom w:val="none" w:sz="0" w:space="0" w:color="auto"/>
        <w:right w:val="none" w:sz="0" w:space="0" w:color="auto"/>
      </w:divBdr>
    </w:div>
    <w:div w:id="252594950">
      <w:bodyDiv w:val="1"/>
      <w:marLeft w:val="0"/>
      <w:marRight w:val="0"/>
      <w:marTop w:val="0"/>
      <w:marBottom w:val="0"/>
      <w:divBdr>
        <w:top w:val="none" w:sz="0" w:space="0" w:color="auto"/>
        <w:left w:val="none" w:sz="0" w:space="0" w:color="auto"/>
        <w:bottom w:val="none" w:sz="0" w:space="0" w:color="auto"/>
        <w:right w:val="none" w:sz="0" w:space="0" w:color="auto"/>
      </w:divBdr>
    </w:div>
    <w:div w:id="258609644">
      <w:bodyDiv w:val="1"/>
      <w:marLeft w:val="0"/>
      <w:marRight w:val="0"/>
      <w:marTop w:val="0"/>
      <w:marBottom w:val="0"/>
      <w:divBdr>
        <w:top w:val="none" w:sz="0" w:space="0" w:color="auto"/>
        <w:left w:val="none" w:sz="0" w:space="0" w:color="auto"/>
        <w:bottom w:val="none" w:sz="0" w:space="0" w:color="auto"/>
        <w:right w:val="none" w:sz="0" w:space="0" w:color="auto"/>
      </w:divBdr>
    </w:div>
    <w:div w:id="272247666">
      <w:bodyDiv w:val="1"/>
      <w:marLeft w:val="0"/>
      <w:marRight w:val="0"/>
      <w:marTop w:val="0"/>
      <w:marBottom w:val="0"/>
      <w:divBdr>
        <w:top w:val="none" w:sz="0" w:space="0" w:color="auto"/>
        <w:left w:val="none" w:sz="0" w:space="0" w:color="auto"/>
        <w:bottom w:val="none" w:sz="0" w:space="0" w:color="auto"/>
        <w:right w:val="none" w:sz="0" w:space="0" w:color="auto"/>
      </w:divBdr>
      <w:divsChild>
        <w:div w:id="117994638">
          <w:marLeft w:val="0"/>
          <w:marRight w:val="0"/>
          <w:marTop w:val="0"/>
          <w:marBottom w:val="0"/>
          <w:divBdr>
            <w:top w:val="none" w:sz="0" w:space="0" w:color="auto"/>
            <w:left w:val="none" w:sz="0" w:space="0" w:color="auto"/>
            <w:bottom w:val="none" w:sz="0" w:space="0" w:color="auto"/>
            <w:right w:val="none" w:sz="0" w:space="0" w:color="auto"/>
          </w:divBdr>
        </w:div>
        <w:div w:id="184446440">
          <w:marLeft w:val="0"/>
          <w:marRight w:val="0"/>
          <w:marTop w:val="0"/>
          <w:marBottom w:val="0"/>
          <w:divBdr>
            <w:top w:val="none" w:sz="0" w:space="0" w:color="auto"/>
            <w:left w:val="none" w:sz="0" w:space="0" w:color="auto"/>
            <w:bottom w:val="none" w:sz="0" w:space="0" w:color="auto"/>
            <w:right w:val="none" w:sz="0" w:space="0" w:color="auto"/>
          </w:divBdr>
        </w:div>
        <w:div w:id="243417815">
          <w:marLeft w:val="0"/>
          <w:marRight w:val="0"/>
          <w:marTop w:val="0"/>
          <w:marBottom w:val="0"/>
          <w:divBdr>
            <w:top w:val="none" w:sz="0" w:space="0" w:color="auto"/>
            <w:left w:val="none" w:sz="0" w:space="0" w:color="auto"/>
            <w:bottom w:val="none" w:sz="0" w:space="0" w:color="auto"/>
            <w:right w:val="none" w:sz="0" w:space="0" w:color="auto"/>
          </w:divBdr>
        </w:div>
        <w:div w:id="895429730">
          <w:marLeft w:val="0"/>
          <w:marRight w:val="0"/>
          <w:marTop w:val="0"/>
          <w:marBottom w:val="0"/>
          <w:divBdr>
            <w:top w:val="none" w:sz="0" w:space="0" w:color="auto"/>
            <w:left w:val="none" w:sz="0" w:space="0" w:color="auto"/>
            <w:bottom w:val="none" w:sz="0" w:space="0" w:color="auto"/>
            <w:right w:val="none" w:sz="0" w:space="0" w:color="auto"/>
          </w:divBdr>
        </w:div>
        <w:div w:id="1312716758">
          <w:marLeft w:val="0"/>
          <w:marRight w:val="0"/>
          <w:marTop w:val="0"/>
          <w:marBottom w:val="0"/>
          <w:divBdr>
            <w:top w:val="none" w:sz="0" w:space="0" w:color="auto"/>
            <w:left w:val="none" w:sz="0" w:space="0" w:color="auto"/>
            <w:bottom w:val="none" w:sz="0" w:space="0" w:color="auto"/>
            <w:right w:val="none" w:sz="0" w:space="0" w:color="auto"/>
          </w:divBdr>
        </w:div>
      </w:divsChild>
    </w:div>
    <w:div w:id="275450647">
      <w:bodyDiv w:val="1"/>
      <w:marLeft w:val="0"/>
      <w:marRight w:val="0"/>
      <w:marTop w:val="0"/>
      <w:marBottom w:val="0"/>
      <w:divBdr>
        <w:top w:val="none" w:sz="0" w:space="0" w:color="auto"/>
        <w:left w:val="none" w:sz="0" w:space="0" w:color="auto"/>
        <w:bottom w:val="none" w:sz="0" w:space="0" w:color="auto"/>
        <w:right w:val="none" w:sz="0" w:space="0" w:color="auto"/>
      </w:divBdr>
    </w:div>
    <w:div w:id="279186315">
      <w:bodyDiv w:val="1"/>
      <w:marLeft w:val="0"/>
      <w:marRight w:val="0"/>
      <w:marTop w:val="0"/>
      <w:marBottom w:val="0"/>
      <w:divBdr>
        <w:top w:val="none" w:sz="0" w:space="0" w:color="auto"/>
        <w:left w:val="none" w:sz="0" w:space="0" w:color="auto"/>
        <w:bottom w:val="none" w:sz="0" w:space="0" w:color="auto"/>
        <w:right w:val="none" w:sz="0" w:space="0" w:color="auto"/>
      </w:divBdr>
      <w:divsChild>
        <w:div w:id="1347637214">
          <w:marLeft w:val="1800"/>
          <w:marRight w:val="0"/>
          <w:marTop w:val="80"/>
          <w:marBottom w:val="0"/>
          <w:divBdr>
            <w:top w:val="none" w:sz="0" w:space="0" w:color="auto"/>
            <w:left w:val="none" w:sz="0" w:space="0" w:color="auto"/>
            <w:bottom w:val="none" w:sz="0" w:space="0" w:color="auto"/>
            <w:right w:val="none" w:sz="0" w:space="0" w:color="auto"/>
          </w:divBdr>
        </w:div>
      </w:divsChild>
    </w:div>
    <w:div w:id="279337764">
      <w:bodyDiv w:val="1"/>
      <w:marLeft w:val="0"/>
      <w:marRight w:val="0"/>
      <w:marTop w:val="0"/>
      <w:marBottom w:val="0"/>
      <w:divBdr>
        <w:top w:val="none" w:sz="0" w:space="0" w:color="auto"/>
        <w:left w:val="none" w:sz="0" w:space="0" w:color="auto"/>
        <w:bottom w:val="none" w:sz="0" w:space="0" w:color="auto"/>
        <w:right w:val="none" w:sz="0" w:space="0" w:color="auto"/>
      </w:divBdr>
      <w:divsChild>
        <w:div w:id="862979306">
          <w:marLeft w:val="547"/>
          <w:marRight w:val="0"/>
          <w:marTop w:val="0"/>
          <w:marBottom w:val="0"/>
          <w:divBdr>
            <w:top w:val="none" w:sz="0" w:space="0" w:color="auto"/>
            <w:left w:val="none" w:sz="0" w:space="0" w:color="auto"/>
            <w:bottom w:val="none" w:sz="0" w:space="0" w:color="auto"/>
            <w:right w:val="none" w:sz="0" w:space="0" w:color="auto"/>
          </w:divBdr>
        </w:div>
      </w:divsChild>
    </w:div>
    <w:div w:id="279654770">
      <w:bodyDiv w:val="1"/>
      <w:marLeft w:val="0"/>
      <w:marRight w:val="0"/>
      <w:marTop w:val="0"/>
      <w:marBottom w:val="0"/>
      <w:divBdr>
        <w:top w:val="none" w:sz="0" w:space="0" w:color="auto"/>
        <w:left w:val="none" w:sz="0" w:space="0" w:color="auto"/>
        <w:bottom w:val="none" w:sz="0" w:space="0" w:color="auto"/>
        <w:right w:val="none" w:sz="0" w:space="0" w:color="auto"/>
      </w:divBdr>
    </w:div>
    <w:div w:id="284317745">
      <w:bodyDiv w:val="1"/>
      <w:marLeft w:val="0"/>
      <w:marRight w:val="0"/>
      <w:marTop w:val="0"/>
      <w:marBottom w:val="0"/>
      <w:divBdr>
        <w:top w:val="none" w:sz="0" w:space="0" w:color="auto"/>
        <w:left w:val="none" w:sz="0" w:space="0" w:color="auto"/>
        <w:bottom w:val="none" w:sz="0" w:space="0" w:color="auto"/>
        <w:right w:val="none" w:sz="0" w:space="0" w:color="auto"/>
      </w:divBdr>
    </w:div>
    <w:div w:id="284819805">
      <w:bodyDiv w:val="1"/>
      <w:marLeft w:val="0"/>
      <w:marRight w:val="0"/>
      <w:marTop w:val="0"/>
      <w:marBottom w:val="0"/>
      <w:divBdr>
        <w:top w:val="none" w:sz="0" w:space="0" w:color="auto"/>
        <w:left w:val="none" w:sz="0" w:space="0" w:color="auto"/>
        <w:bottom w:val="none" w:sz="0" w:space="0" w:color="auto"/>
        <w:right w:val="none" w:sz="0" w:space="0" w:color="auto"/>
      </w:divBdr>
    </w:div>
    <w:div w:id="293760573">
      <w:bodyDiv w:val="1"/>
      <w:marLeft w:val="0"/>
      <w:marRight w:val="0"/>
      <w:marTop w:val="0"/>
      <w:marBottom w:val="0"/>
      <w:divBdr>
        <w:top w:val="none" w:sz="0" w:space="0" w:color="auto"/>
        <w:left w:val="none" w:sz="0" w:space="0" w:color="auto"/>
        <w:bottom w:val="none" w:sz="0" w:space="0" w:color="auto"/>
        <w:right w:val="none" w:sz="0" w:space="0" w:color="auto"/>
      </w:divBdr>
    </w:div>
    <w:div w:id="313458877">
      <w:bodyDiv w:val="1"/>
      <w:marLeft w:val="0"/>
      <w:marRight w:val="0"/>
      <w:marTop w:val="0"/>
      <w:marBottom w:val="0"/>
      <w:divBdr>
        <w:top w:val="none" w:sz="0" w:space="0" w:color="auto"/>
        <w:left w:val="none" w:sz="0" w:space="0" w:color="auto"/>
        <w:bottom w:val="none" w:sz="0" w:space="0" w:color="auto"/>
        <w:right w:val="none" w:sz="0" w:space="0" w:color="auto"/>
      </w:divBdr>
    </w:div>
    <w:div w:id="329607148">
      <w:bodyDiv w:val="1"/>
      <w:marLeft w:val="0"/>
      <w:marRight w:val="0"/>
      <w:marTop w:val="0"/>
      <w:marBottom w:val="0"/>
      <w:divBdr>
        <w:top w:val="none" w:sz="0" w:space="0" w:color="auto"/>
        <w:left w:val="none" w:sz="0" w:space="0" w:color="auto"/>
        <w:bottom w:val="none" w:sz="0" w:space="0" w:color="auto"/>
        <w:right w:val="none" w:sz="0" w:space="0" w:color="auto"/>
      </w:divBdr>
      <w:divsChild>
        <w:div w:id="1942253509">
          <w:marLeft w:val="547"/>
          <w:marRight w:val="0"/>
          <w:marTop w:val="0"/>
          <w:marBottom w:val="0"/>
          <w:divBdr>
            <w:top w:val="none" w:sz="0" w:space="0" w:color="auto"/>
            <w:left w:val="none" w:sz="0" w:space="0" w:color="auto"/>
            <w:bottom w:val="none" w:sz="0" w:space="0" w:color="auto"/>
            <w:right w:val="none" w:sz="0" w:space="0" w:color="auto"/>
          </w:divBdr>
        </w:div>
      </w:divsChild>
    </w:div>
    <w:div w:id="338118074">
      <w:bodyDiv w:val="1"/>
      <w:marLeft w:val="0"/>
      <w:marRight w:val="0"/>
      <w:marTop w:val="0"/>
      <w:marBottom w:val="0"/>
      <w:divBdr>
        <w:top w:val="none" w:sz="0" w:space="0" w:color="auto"/>
        <w:left w:val="none" w:sz="0" w:space="0" w:color="auto"/>
        <w:bottom w:val="none" w:sz="0" w:space="0" w:color="auto"/>
        <w:right w:val="none" w:sz="0" w:space="0" w:color="auto"/>
      </w:divBdr>
    </w:div>
    <w:div w:id="352610951">
      <w:bodyDiv w:val="1"/>
      <w:marLeft w:val="0"/>
      <w:marRight w:val="0"/>
      <w:marTop w:val="0"/>
      <w:marBottom w:val="0"/>
      <w:divBdr>
        <w:top w:val="none" w:sz="0" w:space="0" w:color="auto"/>
        <w:left w:val="none" w:sz="0" w:space="0" w:color="auto"/>
        <w:bottom w:val="none" w:sz="0" w:space="0" w:color="auto"/>
        <w:right w:val="none" w:sz="0" w:space="0" w:color="auto"/>
      </w:divBdr>
    </w:div>
    <w:div w:id="361789790">
      <w:bodyDiv w:val="1"/>
      <w:marLeft w:val="0"/>
      <w:marRight w:val="0"/>
      <w:marTop w:val="0"/>
      <w:marBottom w:val="0"/>
      <w:divBdr>
        <w:top w:val="none" w:sz="0" w:space="0" w:color="auto"/>
        <w:left w:val="none" w:sz="0" w:space="0" w:color="auto"/>
        <w:bottom w:val="none" w:sz="0" w:space="0" w:color="auto"/>
        <w:right w:val="none" w:sz="0" w:space="0" w:color="auto"/>
      </w:divBdr>
    </w:div>
    <w:div w:id="366372430">
      <w:bodyDiv w:val="1"/>
      <w:marLeft w:val="0"/>
      <w:marRight w:val="0"/>
      <w:marTop w:val="0"/>
      <w:marBottom w:val="0"/>
      <w:divBdr>
        <w:top w:val="none" w:sz="0" w:space="0" w:color="auto"/>
        <w:left w:val="none" w:sz="0" w:space="0" w:color="auto"/>
        <w:bottom w:val="none" w:sz="0" w:space="0" w:color="auto"/>
        <w:right w:val="none" w:sz="0" w:space="0" w:color="auto"/>
      </w:divBdr>
      <w:divsChild>
        <w:div w:id="471408065">
          <w:marLeft w:val="288"/>
          <w:marRight w:val="0"/>
          <w:marTop w:val="0"/>
          <w:marBottom w:val="0"/>
          <w:divBdr>
            <w:top w:val="none" w:sz="0" w:space="0" w:color="auto"/>
            <w:left w:val="none" w:sz="0" w:space="0" w:color="auto"/>
            <w:bottom w:val="none" w:sz="0" w:space="0" w:color="auto"/>
            <w:right w:val="none" w:sz="0" w:space="0" w:color="auto"/>
          </w:divBdr>
        </w:div>
      </w:divsChild>
    </w:div>
    <w:div w:id="379938807">
      <w:bodyDiv w:val="1"/>
      <w:marLeft w:val="0"/>
      <w:marRight w:val="0"/>
      <w:marTop w:val="0"/>
      <w:marBottom w:val="0"/>
      <w:divBdr>
        <w:top w:val="none" w:sz="0" w:space="0" w:color="auto"/>
        <w:left w:val="none" w:sz="0" w:space="0" w:color="auto"/>
        <w:bottom w:val="none" w:sz="0" w:space="0" w:color="auto"/>
        <w:right w:val="none" w:sz="0" w:space="0" w:color="auto"/>
      </w:divBdr>
    </w:div>
    <w:div w:id="384331557">
      <w:bodyDiv w:val="1"/>
      <w:marLeft w:val="0"/>
      <w:marRight w:val="0"/>
      <w:marTop w:val="0"/>
      <w:marBottom w:val="0"/>
      <w:divBdr>
        <w:top w:val="none" w:sz="0" w:space="0" w:color="auto"/>
        <w:left w:val="none" w:sz="0" w:space="0" w:color="auto"/>
        <w:bottom w:val="none" w:sz="0" w:space="0" w:color="auto"/>
        <w:right w:val="none" w:sz="0" w:space="0" w:color="auto"/>
      </w:divBdr>
      <w:divsChild>
        <w:div w:id="608664211">
          <w:marLeft w:val="0"/>
          <w:marRight w:val="0"/>
          <w:marTop w:val="0"/>
          <w:marBottom w:val="0"/>
          <w:divBdr>
            <w:top w:val="none" w:sz="0" w:space="0" w:color="auto"/>
            <w:left w:val="none" w:sz="0" w:space="0" w:color="auto"/>
            <w:bottom w:val="none" w:sz="0" w:space="0" w:color="auto"/>
            <w:right w:val="none" w:sz="0" w:space="0" w:color="auto"/>
          </w:divBdr>
        </w:div>
      </w:divsChild>
    </w:div>
    <w:div w:id="385834409">
      <w:bodyDiv w:val="1"/>
      <w:marLeft w:val="0"/>
      <w:marRight w:val="0"/>
      <w:marTop w:val="0"/>
      <w:marBottom w:val="0"/>
      <w:divBdr>
        <w:top w:val="none" w:sz="0" w:space="0" w:color="auto"/>
        <w:left w:val="none" w:sz="0" w:space="0" w:color="auto"/>
        <w:bottom w:val="none" w:sz="0" w:space="0" w:color="auto"/>
        <w:right w:val="none" w:sz="0" w:space="0" w:color="auto"/>
      </w:divBdr>
    </w:div>
    <w:div w:id="385908089">
      <w:bodyDiv w:val="1"/>
      <w:marLeft w:val="0"/>
      <w:marRight w:val="0"/>
      <w:marTop w:val="0"/>
      <w:marBottom w:val="0"/>
      <w:divBdr>
        <w:top w:val="none" w:sz="0" w:space="0" w:color="auto"/>
        <w:left w:val="none" w:sz="0" w:space="0" w:color="auto"/>
        <w:bottom w:val="none" w:sz="0" w:space="0" w:color="auto"/>
        <w:right w:val="none" w:sz="0" w:space="0" w:color="auto"/>
      </w:divBdr>
    </w:div>
    <w:div w:id="392630506">
      <w:bodyDiv w:val="1"/>
      <w:marLeft w:val="0"/>
      <w:marRight w:val="0"/>
      <w:marTop w:val="0"/>
      <w:marBottom w:val="0"/>
      <w:divBdr>
        <w:top w:val="none" w:sz="0" w:space="0" w:color="auto"/>
        <w:left w:val="none" w:sz="0" w:space="0" w:color="auto"/>
        <w:bottom w:val="none" w:sz="0" w:space="0" w:color="auto"/>
        <w:right w:val="none" w:sz="0" w:space="0" w:color="auto"/>
      </w:divBdr>
      <w:divsChild>
        <w:div w:id="896667793">
          <w:marLeft w:val="274"/>
          <w:marRight w:val="0"/>
          <w:marTop w:val="0"/>
          <w:marBottom w:val="0"/>
          <w:divBdr>
            <w:top w:val="none" w:sz="0" w:space="0" w:color="auto"/>
            <w:left w:val="none" w:sz="0" w:space="0" w:color="auto"/>
            <w:bottom w:val="none" w:sz="0" w:space="0" w:color="auto"/>
            <w:right w:val="none" w:sz="0" w:space="0" w:color="auto"/>
          </w:divBdr>
        </w:div>
        <w:div w:id="1181502979">
          <w:marLeft w:val="274"/>
          <w:marRight w:val="0"/>
          <w:marTop w:val="0"/>
          <w:marBottom w:val="0"/>
          <w:divBdr>
            <w:top w:val="none" w:sz="0" w:space="0" w:color="auto"/>
            <w:left w:val="none" w:sz="0" w:space="0" w:color="auto"/>
            <w:bottom w:val="none" w:sz="0" w:space="0" w:color="auto"/>
            <w:right w:val="none" w:sz="0" w:space="0" w:color="auto"/>
          </w:divBdr>
        </w:div>
        <w:div w:id="2141603302">
          <w:marLeft w:val="274"/>
          <w:marRight w:val="0"/>
          <w:marTop w:val="0"/>
          <w:marBottom w:val="0"/>
          <w:divBdr>
            <w:top w:val="none" w:sz="0" w:space="0" w:color="auto"/>
            <w:left w:val="none" w:sz="0" w:space="0" w:color="auto"/>
            <w:bottom w:val="none" w:sz="0" w:space="0" w:color="auto"/>
            <w:right w:val="none" w:sz="0" w:space="0" w:color="auto"/>
          </w:divBdr>
        </w:div>
      </w:divsChild>
    </w:div>
    <w:div w:id="397442276">
      <w:bodyDiv w:val="1"/>
      <w:marLeft w:val="0"/>
      <w:marRight w:val="0"/>
      <w:marTop w:val="0"/>
      <w:marBottom w:val="0"/>
      <w:divBdr>
        <w:top w:val="none" w:sz="0" w:space="0" w:color="auto"/>
        <w:left w:val="none" w:sz="0" w:space="0" w:color="auto"/>
        <w:bottom w:val="none" w:sz="0" w:space="0" w:color="auto"/>
        <w:right w:val="none" w:sz="0" w:space="0" w:color="auto"/>
      </w:divBdr>
    </w:div>
    <w:div w:id="407264975">
      <w:bodyDiv w:val="1"/>
      <w:marLeft w:val="0"/>
      <w:marRight w:val="0"/>
      <w:marTop w:val="0"/>
      <w:marBottom w:val="0"/>
      <w:divBdr>
        <w:top w:val="none" w:sz="0" w:space="0" w:color="auto"/>
        <w:left w:val="none" w:sz="0" w:space="0" w:color="auto"/>
        <w:bottom w:val="none" w:sz="0" w:space="0" w:color="auto"/>
        <w:right w:val="none" w:sz="0" w:space="0" w:color="auto"/>
      </w:divBdr>
    </w:div>
    <w:div w:id="408967620">
      <w:bodyDiv w:val="1"/>
      <w:marLeft w:val="0"/>
      <w:marRight w:val="0"/>
      <w:marTop w:val="0"/>
      <w:marBottom w:val="0"/>
      <w:divBdr>
        <w:top w:val="none" w:sz="0" w:space="0" w:color="auto"/>
        <w:left w:val="none" w:sz="0" w:space="0" w:color="auto"/>
        <w:bottom w:val="none" w:sz="0" w:space="0" w:color="auto"/>
        <w:right w:val="none" w:sz="0" w:space="0" w:color="auto"/>
      </w:divBdr>
    </w:div>
    <w:div w:id="426997554">
      <w:bodyDiv w:val="1"/>
      <w:marLeft w:val="0"/>
      <w:marRight w:val="0"/>
      <w:marTop w:val="0"/>
      <w:marBottom w:val="0"/>
      <w:divBdr>
        <w:top w:val="none" w:sz="0" w:space="0" w:color="auto"/>
        <w:left w:val="none" w:sz="0" w:space="0" w:color="auto"/>
        <w:bottom w:val="none" w:sz="0" w:space="0" w:color="auto"/>
        <w:right w:val="none" w:sz="0" w:space="0" w:color="auto"/>
      </w:divBdr>
    </w:div>
    <w:div w:id="457769141">
      <w:bodyDiv w:val="1"/>
      <w:marLeft w:val="0"/>
      <w:marRight w:val="0"/>
      <w:marTop w:val="0"/>
      <w:marBottom w:val="0"/>
      <w:divBdr>
        <w:top w:val="none" w:sz="0" w:space="0" w:color="auto"/>
        <w:left w:val="none" w:sz="0" w:space="0" w:color="auto"/>
        <w:bottom w:val="none" w:sz="0" w:space="0" w:color="auto"/>
        <w:right w:val="none" w:sz="0" w:space="0" w:color="auto"/>
      </w:divBdr>
    </w:div>
    <w:div w:id="467167364">
      <w:bodyDiv w:val="1"/>
      <w:marLeft w:val="0"/>
      <w:marRight w:val="0"/>
      <w:marTop w:val="0"/>
      <w:marBottom w:val="0"/>
      <w:divBdr>
        <w:top w:val="none" w:sz="0" w:space="0" w:color="auto"/>
        <w:left w:val="none" w:sz="0" w:space="0" w:color="auto"/>
        <w:bottom w:val="none" w:sz="0" w:space="0" w:color="auto"/>
        <w:right w:val="none" w:sz="0" w:space="0" w:color="auto"/>
      </w:divBdr>
    </w:div>
    <w:div w:id="482429582">
      <w:bodyDiv w:val="1"/>
      <w:marLeft w:val="0"/>
      <w:marRight w:val="0"/>
      <w:marTop w:val="0"/>
      <w:marBottom w:val="0"/>
      <w:divBdr>
        <w:top w:val="none" w:sz="0" w:space="0" w:color="auto"/>
        <w:left w:val="none" w:sz="0" w:space="0" w:color="auto"/>
        <w:bottom w:val="none" w:sz="0" w:space="0" w:color="auto"/>
        <w:right w:val="none" w:sz="0" w:space="0" w:color="auto"/>
      </w:divBdr>
    </w:div>
    <w:div w:id="487795649">
      <w:bodyDiv w:val="1"/>
      <w:marLeft w:val="0"/>
      <w:marRight w:val="0"/>
      <w:marTop w:val="0"/>
      <w:marBottom w:val="0"/>
      <w:divBdr>
        <w:top w:val="none" w:sz="0" w:space="0" w:color="auto"/>
        <w:left w:val="none" w:sz="0" w:space="0" w:color="auto"/>
        <w:bottom w:val="none" w:sz="0" w:space="0" w:color="auto"/>
        <w:right w:val="none" w:sz="0" w:space="0" w:color="auto"/>
      </w:divBdr>
    </w:div>
    <w:div w:id="492185330">
      <w:bodyDiv w:val="1"/>
      <w:marLeft w:val="0"/>
      <w:marRight w:val="0"/>
      <w:marTop w:val="0"/>
      <w:marBottom w:val="0"/>
      <w:divBdr>
        <w:top w:val="none" w:sz="0" w:space="0" w:color="auto"/>
        <w:left w:val="none" w:sz="0" w:space="0" w:color="auto"/>
        <w:bottom w:val="none" w:sz="0" w:space="0" w:color="auto"/>
        <w:right w:val="none" w:sz="0" w:space="0" w:color="auto"/>
      </w:divBdr>
    </w:div>
    <w:div w:id="508838346">
      <w:bodyDiv w:val="1"/>
      <w:marLeft w:val="0"/>
      <w:marRight w:val="0"/>
      <w:marTop w:val="0"/>
      <w:marBottom w:val="0"/>
      <w:divBdr>
        <w:top w:val="none" w:sz="0" w:space="0" w:color="auto"/>
        <w:left w:val="none" w:sz="0" w:space="0" w:color="auto"/>
        <w:bottom w:val="none" w:sz="0" w:space="0" w:color="auto"/>
        <w:right w:val="none" w:sz="0" w:space="0" w:color="auto"/>
      </w:divBdr>
    </w:div>
    <w:div w:id="520510378">
      <w:bodyDiv w:val="1"/>
      <w:marLeft w:val="0"/>
      <w:marRight w:val="0"/>
      <w:marTop w:val="0"/>
      <w:marBottom w:val="0"/>
      <w:divBdr>
        <w:top w:val="none" w:sz="0" w:space="0" w:color="auto"/>
        <w:left w:val="none" w:sz="0" w:space="0" w:color="auto"/>
        <w:bottom w:val="none" w:sz="0" w:space="0" w:color="auto"/>
        <w:right w:val="none" w:sz="0" w:space="0" w:color="auto"/>
      </w:divBdr>
    </w:div>
    <w:div w:id="531773943">
      <w:bodyDiv w:val="1"/>
      <w:marLeft w:val="0"/>
      <w:marRight w:val="0"/>
      <w:marTop w:val="0"/>
      <w:marBottom w:val="0"/>
      <w:divBdr>
        <w:top w:val="none" w:sz="0" w:space="0" w:color="auto"/>
        <w:left w:val="none" w:sz="0" w:space="0" w:color="auto"/>
        <w:bottom w:val="none" w:sz="0" w:space="0" w:color="auto"/>
        <w:right w:val="none" w:sz="0" w:space="0" w:color="auto"/>
      </w:divBdr>
      <w:divsChild>
        <w:div w:id="109857421">
          <w:marLeft w:val="274"/>
          <w:marRight w:val="0"/>
          <w:marTop w:val="0"/>
          <w:marBottom w:val="60"/>
          <w:divBdr>
            <w:top w:val="none" w:sz="0" w:space="0" w:color="auto"/>
            <w:left w:val="none" w:sz="0" w:space="0" w:color="auto"/>
            <w:bottom w:val="none" w:sz="0" w:space="0" w:color="auto"/>
            <w:right w:val="none" w:sz="0" w:space="0" w:color="auto"/>
          </w:divBdr>
        </w:div>
        <w:div w:id="819151992">
          <w:marLeft w:val="274"/>
          <w:marRight w:val="0"/>
          <w:marTop w:val="0"/>
          <w:marBottom w:val="60"/>
          <w:divBdr>
            <w:top w:val="none" w:sz="0" w:space="0" w:color="auto"/>
            <w:left w:val="none" w:sz="0" w:space="0" w:color="auto"/>
            <w:bottom w:val="none" w:sz="0" w:space="0" w:color="auto"/>
            <w:right w:val="none" w:sz="0" w:space="0" w:color="auto"/>
          </w:divBdr>
        </w:div>
        <w:div w:id="974143508">
          <w:marLeft w:val="274"/>
          <w:marRight w:val="0"/>
          <w:marTop w:val="0"/>
          <w:marBottom w:val="60"/>
          <w:divBdr>
            <w:top w:val="none" w:sz="0" w:space="0" w:color="auto"/>
            <w:left w:val="none" w:sz="0" w:space="0" w:color="auto"/>
            <w:bottom w:val="none" w:sz="0" w:space="0" w:color="auto"/>
            <w:right w:val="none" w:sz="0" w:space="0" w:color="auto"/>
          </w:divBdr>
        </w:div>
        <w:div w:id="1021735906">
          <w:marLeft w:val="274"/>
          <w:marRight w:val="0"/>
          <w:marTop w:val="0"/>
          <w:marBottom w:val="60"/>
          <w:divBdr>
            <w:top w:val="none" w:sz="0" w:space="0" w:color="auto"/>
            <w:left w:val="none" w:sz="0" w:space="0" w:color="auto"/>
            <w:bottom w:val="none" w:sz="0" w:space="0" w:color="auto"/>
            <w:right w:val="none" w:sz="0" w:space="0" w:color="auto"/>
          </w:divBdr>
        </w:div>
        <w:div w:id="1115438825">
          <w:marLeft w:val="274"/>
          <w:marRight w:val="0"/>
          <w:marTop w:val="0"/>
          <w:marBottom w:val="60"/>
          <w:divBdr>
            <w:top w:val="none" w:sz="0" w:space="0" w:color="auto"/>
            <w:left w:val="none" w:sz="0" w:space="0" w:color="auto"/>
            <w:bottom w:val="none" w:sz="0" w:space="0" w:color="auto"/>
            <w:right w:val="none" w:sz="0" w:space="0" w:color="auto"/>
          </w:divBdr>
        </w:div>
        <w:div w:id="1243023847">
          <w:marLeft w:val="274"/>
          <w:marRight w:val="0"/>
          <w:marTop w:val="0"/>
          <w:marBottom w:val="60"/>
          <w:divBdr>
            <w:top w:val="none" w:sz="0" w:space="0" w:color="auto"/>
            <w:left w:val="none" w:sz="0" w:space="0" w:color="auto"/>
            <w:bottom w:val="none" w:sz="0" w:space="0" w:color="auto"/>
            <w:right w:val="none" w:sz="0" w:space="0" w:color="auto"/>
          </w:divBdr>
        </w:div>
        <w:div w:id="1458639178">
          <w:marLeft w:val="274"/>
          <w:marRight w:val="0"/>
          <w:marTop w:val="0"/>
          <w:marBottom w:val="60"/>
          <w:divBdr>
            <w:top w:val="none" w:sz="0" w:space="0" w:color="auto"/>
            <w:left w:val="none" w:sz="0" w:space="0" w:color="auto"/>
            <w:bottom w:val="none" w:sz="0" w:space="0" w:color="auto"/>
            <w:right w:val="none" w:sz="0" w:space="0" w:color="auto"/>
          </w:divBdr>
        </w:div>
        <w:div w:id="1482696794">
          <w:marLeft w:val="274"/>
          <w:marRight w:val="0"/>
          <w:marTop w:val="0"/>
          <w:marBottom w:val="60"/>
          <w:divBdr>
            <w:top w:val="none" w:sz="0" w:space="0" w:color="auto"/>
            <w:left w:val="none" w:sz="0" w:space="0" w:color="auto"/>
            <w:bottom w:val="none" w:sz="0" w:space="0" w:color="auto"/>
            <w:right w:val="none" w:sz="0" w:space="0" w:color="auto"/>
          </w:divBdr>
        </w:div>
        <w:div w:id="1769618231">
          <w:marLeft w:val="274"/>
          <w:marRight w:val="0"/>
          <w:marTop w:val="0"/>
          <w:marBottom w:val="60"/>
          <w:divBdr>
            <w:top w:val="none" w:sz="0" w:space="0" w:color="auto"/>
            <w:left w:val="none" w:sz="0" w:space="0" w:color="auto"/>
            <w:bottom w:val="none" w:sz="0" w:space="0" w:color="auto"/>
            <w:right w:val="none" w:sz="0" w:space="0" w:color="auto"/>
          </w:divBdr>
        </w:div>
        <w:div w:id="1853761381">
          <w:marLeft w:val="274"/>
          <w:marRight w:val="0"/>
          <w:marTop w:val="0"/>
          <w:marBottom w:val="60"/>
          <w:divBdr>
            <w:top w:val="none" w:sz="0" w:space="0" w:color="auto"/>
            <w:left w:val="none" w:sz="0" w:space="0" w:color="auto"/>
            <w:bottom w:val="none" w:sz="0" w:space="0" w:color="auto"/>
            <w:right w:val="none" w:sz="0" w:space="0" w:color="auto"/>
          </w:divBdr>
        </w:div>
      </w:divsChild>
    </w:div>
    <w:div w:id="553084908">
      <w:bodyDiv w:val="1"/>
      <w:marLeft w:val="0"/>
      <w:marRight w:val="0"/>
      <w:marTop w:val="0"/>
      <w:marBottom w:val="0"/>
      <w:divBdr>
        <w:top w:val="none" w:sz="0" w:space="0" w:color="auto"/>
        <w:left w:val="none" w:sz="0" w:space="0" w:color="auto"/>
        <w:bottom w:val="none" w:sz="0" w:space="0" w:color="auto"/>
        <w:right w:val="none" w:sz="0" w:space="0" w:color="auto"/>
      </w:divBdr>
    </w:div>
    <w:div w:id="559362267">
      <w:bodyDiv w:val="1"/>
      <w:marLeft w:val="0"/>
      <w:marRight w:val="0"/>
      <w:marTop w:val="0"/>
      <w:marBottom w:val="0"/>
      <w:divBdr>
        <w:top w:val="none" w:sz="0" w:space="0" w:color="auto"/>
        <w:left w:val="none" w:sz="0" w:space="0" w:color="auto"/>
        <w:bottom w:val="none" w:sz="0" w:space="0" w:color="auto"/>
        <w:right w:val="none" w:sz="0" w:space="0" w:color="auto"/>
      </w:divBdr>
    </w:div>
    <w:div w:id="563640716">
      <w:bodyDiv w:val="1"/>
      <w:marLeft w:val="0"/>
      <w:marRight w:val="0"/>
      <w:marTop w:val="0"/>
      <w:marBottom w:val="0"/>
      <w:divBdr>
        <w:top w:val="none" w:sz="0" w:space="0" w:color="auto"/>
        <w:left w:val="none" w:sz="0" w:space="0" w:color="auto"/>
        <w:bottom w:val="none" w:sz="0" w:space="0" w:color="auto"/>
        <w:right w:val="none" w:sz="0" w:space="0" w:color="auto"/>
      </w:divBdr>
      <w:divsChild>
        <w:div w:id="587269798">
          <w:marLeft w:val="0"/>
          <w:marRight w:val="0"/>
          <w:marTop w:val="0"/>
          <w:marBottom w:val="0"/>
          <w:divBdr>
            <w:top w:val="none" w:sz="0" w:space="0" w:color="auto"/>
            <w:left w:val="none" w:sz="0" w:space="0" w:color="auto"/>
            <w:bottom w:val="none" w:sz="0" w:space="0" w:color="auto"/>
            <w:right w:val="none" w:sz="0" w:space="0" w:color="auto"/>
          </w:divBdr>
        </w:div>
      </w:divsChild>
    </w:div>
    <w:div w:id="566965180">
      <w:bodyDiv w:val="1"/>
      <w:marLeft w:val="0"/>
      <w:marRight w:val="0"/>
      <w:marTop w:val="0"/>
      <w:marBottom w:val="0"/>
      <w:divBdr>
        <w:top w:val="none" w:sz="0" w:space="0" w:color="auto"/>
        <w:left w:val="none" w:sz="0" w:space="0" w:color="auto"/>
        <w:bottom w:val="none" w:sz="0" w:space="0" w:color="auto"/>
        <w:right w:val="none" w:sz="0" w:space="0" w:color="auto"/>
      </w:divBdr>
    </w:div>
    <w:div w:id="571623742">
      <w:bodyDiv w:val="1"/>
      <w:marLeft w:val="0"/>
      <w:marRight w:val="0"/>
      <w:marTop w:val="0"/>
      <w:marBottom w:val="0"/>
      <w:divBdr>
        <w:top w:val="none" w:sz="0" w:space="0" w:color="auto"/>
        <w:left w:val="none" w:sz="0" w:space="0" w:color="auto"/>
        <w:bottom w:val="none" w:sz="0" w:space="0" w:color="auto"/>
        <w:right w:val="none" w:sz="0" w:space="0" w:color="auto"/>
      </w:divBdr>
    </w:div>
    <w:div w:id="586810054">
      <w:bodyDiv w:val="1"/>
      <w:marLeft w:val="0"/>
      <w:marRight w:val="0"/>
      <w:marTop w:val="0"/>
      <w:marBottom w:val="0"/>
      <w:divBdr>
        <w:top w:val="none" w:sz="0" w:space="0" w:color="auto"/>
        <w:left w:val="none" w:sz="0" w:space="0" w:color="auto"/>
        <w:bottom w:val="none" w:sz="0" w:space="0" w:color="auto"/>
        <w:right w:val="none" w:sz="0" w:space="0" w:color="auto"/>
      </w:divBdr>
    </w:div>
    <w:div w:id="594023705">
      <w:bodyDiv w:val="1"/>
      <w:marLeft w:val="0"/>
      <w:marRight w:val="0"/>
      <w:marTop w:val="0"/>
      <w:marBottom w:val="0"/>
      <w:divBdr>
        <w:top w:val="none" w:sz="0" w:space="0" w:color="auto"/>
        <w:left w:val="none" w:sz="0" w:space="0" w:color="auto"/>
        <w:bottom w:val="none" w:sz="0" w:space="0" w:color="auto"/>
        <w:right w:val="none" w:sz="0" w:space="0" w:color="auto"/>
      </w:divBdr>
    </w:div>
    <w:div w:id="599215385">
      <w:bodyDiv w:val="1"/>
      <w:marLeft w:val="0"/>
      <w:marRight w:val="0"/>
      <w:marTop w:val="0"/>
      <w:marBottom w:val="0"/>
      <w:divBdr>
        <w:top w:val="none" w:sz="0" w:space="0" w:color="auto"/>
        <w:left w:val="none" w:sz="0" w:space="0" w:color="auto"/>
        <w:bottom w:val="none" w:sz="0" w:space="0" w:color="auto"/>
        <w:right w:val="none" w:sz="0" w:space="0" w:color="auto"/>
      </w:divBdr>
    </w:div>
    <w:div w:id="611671039">
      <w:bodyDiv w:val="1"/>
      <w:marLeft w:val="0"/>
      <w:marRight w:val="0"/>
      <w:marTop w:val="0"/>
      <w:marBottom w:val="0"/>
      <w:divBdr>
        <w:top w:val="none" w:sz="0" w:space="0" w:color="auto"/>
        <w:left w:val="none" w:sz="0" w:space="0" w:color="auto"/>
        <w:bottom w:val="none" w:sz="0" w:space="0" w:color="auto"/>
        <w:right w:val="none" w:sz="0" w:space="0" w:color="auto"/>
      </w:divBdr>
    </w:div>
    <w:div w:id="643510094">
      <w:bodyDiv w:val="1"/>
      <w:marLeft w:val="0"/>
      <w:marRight w:val="0"/>
      <w:marTop w:val="0"/>
      <w:marBottom w:val="0"/>
      <w:divBdr>
        <w:top w:val="none" w:sz="0" w:space="0" w:color="auto"/>
        <w:left w:val="none" w:sz="0" w:space="0" w:color="auto"/>
        <w:bottom w:val="none" w:sz="0" w:space="0" w:color="auto"/>
        <w:right w:val="none" w:sz="0" w:space="0" w:color="auto"/>
      </w:divBdr>
      <w:divsChild>
        <w:div w:id="104420790">
          <w:marLeft w:val="274"/>
          <w:marRight w:val="0"/>
          <w:marTop w:val="0"/>
          <w:marBottom w:val="60"/>
          <w:divBdr>
            <w:top w:val="none" w:sz="0" w:space="0" w:color="auto"/>
            <w:left w:val="none" w:sz="0" w:space="0" w:color="auto"/>
            <w:bottom w:val="none" w:sz="0" w:space="0" w:color="auto"/>
            <w:right w:val="none" w:sz="0" w:space="0" w:color="auto"/>
          </w:divBdr>
        </w:div>
        <w:div w:id="515657391">
          <w:marLeft w:val="274"/>
          <w:marRight w:val="0"/>
          <w:marTop w:val="0"/>
          <w:marBottom w:val="60"/>
          <w:divBdr>
            <w:top w:val="none" w:sz="0" w:space="0" w:color="auto"/>
            <w:left w:val="none" w:sz="0" w:space="0" w:color="auto"/>
            <w:bottom w:val="none" w:sz="0" w:space="0" w:color="auto"/>
            <w:right w:val="none" w:sz="0" w:space="0" w:color="auto"/>
          </w:divBdr>
        </w:div>
        <w:div w:id="682824543">
          <w:marLeft w:val="274"/>
          <w:marRight w:val="0"/>
          <w:marTop w:val="0"/>
          <w:marBottom w:val="60"/>
          <w:divBdr>
            <w:top w:val="none" w:sz="0" w:space="0" w:color="auto"/>
            <w:left w:val="none" w:sz="0" w:space="0" w:color="auto"/>
            <w:bottom w:val="none" w:sz="0" w:space="0" w:color="auto"/>
            <w:right w:val="none" w:sz="0" w:space="0" w:color="auto"/>
          </w:divBdr>
        </w:div>
        <w:div w:id="866256197">
          <w:marLeft w:val="274"/>
          <w:marRight w:val="0"/>
          <w:marTop w:val="0"/>
          <w:marBottom w:val="60"/>
          <w:divBdr>
            <w:top w:val="none" w:sz="0" w:space="0" w:color="auto"/>
            <w:left w:val="none" w:sz="0" w:space="0" w:color="auto"/>
            <w:bottom w:val="none" w:sz="0" w:space="0" w:color="auto"/>
            <w:right w:val="none" w:sz="0" w:space="0" w:color="auto"/>
          </w:divBdr>
        </w:div>
        <w:div w:id="969094678">
          <w:marLeft w:val="274"/>
          <w:marRight w:val="0"/>
          <w:marTop w:val="0"/>
          <w:marBottom w:val="60"/>
          <w:divBdr>
            <w:top w:val="none" w:sz="0" w:space="0" w:color="auto"/>
            <w:left w:val="none" w:sz="0" w:space="0" w:color="auto"/>
            <w:bottom w:val="none" w:sz="0" w:space="0" w:color="auto"/>
            <w:right w:val="none" w:sz="0" w:space="0" w:color="auto"/>
          </w:divBdr>
        </w:div>
        <w:div w:id="1009676975">
          <w:marLeft w:val="274"/>
          <w:marRight w:val="0"/>
          <w:marTop w:val="0"/>
          <w:marBottom w:val="60"/>
          <w:divBdr>
            <w:top w:val="none" w:sz="0" w:space="0" w:color="auto"/>
            <w:left w:val="none" w:sz="0" w:space="0" w:color="auto"/>
            <w:bottom w:val="none" w:sz="0" w:space="0" w:color="auto"/>
            <w:right w:val="none" w:sz="0" w:space="0" w:color="auto"/>
          </w:divBdr>
        </w:div>
        <w:div w:id="1347755962">
          <w:marLeft w:val="274"/>
          <w:marRight w:val="0"/>
          <w:marTop w:val="0"/>
          <w:marBottom w:val="60"/>
          <w:divBdr>
            <w:top w:val="none" w:sz="0" w:space="0" w:color="auto"/>
            <w:left w:val="none" w:sz="0" w:space="0" w:color="auto"/>
            <w:bottom w:val="none" w:sz="0" w:space="0" w:color="auto"/>
            <w:right w:val="none" w:sz="0" w:space="0" w:color="auto"/>
          </w:divBdr>
        </w:div>
        <w:div w:id="1868445491">
          <w:marLeft w:val="274"/>
          <w:marRight w:val="0"/>
          <w:marTop w:val="0"/>
          <w:marBottom w:val="60"/>
          <w:divBdr>
            <w:top w:val="none" w:sz="0" w:space="0" w:color="auto"/>
            <w:left w:val="none" w:sz="0" w:space="0" w:color="auto"/>
            <w:bottom w:val="none" w:sz="0" w:space="0" w:color="auto"/>
            <w:right w:val="none" w:sz="0" w:space="0" w:color="auto"/>
          </w:divBdr>
        </w:div>
        <w:div w:id="1922131428">
          <w:marLeft w:val="274"/>
          <w:marRight w:val="0"/>
          <w:marTop w:val="0"/>
          <w:marBottom w:val="60"/>
          <w:divBdr>
            <w:top w:val="none" w:sz="0" w:space="0" w:color="auto"/>
            <w:left w:val="none" w:sz="0" w:space="0" w:color="auto"/>
            <w:bottom w:val="none" w:sz="0" w:space="0" w:color="auto"/>
            <w:right w:val="none" w:sz="0" w:space="0" w:color="auto"/>
          </w:divBdr>
        </w:div>
      </w:divsChild>
    </w:div>
    <w:div w:id="645821158">
      <w:bodyDiv w:val="1"/>
      <w:marLeft w:val="0"/>
      <w:marRight w:val="0"/>
      <w:marTop w:val="0"/>
      <w:marBottom w:val="0"/>
      <w:divBdr>
        <w:top w:val="none" w:sz="0" w:space="0" w:color="auto"/>
        <w:left w:val="none" w:sz="0" w:space="0" w:color="auto"/>
        <w:bottom w:val="none" w:sz="0" w:space="0" w:color="auto"/>
        <w:right w:val="none" w:sz="0" w:space="0" w:color="auto"/>
      </w:divBdr>
    </w:div>
    <w:div w:id="653605657">
      <w:bodyDiv w:val="1"/>
      <w:marLeft w:val="0"/>
      <w:marRight w:val="0"/>
      <w:marTop w:val="0"/>
      <w:marBottom w:val="0"/>
      <w:divBdr>
        <w:top w:val="none" w:sz="0" w:space="0" w:color="auto"/>
        <w:left w:val="none" w:sz="0" w:space="0" w:color="auto"/>
        <w:bottom w:val="none" w:sz="0" w:space="0" w:color="auto"/>
        <w:right w:val="none" w:sz="0" w:space="0" w:color="auto"/>
      </w:divBdr>
    </w:div>
    <w:div w:id="667750783">
      <w:bodyDiv w:val="1"/>
      <w:marLeft w:val="0"/>
      <w:marRight w:val="0"/>
      <w:marTop w:val="0"/>
      <w:marBottom w:val="0"/>
      <w:divBdr>
        <w:top w:val="none" w:sz="0" w:space="0" w:color="auto"/>
        <w:left w:val="none" w:sz="0" w:space="0" w:color="auto"/>
        <w:bottom w:val="none" w:sz="0" w:space="0" w:color="auto"/>
        <w:right w:val="none" w:sz="0" w:space="0" w:color="auto"/>
      </w:divBdr>
    </w:div>
    <w:div w:id="679544089">
      <w:bodyDiv w:val="1"/>
      <w:marLeft w:val="0"/>
      <w:marRight w:val="0"/>
      <w:marTop w:val="0"/>
      <w:marBottom w:val="0"/>
      <w:divBdr>
        <w:top w:val="none" w:sz="0" w:space="0" w:color="auto"/>
        <w:left w:val="none" w:sz="0" w:space="0" w:color="auto"/>
        <w:bottom w:val="none" w:sz="0" w:space="0" w:color="auto"/>
        <w:right w:val="none" w:sz="0" w:space="0" w:color="auto"/>
      </w:divBdr>
    </w:div>
    <w:div w:id="684944342">
      <w:bodyDiv w:val="1"/>
      <w:marLeft w:val="0"/>
      <w:marRight w:val="0"/>
      <w:marTop w:val="0"/>
      <w:marBottom w:val="0"/>
      <w:divBdr>
        <w:top w:val="none" w:sz="0" w:space="0" w:color="auto"/>
        <w:left w:val="none" w:sz="0" w:space="0" w:color="auto"/>
        <w:bottom w:val="none" w:sz="0" w:space="0" w:color="auto"/>
        <w:right w:val="none" w:sz="0" w:space="0" w:color="auto"/>
      </w:divBdr>
    </w:div>
    <w:div w:id="696155669">
      <w:bodyDiv w:val="1"/>
      <w:marLeft w:val="0"/>
      <w:marRight w:val="0"/>
      <w:marTop w:val="0"/>
      <w:marBottom w:val="0"/>
      <w:divBdr>
        <w:top w:val="none" w:sz="0" w:space="0" w:color="auto"/>
        <w:left w:val="none" w:sz="0" w:space="0" w:color="auto"/>
        <w:bottom w:val="none" w:sz="0" w:space="0" w:color="auto"/>
        <w:right w:val="none" w:sz="0" w:space="0" w:color="auto"/>
      </w:divBdr>
    </w:div>
    <w:div w:id="707728268">
      <w:bodyDiv w:val="1"/>
      <w:marLeft w:val="0"/>
      <w:marRight w:val="0"/>
      <w:marTop w:val="0"/>
      <w:marBottom w:val="0"/>
      <w:divBdr>
        <w:top w:val="none" w:sz="0" w:space="0" w:color="auto"/>
        <w:left w:val="none" w:sz="0" w:space="0" w:color="auto"/>
        <w:bottom w:val="none" w:sz="0" w:space="0" w:color="auto"/>
        <w:right w:val="none" w:sz="0" w:space="0" w:color="auto"/>
      </w:divBdr>
    </w:div>
    <w:div w:id="713314389">
      <w:bodyDiv w:val="1"/>
      <w:marLeft w:val="0"/>
      <w:marRight w:val="0"/>
      <w:marTop w:val="0"/>
      <w:marBottom w:val="0"/>
      <w:divBdr>
        <w:top w:val="none" w:sz="0" w:space="0" w:color="auto"/>
        <w:left w:val="none" w:sz="0" w:space="0" w:color="auto"/>
        <w:bottom w:val="none" w:sz="0" w:space="0" w:color="auto"/>
        <w:right w:val="none" w:sz="0" w:space="0" w:color="auto"/>
      </w:divBdr>
    </w:div>
    <w:div w:id="720637822">
      <w:bodyDiv w:val="1"/>
      <w:marLeft w:val="0"/>
      <w:marRight w:val="0"/>
      <w:marTop w:val="0"/>
      <w:marBottom w:val="0"/>
      <w:divBdr>
        <w:top w:val="none" w:sz="0" w:space="0" w:color="auto"/>
        <w:left w:val="none" w:sz="0" w:space="0" w:color="auto"/>
        <w:bottom w:val="none" w:sz="0" w:space="0" w:color="auto"/>
        <w:right w:val="none" w:sz="0" w:space="0" w:color="auto"/>
      </w:divBdr>
    </w:div>
    <w:div w:id="751897298">
      <w:bodyDiv w:val="1"/>
      <w:marLeft w:val="0"/>
      <w:marRight w:val="0"/>
      <w:marTop w:val="0"/>
      <w:marBottom w:val="0"/>
      <w:divBdr>
        <w:top w:val="none" w:sz="0" w:space="0" w:color="auto"/>
        <w:left w:val="none" w:sz="0" w:space="0" w:color="auto"/>
        <w:bottom w:val="none" w:sz="0" w:space="0" w:color="auto"/>
        <w:right w:val="none" w:sz="0" w:space="0" w:color="auto"/>
      </w:divBdr>
    </w:div>
    <w:div w:id="764039114">
      <w:bodyDiv w:val="1"/>
      <w:marLeft w:val="0"/>
      <w:marRight w:val="0"/>
      <w:marTop w:val="0"/>
      <w:marBottom w:val="0"/>
      <w:divBdr>
        <w:top w:val="none" w:sz="0" w:space="0" w:color="auto"/>
        <w:left w:val="none" w:sz="0" w:space="0" w:color="auto"/>
        <w:bottom w:val="none" w:sz="0" w:space="0" w:color="auto"/>
        <w:right w:val="none" w:sz="0" w:space="0" w:color="auto"/>
      </w:divBdr>
    </w:div>
    <w:div w:id="773786324">
      <w:bodyDiv w:val="1"/>
      <w:marLeft w:val="0"/>
      <w:marRight w:val="0"/>
      <w:marTop w:val="0"/>
      <w:marBottom w:val="0"/>
      <w:divBdr>
        <w:top w:val="none" w:sz="0" w:space="0" w:color="auto"/>
        <w:left w:val="none" w:sz="0" w:space="0" w:color="auto"/>
        <w:bottom w:val="none" w:sz="0" w:space="0" w:color="auto"/>
        <w:right w:val="none" w:sz="0" w:space="0" w:color="auto"/>
      </w:divBdr>
    </w:div>
    <w:div w:id="773943620">
      <w:bodyDiv w:val="1"/>
      <w:marLeft w:val="0"/>
      <w:marRight w:val="0"/>
      <w:marTop w:val="0"/>
      <w:marBottom w:val="0"/>
      <w:divBdr>
        <w:top w:val="none" w:sz="0" w:space="0" w:color="auto"/>
        <w:left w:val="none" w:sz="0" w:space="0" w:color="auto"/>
        <w:bottom w:val="none" w:sz="0" w:space="0" w:color="auto"/>
        <w:right w:val="none" w:sz="0" w:space="0" w:color="auto"/>
      </w:divBdr>
    </w:div>
    <w:div w:id="796340564">
      <w:bodyDiv w:val="1"/>
      <w:marLeft w:val="0"/>
      <w:marRight w:val="0"/>
      <w:marTop w:val="0"/>
      <w:marBottom w:val="0"/>
      <w:divBdr>
        <w:top w:val="none" w:sz="0" w:space="0" w:color="auto"/>
        <w:left w:val="none" w:sz="0" w:space="0" w:color="auto"/>
        <w:bottom w:val="none" w:sz="0" w:space="0" w:color="auto"/>
        <w:right w:val="none" w:sz="0" w:space="0" w:color="auto"/>
      </w:divBdr>
      <w:divsChild>
        <w:div w:id="299700741">
          <w:marLeft w:val="0"/>
          <w:marRight w:val="0"/>
          <w:marTop w:val="0"/>
          <w:marBottom w:val="0"/>
          <w:divBdr>
            <w:top w:val="none" w:sz="0" w:space="0" w:color="auto"/>
            <w:left w:val="none" w:sz="0" w:space="0" w:color="auto"/>
            <w:bottom w:val="none" w:sz="0" w:space="0" w:color="auto"/>
            <w:right w:val="none" w:sz="0" w:space="0" w:color="auto"/>
          </w:divBdr>
        </w:div>
        <w:div w:id="453522380">
          <w:marLeft w:val="0"/>
          <w:marRight w:val="0"/>
          <w:marTop w:val="0"/>
          <w:marBottom w:val="0"/>
          <w:divBdr>
            <w:top w:val="none" w:sz="0" w:space="0" w:color="auto"/>
            <w:left w:val="none" w:sz="0" w:space="0" w:color="auto"/>
            <w:bottom w:val="none" w:sz="0" w:space="0" w:color="auto"/>
            <w:right w:val="none" w:sz="0" w:space="0" w:color="auto"/>
          </w:divBdr>
        </w:div>
        <w:div w:id="842936445">
          <w:marLeft w:val="0"/>
          <w:marRight w:val="0"/>
          <w:marTop w:val="0"/>
          <w:marBottom w:val="0"/>
          <w:divBdr>
            <w:top w:val="none" w:sz="0" w:space="0" w:color="auto"/>
            <w:left w:val="none" w:sz="0" w:space="0" w:color="auto"/>
            <w:bottom w:val="none" w:sz="0" w:space="0" w:color="auto"/>
            <w:right w:val="none" w:sz="0" w:space="0" w:color="auto"/>
          </w:divBdr>
        </w:div>
        <w:div w:id="1773478522">
          <w:marLeft w:val="0"/>
          <w:marRight w:val="0"/>
          <w:marTop w:val="0"/>
          <w:marBottom w:val="0"/>
          <w:divBdr>
            <w:top w:val="none" w:sz="0" w:space="0" w:color="auto"/>
            <w:left w:val="none" w:sz="0" w:space="0" w:color="auto"/>
            <w:bottom w:val="none" w:sz="0" w:space="0" w:color="auto"/>
            <w:right w:val="none" w:sz="0" w:space="0" w:color="auto"/>
          </w:divBdr>
        </w:div>
      </w:divsChild>
    </w:div>
    <w:div w:id="797574363">
      <w:bodyDiv w:val="1"/>
      <w:marLeft w:val="0"/>
      <w:marRight w:val="0"/>
      <w:marTop w:val="0"/>
      <w:marBottom w:val="0"/>
      <w:divBdr>
        <w:top w:val="none" w:sz="0" w:space="0" w:color="auto"/>
        <w:left w:val="none" w:sz="0" w:space="0" w:color="auto"/>
        <w:bottom w:val="none" w:sz="0" w:space="0" w:color="auto"/>
        <w:right w:val="none" w:sz="0" w:space="0" w:color="auto"/>
      </w:divBdr>
    </w:div>
    <w:div w:id="820123281">
      <w:bodyDiv w:val="1"/>
      <w:marLeft w:val="0"/>
      <w:marRight w:val="0"/>
      <w:marTop w:val="0"/>
      <w:marBottom w:val="0"/>
      <w:divBdr>
        <w:top w:val="none" w:sz="0" w:space="0" w:color="auto"/>
        <w:left w:val="none" w:sz="0" w:space="0" w:color="auto"/>
        <w:bottom w:val="none" w:sz="0" w:space="0" w:color="auto"/>
        <w:right w:val="none" w:sz="0" w:space="0" w:color="auto"/>
      </w:divBdr>
      <w:divsChild>
        <w:div w:id="49574153">
          <w:marLeft w:val="1080"/>
          <w:marRight w:val="0"/>
          <w:marTop w:val="0"/>
          <w:marBottom w:val="0"/>
          <w:divBdr>
            <w:top w:val="none" w:sz="0" w:space="0" w:color="auto"/>
            <w:left w:val="none" w:sz="0" w:space="0" w:color="auto"/>
            <w:bottom w:val="none" w:sz="0" w:space="0" w:color="auto"/>
            <w:right w:val="none" w:sz="0" w:space="0" w:color="auto"/>
          </w:divBdr>
        </w:div>
        <w:div w:id="681661399">
          <w:marLeft w:val="1080"/>
          <w:marRight w:val="0"/>
          <w:marTop w:val="0"/>
          <w:marBottom w:val="0"/>
          <w:divBdr>
            <w:top w:val="none" w:sz="0" w:space="0" w:color="auto"/>
            <w:left w:val="none" w:sz="0" w:space="0" w:color="auto"/>
            <w:bottom w:val="none" w:sz="0" w:space="0" w:color="auto"/>
            <w:right w:val="none" w:sz="0" w:space="0" w:color="auto"/>
          </w:divBdr>
        </w:div>
        <w:div w:id="1607419840">
          <w:marLeft w:val="1080"/>
          <w:marRight w:val="0"/>
          <w:marTop w:val="0"/>
          <w:marBottom w:val="0"/>
          <w:divBdr>
            <w:top w:val="none" w:sz="0" w:space="0" w:color="auto"/>
            <w:left w:val="none" w:sz="0" w:space="0" w:color="auto"/>
            <w:bottom w:val="none" w:sz="0" w:space="0" w:color="auto"/>
            <w:right w:val="none" w:sz="0" w:space="0" w:color="auto"/>
          </w:divBdr>
        </w:div>
      </w:divsChild>
    </w:div>
    <w:div w:id="824275510">
      <w:bodyDiv w:val="1"/>
      <w:marLeft w:val="0"/>
      <w:marRight w:val="0"/>
      <w:marTop w:val="0"/>
      <w:marBottom w:val="0"/>
      <w:divBdr>
        <w:top w:val="none" w:sz="0" w:space="0" w:color="auto"/>
        <w:left w:val="none" w:sz="0" w:space="0" w:color="auto"/>
        <w:bottom w:val="none" w:sz="0" w:space="0" w:color="auto"/>
        <w:right w:val="none" w:sz="0" w:space="0" w:color="auto"/>
      </w:divBdr>
    </w:div>
    <w:div w:id="826047107">
      <w:bodyDiv w:val="1"/>
      <w:marLeft w:val="0"/>
      <w:marRight w:val="0"/>
      <w:marTop w:val="0"/>
      <w:marBottom w:val="0"/>
      <w:divBdr>
        <w:top w:val="none" w:sz="0" w:space="0" w:color="auto"/>
        <w:left w:val="none" w:sz="0" w:space="0" w:color="auto"/>
        <w:bottom w:val="none" w:sz="0" w:space="0" w:color="auto"/>
        <w:right w:val="none" w:sz="0" w:space="0" w:color="auto"/>
      </w:divBdr>
    </w:div>
    <w:div w:id="831604488">
      <w:bodyDiv w:val="1"/>
      <w:marLeft w:val="0"/>
      <w:marRight w:val="0"/>
      <w:marTop w:val="0"/>
      <w:marBottom w:val="0"/>
      <w:divBdr>
        <w:top w:val="none" w:sz="0" w:space="0" w:color="auto"/>
        <w:left w:val="none" w:sz="0" w:space="0" w:color="auto"/>
        <w:bottom w:val="none" w:sz="0" w:space="0" w:color="auto"/>
        <w:right w:val="none" w:sz="0" w:space="0" w:color="auto"/>
      </w:divBdr>
    </w:div>
    <w:div w:id="833299268">
      <w:bodyDiv w:val="1"/>
      <w:marLeft w:val="0"/>
      <w:marRight w:val="0"/>
      <w:marTop w:val="0"/>
      <w:marBottom w:val="0"/>
      <w:divBdr>
        <w:top w:val="none" w:sz="0" w:space="0" w:color="auto"/>
        <w:left w:val="none" w:sz="0" w:space="0" w:color="auto"/>
        <w:bottom w:val="none" w:sz="0" w:space="0" w:color="auto"/>
        <w:right w:val="none" w:sz="0" w:space="0" w:color="auto"/>
      </w:divBdr>
    </w:div>
    <w:div w:id="840117752">
      <w:bodyDiv w:val="1"/>
      <w:marLeft w:val="0"/>
      <w:marRight w:val="0"/>
      <w:marTop w:val="0"/>
      <w:marBottom w:val="0"/>
      <w:divBdr>
        <w:top w:val="none" w:sz="0" w:space="0" w:color="auto"/>
        <w:left w:val="none" w:sz="0" w:space="0" w:color="auto"/>
        <w:bottom w:val="none" w:sz="0" w:space="0" w:color="auto"/>
        <w:right w:val="none" w:sz="0" w:space="0" w:color="auto"/>
      </w:divBdr>
    </w:div>
    <w:div w:id="841354631">
      <w:bodyDiv w:val="1"/>
      <w:marLeft w:val="0"/>
      <w:marRight w:val="0"/>
      <w:marTop w:val="0"/>
      <w:marBottom w:val="0"/>
      <w:divBdr>
        <w:top w:val="none" w:sz="0" w:space="0" w:color="auto"/>
        <w:left w:val="none" w:sz="0" w:space="0" w:color="auto"/>
        <w:bottom w:val="none" w:sz="0" w:space="0" w:color="auto"/>
        <w:right w:val="none" w:sz="0" w:space="0" w:color="auto"/>
      </w:divBdr>
    </w:div>
    <w:div w:id="850291570">
      <w:bodyDiv w:val="1"/>
      <w:marLeft w:val="0"/>
      <w:marRight w:val="0"/>
      <w:marTop w:val="0"/>
      <w:marBottom w:val="0"/>
      <w:divBdr>
        <w:top w:val="none" w:sz="0" w:space="0" w:color="auto"/>
        <w:left w:val="none" w:sz="0" w:space="0" w:color="auto"/>
        <w:bottom w:val="none" w:sz="0" w:space="0" w:color="auto"/>
        <w:right w:val="none" w:sz="0" w:space="0" w:color="auto"/>
      </w:divBdr>
    </w:div>
    <w:div w:id="851144912">
      <w:bodyDiv w:val="1"/>
      <w:marLeft w:val="0"/>
      <w:marRight w:val="0"/>
      <w:marTop w:val="0"/>
      <w:marBottom w:val="0"/>
      <w:divBdr>
        <w:top w:val="none" w:sz="0" w:space="0" w:color="auto"/>
        <w:left w:val="none" w:sz="0" w:space="0" w:color="auto"/>
        <w:bottom w:val="none" w:sz="0" w:space="0" w:color="auto"/>
        <w:right w:val="none" w:sz="0" w:space="0" w:color="auto"/>
      </w:divBdr>
    </w:div>
    <w:div w:id="851186932">
      <w:bodyDiv w:val="1"/>
      <w:marLeft w:val="0"/>
      <w:marRight w:val="0"/>
      <w:marTop w:val="0"/>
      <w:marBottom w:val="0"/>
      <w:divBdr>
        <w:top w:val="none" w:sz="0" w:space="0" w:color="auto"/>
        <w:left w:val="none" w:sz="0" w:space="0" w:color="auto"/>
        <w:bottom w:val="none" w:sz="0" w:space="0" w:color="auto"/>
        <w:right w:val="none" w:sz="0" w:space="0" w:color="auto"/>
      </w:divBdr>
    </w:div>
    <w:div w:id="855772034">
      <w:bodyDiv w:val="1"/>
      <w:marLeft w:val="0"/>
      <w:marRight w:val="0"/>
      <w:marTop w:val="0"/>
      <w:marBottom w:val="0"/>
      <w:divBdr>
        <w:top w:val="none" w:sz="0" w:space="0" w:color="auto"/>
        <w:left w:val="none" w:sz="0" w:space="0" w:color="auto"/>
        <w:bottom w:val="none" w:sz="0" w:space="0" w:color="auto"/>
        <w:right w:val="none" w:sz="0" w:space="0" w:color="auto"/>
      </w:divBdr>
    </w:div>
    <w:div w:id="858542263">
      <w:bodyDiv w:val="1"/>
      <w:marLeft w:val="0"/>
      <w:marRight w:val="0"/>
      <w:marTop w:val="0"/>
      <w:marBottom w:val="0"/>
      <w:divBdr>
        <w:top w:val="none" w:sz="0" w:space="0" w:color="auto"/>
        <w:left w:val="none" w:sz="0" w:space="0" w:color="auto"/>
        <w:bottom w:val="none" w:sz="0" w:space="0" w:color="auto"/>
        <w:right w:val="none" w:sz="0" w:space="0" w:color="auto"/>
      </w:divBdr>
    </w:div>
    <w:div w:id="863635329">
      <w:bodyDiv w:val="1"/>
      <w:marLeft w:val="0"/>
      <w:marRight w:val="0"/>
      <w:marTop w:val="0"/>
      <w:marBottom w:val="0"/>
      <w:divBdr>
        <w:top w:val="none" w:sz="0" w:space="0" w:color="auto"/>
        <w:left w:val="none" w:sz="0" w:space="0" w:color="auto"/>
        <w:bottom w:val="none" w:sz="0" w:space="0" w:color="auto"/>
        <w:right w:val="none" w:sz="0" w:space="0" w:color="auto"/>
      </w:divBdr>
    </w:div>
    <w:div w:id="876045854">
      <w:bodyDiv w:val="1"/>
      <w:marLeft w:val="0"/>
      <w:marRight w:val="0"/>
      <w:marTop w:val="0"/>
      <w:marBottom w:val="0"/>
      <w:divBdr>
        <w:top w:val="none" w:sz="0" w:space="0" w:color="auto"/>
        <w:left w:val="none" w:sz="0" w:space="0" w:color="auto"/>
        <w:bottom w:val="none" w:sz="0" w:space="0" w:color="auto"/>
        <w:right w:val="none" w:sz="0" w:space="0" w:color="auto"/>
      </w:divBdr>
    </w:div>
    <w:div w:id="883829701">
      <w:bodyDiv w:val="1"/>
      <w:marLeft w:val="0"/>
      <w:marRight w:val="0"/>
      <w:marTop w:val="0"/>
      <w:marBottom w:val="0"/>
      <w:divBdr>
        <w:top w:val="none" w:sz="0" w:space="0" w:color="auto"/>
        <w:left w:val="none" w:sz="0" w:space="0" w:color="auto"/>
        <w:bottom w:val="none" w:sz="0" w:space="0" w:color="auto"/>
        <w:right w:val="none" w:sz="0" w:space="0" w:color="auto"/>
      </w:divBdr>
    </w:div>
    <w:div w:id="911358183">
      <w:bodyDiv w:val="1"/>
      <w:marLeft w:val="0"/>
      <w:marRight w:val="0"/>
      <w:marTop w:val="0"/>
      <w:marBottom w:val="0"/>
      <w:divBdr>
        <w:top w:val="none" w:sz="0" w:space="0" w:color="auto"/>
        <w:left w:val="none" w:sz="0" w:space="0" w:color="auto"/>
        <w:bottom w:val="none" w:sz="0" w:space="0" w:color="auto"/>
        <w:right w:val="none" w:sz="0" w:space="0" w:color="auto"/>
      </w:divBdr>
    </w:div>
    <w:div w:id="916474002">
      <w:bodyDiv w:val="1"/>
      <w:marLeft w:val="0"/>
      <w:marRight w:val="0"/>
      <w:marTop w:val="0"/>
      <w:marBottom w:val="0"/>
      <w:divBdr>
        <w:top w:val="none" w:sz="0" w:space="0" w:color="auto"/>
        <w:left w:val="none" w:sz="0" w:space="0" w:color="auto"/>
        <w:bottom w:val="none" w:sz="0" w:space="0" w:color="auto"/>
        <w:right w:val="none" w:sz="0" w:space="0" w:color="auto"/>
      </w:divBdr>
    </w:div>
    <w:div w:id="920063411">
      <w:bodyDiv w:val="1"/>
      <w:marLeft w:val="0"/>
      <w:marRight w:val="0"/>
      <w:marTop w:val="0"/>
      <w:marBottom w:val="0"/>
      <w:divBdr>
        <w:top w:val="none" w:sz="0" w:space="0" w:color="auto"/>
        <w:left w:val="none" w:sz="0" w:space="0" w:color="auto"/>
        <w:bottom w:val="none" w:sz="0" w:space="0" w:color="auto"/>
        <w:right w:val="none" w:sz="0" w:space="0" w:color="auto"/>
      </w:divBdr>
    </w:div>
    <w:div w:id="923413384">
      <w:bodyDiv w:val="1"/>
      <w:marLeft w:val="0"/>
      <w:marRight w:val="0"/>
      <w:marTop w:val="0"/>
      <w:marBottom w:val="0"/>
      <w:divBdr>
        <w:top w:val="none" w:sz="0" w:space="0" w:color="auto"/>
        <w:left w:val="none" w:sz="0" w:space="0" w:color="auto"/>
        <w:bottom w:val="none" w:sz="0" w:space="0" w:color="auto"/>
        <w:right w:val="none" w:sz="0" w:space="0" w:color="auto"/>
      </w:divBdr>
      <w:divsChild>
        <w:div w:id="1714765373">
          <w:marLeft w:val="360"/>
          <w:marRight w:val="0"/>
          <w:marTop w:val="0"/>
          <w:marBottom w:val="60"/>
          <w:divBdr>
            <w:top w:val="none" w:sz="0" w:space="0" w:color="auto"/>
            <w:left w:val="none" w:sz="0" w:space="0" w:color="auto"/>
            <w:bottom w:val="none" w:sz="0" w:space="0" w:color="auto"/>
            <w:right w:val="none" w:sz="0" w:space="0" w:color="auto"/>
          </w:divBdr>
        </w:div>
        <w:div w:id="1776552752">
          <w:marLeft w:val="360"/>
          <w:marRight w:val="0"/>
          <w:marTop w:val="0"/>
          <w:marBottom w:val="60"/>
          <w:divBdr>
            <w:top w:val="none" w:sz="0" w:space="0" w:color="auto"/>
            <w:left w:val="none" w:sz="0" w:space="0" w:color="auto"/>
            <w:bottom w:val="none" w:sz="0" w:space="0" w:color="auto"/>
            <w:right w:val="none" w:sz="0" w:space="0" w:color="auto"/>
          </w:divBdr>
        </w:div>
        <w:div w:id="1895433969">
          <w:marLeft w:val="360"/>
          <w:marRight w:val="0"/>
          <w:marTop w:val="0"/>
          <w:marBottom w:val="60"/>
          <w:divBdr>
            <w:top w:val="none" w:sz="0" w:space="0" w:color="auto"/>
            <w:left w:val="none" w:sz="0" w:space="0" w:color="auto"/>
            <w:bottom w:val="none" w:sz="0" w:space="0" w:color="auto"/>
            <w:right w:val="none" w:sz="0" w:space="0" w:color="auto"/>
          </w:divBdr>
        </w:div>
      </w:divsChild>
    </w:div>
    <w:div w:id="923806856">
      <w:bodyDiv w:val="1"/>
      <w:marLeft w:val="0"/>
      <w:marRight w:val="0"/>
      <w:marTop w:val="0"/>
      <w:marBottom w:val="0"/>
      <w:divBdr>
        <w:top w:val="none" w:sz="0" w:space="0" w:color="auto"/>
        <w:left w:val="none" w:sz="0" w:space="0" w:color="auto"/>
        <w:bottom w:val="none" w:sz="0" w:space="0" w:color="auto"/>
        <w:right w:val="none" w:sz="0" w:space="0" w:color="auto"/>
      </w:divBdr>
    </w:div>
    <w:div w:id="924655633">
      <w:bodyDiv w:val="1"/>
      <w:marLeft w:val="0"/>
      <w:marRight w:val="0"/>
      <w:marTop w:val="0"/>
      <w:marBottom w:val="0"/>
      <w:divBdr>
        <w:top w:val="none" w:sz="0" w:space="0" w:color="auto"/>
        <w:left w:val="none" w:sz="0" w:space="0" w:color="auto"/>
        <w:bottom w:val="none" w:sz="0" w:space="0" w:color="auto"/>
        <w:right w:val="none" w:sz="0" w:space="0" w:color="auto"/>
      </w:divBdr>
    </w:div>
    <w:div w:id="932081971">
      <w:bodyDiv w:val="1"/>
      <w:marLeft w:val="0"/>
      <w:marRight w:val="0"/>
      <w:marTop w:val="0"/>
      <w:marBottom w:val="0"/>
      <w:divBdr>
        <w:top w:val="none" w:sz="0" w:space="0" w:color="auto"/>
        <w:left w:val="none" w:sz="0" w:space="0" w:color="auto"/>
        <w:bottom w:val="none" w:sz="0" w:space="0" w:color="auto"/>
        <w:right w:val="none" w:sz="0" w:space="0" w:color="auto"/>
      </w:divBdr>
    </w:div>
    <w:div w:id="932781852">
      <w:bodyDiv w:val="1"/>
      <w:marLeft w:val="0"/>
      <w:marRight w:val="0"/>
      <w:marTop w:val="0"/>
      <w:marBottom w:val="0"/>
      <w:divBdr>
        <w:top w:val="none" w:sz="0" w:space="0" w:color="auto"/>
        <w:left w:val="none" w:sz="0" w:space="0" w:color="auto"/>
        <w:bottom w:val="none" w:sz="0" w:space="0" w:color="auto"/>
        <w:right w:val="none" w:sz="0" w:space="0" w:color="auto"/>
      </w:divBdr>
    </w:div>
    <w:div w:id="944775621">
      <w:bodyDiv w:val="1"/>
      <w:marLeft w:val="0"/>
      <w:marRight w:val="0"/>
      <w:marTop w:val="0"/>
      <w:marBottom w:val="0"/>
      <w:divBdr>
        <w:top w:val="none" w:sz="0" w:space="0" w:color="auto"/>
        <w:left w:val="none" w:sz="0" w:space="0" w:color="auto"/>
        <w:bottom w:val="none" w:sz="0" w:space="0" w:color="auto"/>
        <w:right w:val="none" w:sz="0" w:space="0" w:color="auto"/>
      </w:divBdr>
    </w:div>
    <w:div w:id="952175483">
      <w:bodyDiv w:val="1"/>
      <w:marLeft w:val="0"/>
      <w:marRight w:val="0"/>
      <w:marTop w:val="0"/>
      <w:marBottom w:val="0"/>
      <w:divBdr>
        <w:top w:val="none" w:sz="0" w:space="0" w:color="auto"/>
        <w:left w:val="none" w:sz="0" w:space="0" w:color="auto"/>
        <w:bottom w:val="none" w:sz="0" w:space="0" w:color="auto"/>
        <w:right w:val="none" w:sz="0" w:space="0" w:color="auto"/>
      </w:divBdr>
      <w:divsChild>
        <w:div w:id="1011227564">
          <w:marLeft w:val="0"/>
          <w:marRight w:val="0"/>
          <w:marTop w:val="0"/>
          <w:marBottom w:val="0"/>
          <w:divBdr>
            <w:top w:val="none" w:sz="0" w:space="0" w:color="auto"/>
            <w:left w:val="none" w:sz="0" w:space="0" w:color="auto"/>
            <w:bottom w:val="none" w:sz="0" w:space="0" w:color="auto"/>
            <w:right w:val="none" w:sz="0" w:space="0" w:color="auto"/>
          </w:divBdr>
        </w:div>
      </w:divsChild>
    </w:div>
    <w:div w:id="960645326">
      <w:bodyDiv w:val="1"/>
      <w:marLeft w:val="0"/>
      <w:marRight w:val="0"/>
      <w:marTop w:val="0"/>
      <w:marBottom w:val="0"/>
      <w:divBdr>
        <w:top w:val="none" w:sz="0" w:space="0" w:color="auto"/>
        <w:left w:val="none" w:sz="0" w:space="0" w:color="auto"/>
        <w:bottom w:val="none" w:sz="0" w:space="0" w:color="auto"/>
        <w:right w:val="none" w:sz="0" w:space="0" w:color="auto"/>
      </w:divBdr>
    </w:div>
    <w:div w:id="979306867">
      <w:bodyDiv w:val="1"/>
      <w:marLeft w:val="0"/>
      <w:marRight w:val="0"/>
      <w:marTop w:val="0"/>
      <w:marBottom w:val="0"/>
      <w:divBdr>
        <w:top w:val="none" w:sz="0" w:space="0" w:color="auto"/>
        <w:left w:val="none" w:sz="0" w:space="0" w:color="auto"/>
        <w:bottom w:val="none" w:sz="0" w:space="0" w:color="auto"/>
        <w:right w:val="none" w:sz="0" w:space="0" w:color="auto"/>
      </w:divBdr>
    </w:div>
    <w:div w:id="979648982">
      <w:bodyDiv w:val="1"/>
      <w:marLeft w:val="0"/>
      <w:marRight w:val="0"/>
      <w:marTop w:val="0"/>
      <w:marBottom w:val="0"/>
      <w:divBdr>
        <w:top w:val="none" w:sz="0" w:space="0" w:color="auto"/>
        <w:left w:val="none" w:sz="0" w:space="0" w:color="auto"/>
        <w:bottom w:val="none" w:sz="0" w:space="0" w:color="auto"/>
        <w:right w:val="none" w:sz="0" w:space="0" w:color="auto"/>
      </w:divBdr>
    </w:div>
    <w:div w:id="986979903">
      <w:bodyDiv w:val="1"/>
      <w:marLeft w:val="0"/>
      <w:marRight w:val="0"/>
      <w:marTop w:val="0"/>
      <w:marBottom w:val="0"/>
      <w:divBdr>
        <w:top w:val="none" w:sz="0" w:space="0" w:color="auto"/>
        <w:left w:val="none" w:sz="0" w:space="0" w:color="auto"/>
        <w:bottom w:val="none" w:sz="0" w:space="0" w:color="auto"/>
        <w:right w:val="none" w:sz="0" w:space="0" w:color="auto"/>
      </w:divBdr>
    </w:div>
    <w:div w:id="988362895">
      <w:bodyDiv w:val="1"/>
      <w:marLeft w:val="0"/>
      <w:marRight w:val="0"/>
      <w:marTop w:val="0"/>
      <w:marBottom w:val="0"/>
      <w:divBdr>
        <w:top w:val="none" w:sz="0" w:space="0" w:color="auto"/>
        <w:left w:val="none" w:sz="0" w:space="0" w:color="auto"/>
        <w:bottom w:val="none" w:sz="0" w:space="0" w:color="auto"/>
        <w:right w:val="none" w:sz="0" w:space="0" w:color="auto"/>
      </w:divBdr>
    </w:div>
    <w:div w:id="990907984">
      <w:bodyDiv w:val="1"/>
      <w:marLeft w:val="0"/>
      <w:marRight w:val="0"/>
      <w:marTop w:val="0"/>
      <w:marBottom w:val="0"/>
      <w:divBdr>
        <w:top w:val="none" w:sz="0" w:space="0" w:color="auto"/>
        <w:left w:val="none" w:sz="0" w:space="0" w:color="auto"/>
        <w:bottom w:val="none" w:sz="0" w:space="0" w:color="auto"/>
        <w:right w:val="none" w:sz="0" w:space="0" w:color="auto"/>
      </w:divBdr>
    </w:div>
    <w:div w:id="994530887">
      <w:bodyDiv w:val="1"/>
      <w:marLeft w:val="0"/>
      <w:marRight w:val="0"/>
      <w:marTop w:val="0"/>
      <w:marBottom w:val="0"/>
      <w:divBdr>
        <w:top w:val="none" w:sz="0" w:space="0" w:color="auto"/>
        <w:left w:val="none" w:sz="0" w:space="0" w:color="auto"/>
        <w:bottom w:val="none" w:sz="0" w:space="0" w:color="auto"/>
        <w:right w:val="none" w:sz="0" w:space="0" w:color="auto"/>
      </w:divBdr>
      <w:divsChild>
        <w:div w:id="1323124025">
          <w:marLeft w:val="288"/>
          <w:marRight w:val="0"/>
          <w:marTop w:val="0"/>
          <w:marBottom w:val="0"/>
          <w:divBdr>
            <w:top w:val="none" w:sz="0" w:space="0" w:color="auto"/>
            <w:left w:val="none" w:sz="0" w:space="0" w:color="auto"/>
            <w:bottom w:val="none" w:sz="0" w:space="0" w:color="auto"/>
            <w:right w:val="none" w:sz="0" w:space="0" w:color="auto"/>
          </w:divBdr>
        </w:div>
      </w:divsChild>
    </w:div>
    <w:div w:id="1001927012">
      <w:bodyDiv w:val="1"/>
      <w:marLeft w:val="0"/>
      <w:marRight w:val="0"/>
      <w:marTop w:val="0"/>
      <w:marBottom w:val="0"/>
      <w:divBdr>
        <w:top w:val="none" w:sz="0" w:space="0" w:color="auto"/>
        <w:left w:val="none" w:sz="0" w:space="0" w:color="auto"/>
        <w:bottom w:val="none" w:sz="0" w:space="0" w:color="auto"/>
        <w:right w:val="none" w:sz="0" w:space="0" w:color="auto"/>
      </w:divBdr>
    </w:div>
    <w:div w:id="1004288330">
      <w:bodyDiv w:val="1"/>
      <w:marLeft w:val="0"/>
      <w:marRight w:val="0"/>
      <w:marTop w:val="0"/>
      <w:marBottom w:val="0"/>
      <w:divBdr>
        <w:top w:val="none" w:sz="0" w:space="0" w:color="auto"/>
        <w:left w:val="none" w:sz="0" w:space="0" w:color="auto"/>
        <w:bottom w:val="none" w:sz="0" w:space="0" w:color="auto"/>
        <w:right w:val="none" w:sz="0" w:space="0" w:color="auto"/>
      </w:divBdr>
    </w:div>
    <w:div w:id="1010257267">
      <w:bodyDiv w:val="1"/>
      <w:marLeft w:val="0"/>
      <w:marRight w:val="0"/>
      <w:marTop w:val="0"/>
      <w:marBottom w:val="0"/>
      <w:divBdr>
        <w:top w:val="none" w:sz="0" w:space="0" w:color="auto"/>
        <w:left w:val="none" w:sz="0" w:space="0" w:color="auto"/>
        <w:bottom w:val="none" w:sz="0" w:space="0" w:color="auto"/>
        <w:right w:val="none" w:sz="0" w:space="0" w:color="auto"/>
      </w:divBdr>
      <w:divsChild>
        <w:div w:id="370811318">
          <w:marLeft w:val="0"/>
          <w:marRight w:val="0"/>
          <w:marTop w:val="0"/>
          <w:marBottom w:val="0"/>
          <w:divBdr>
            <w:top w:val="none" w:sz="0" w:space="0" w:color="auto"/>
            <w:left w:val="none" w:sz="0" w:space="0" w:color="auto"/>
            <w:bottom w:val="none" w:sz="0" w:space="0" w:color="auto"/>
            <w:right w:val="none" w:sz="0" w:space="0" w:color="auto"/>
          </w:divBdr>
        </w:div>
        <w:div w:id="1349139929">
          <w:marLeft w:val="0"/>
          <w:marRight w:val="0"/>
          <w:marTop w:val="0"/>
          <w:marBottom w:val="0"/>
          <w:divBdr>
            <w:top w:val="none" w:sz="0" w:space="0" w:color="auto"/>
            <w:left w:val="none" w:sz="0" w:space="0" w:color="auto"/>
            <w:bottom w:val="none" w:sz="0" w:space="0" w:color="auto"/>
            <w:right w:val="none" w:sz="0" w:space="0" w:color="auto"/>
          </w:divBdr>
        </w:div>
      </w:divsChild>
    </w:div>
    <w:div w:id="1018777023">
      <w:bodyDiv w:val="1"/>
      <w:marLeft w:val="0"/>
      <w:marRight w:val="0"/>
      <w:marTop w:val="0"/>
      <w:marBottom w:val="0"/>
      <w:divBdr>
        <w:top w:val="none" w:sz="0" w:space="0" w:color="auto"/>
        <w:left w:val="none" w:sz="0" w:space="0" w:color="auto"/>
        <w:bottom w:val="none" w:sz="0" w:space="0" w:color="auto"/>
        <w:right w:val="none" w:sz="0" w:space="0" w:color="auto"/>
      </w:divBdr>
    </w:div>
    <w:div w:id="1019307879">
      <w:bodyDiv w:val="1"/>
      <w:marLeft w:val="0"/>
      <w:marRight w:val="0"/>
      <w:marTop w:val="0"/>
      <w:marBottom w:val="0"/>
      <w:divBdr>
        <w:top w:val="none" w:sz="0" w:space="0" w:color="auto"/>
        <w:left w:val="none" w:sz="0" w:space="0" w:color="auto"/>
        <w:bottom w:val="none" w:sz="0" w:space="0" w:color="auto"/>
        <w:right w:val="none" w:sz="0" w:space="0" w:color="auto"/>
      </w:divBdr>
    </w:div>
    <w:div w:id="1052460015">
      <w:bodyDiv w:val="1"/>
      <w:marLeft w:val="0"/>
      <w:marRight w:val="0"/>
      <w:marTop w:val="0"/>
      <w:marBottom w:val="0"/>
      <w:divBdr>
        <w:top w:val="none" w:sz="0" w:space="0" w:color="auto"/>
        <w:left w:val="none" w:sz="0" w:space="0" w:color="auto"/>
        <w:bottom w:val="none" w:sz="0" w:space="0" w:color="auto"/>
        <w:right w:val="none" w:sz="0" w:space="0" w:color="auto"/>
      </w:divBdr>
    </w:div>
    <w:div w:id="1057780669">
      <w:bodyDiv w:val="1"/>
      <w:marLeft w:val="0"/>
      <w:marRight w:val="0"/>
      <w:marTop w:val="0"/>
      <w:marBottom w:val="0"/>
      <w:divBdr>
        <w:top w:val="none" w:sz="0" w:space="0" w:color="auto"/>
        <w:left w:val="none" w:sz="0" w:space="0" w:color="auto"/>
        <w:bottom w:val="none" w:sz="0" w:space="0" w:color="auto"/>
        <w:right w:val="none" w:sz="0" w:space="0" w:color="auto"/>
      </w:divBdr>
    </w:div>
    <w:div w:id="1063216910">
      <w:bodyDiv w:val="1"/>
      <w:marLeft w:val="0"/>
      <w:marRight w:val="0"/>
      <w:marTop w:val="0"/>
      <w:marBottom w:val="0"/>
      <w:divBdr>
        <w:top w:val="none" w:sz="0" w:space="0" w:color="auto"/>
        <w:left w:val="none" w:sz="0" w:space="0" w:color="auto"/>
        <w:bottom w:val="none" w:sz="0" w:space="0" w:color="auto"/>
        <w:right w:val="none" w:sz="0" w:space="0" w:color="auto"/>
      </w:divBdr>
    </w:div>
    <w:div w:id="1084689368">
      <w:bodyDiv w:val="1"/>
      <w:marLeft w:val="0"/>
      <w:marRight w:val="0"/>
      <w:marTop w:val="0"/>
      <w:marBottom w:val="0"/>
      <w:divBdr>
        <w:top w:val="none" w:sz="0" w:space="0" w:color="auto"/>
        <w:left w:val="none" w:sz="0" w:space="0" w:color="auto"/>
        <w:bottom w:val="none" w:sz="0" w:space="0" w:color="auto"/>
        <w:right w:val="none" w:sz="0" w:space="0" w:color="auto"/>
      </w:divBdr>
    </w:div>
    <w:div w:id="1096559503">
      <w:bodyDiv w:val="1"/>
      <w:marLeft w:val="0"/>
      <w:marRight w:val="0"/>
      <w:marTop w:val="0"/>
      <w:marBottom w:val="0"/>
      <w:divBdr>
        <w:top w:val="none" w:sz="0" w:space="0" w:color="auto"/>
        <w:left w:val="none" w:sz="0" w:space="0" w:color="auto"/>
        <w:bottom w:val="none" w:sz="0" w:space="0" w:color="auto"/>
        <w:right w:val="none" w:sz="0" w:space="0" w:color="auto"/>
      </w:divBdr>
    </w:div>
    <w:div w:id="1107576002">
      <w:bodyDiv w:val="1"/>
      <w:marLeft w:val="0"/>
      <w:marRight w:val="0"/>
      <w:marTop w:val="0"/>
      <w:marBottom w:val="0"/>
      <w:divBdr>
        <w:top w:val="none" w:sz="0" w:space="0" w:color="auto"/>
        <w:left w:val="none" w:sz="0" w:space="0" w:color="auto"/>
        <w:bottom w:val="none" w:sz="0" w:space="0" w:color="auto"/>
        <w:right w:val="none" w:sz="0" w:space="0" w:color="auto"/>
      </w:divBdr>
    </w:div>
    <w:div w:id="1109738740">
      <w:bodyDiv w:val="1"/>
      <w:marLeft w:val="0"/>
      <w:marRight w:val="0"/>
      <w:marTop w:val="0"/>
      <w:marBottom w:val="0"/>
      <w:divBdr>
        <w:top w:val="none" w:sz="0" w:space="0" w:color="auto"/>
        <w:left w:val="none" w:sz="0" w:space="0" w:color="auto"/>
        <w:bottom w:val="none" w:sz="0" w:space="0" w:color="auto"/>
        <w:right w:val="none" w:sz="0" w:space="0" w:color="auto"/>
      </w:divBdr>
    </w:div>
    <w:div w:id="1137264010">
      <w:bodyDiv w:val="1"/>
      <w:marLeft w:val="0"/>
      <w:marRight w:val="0"/>
      <w:marTop w:val="0"/>
      <w:marBottom w:val="0"/>
      <w:divBdr>
        <w:top w:val="none" w:sz="0" w:space="0" w:color="auto"/>
        <w:left w:val="none" w:sz="0" w:space="0" w:color="auto"/>
        <w:bottom w:val="none" w:sz="0" w:space="0" w:color="auto"/>
        <w:right w:val="none" w:sz="0" w:space="0" w:color="auto"/>
      </w:divBdr>
    </w:div>
    <w:div w:id="1162428324">
      <w:bodyDiv w:val="1"/>
      <w:marLeft w:val="0"/>
      <w:marRight w:val="0"/>
      <w:marTop w:val="0"/>
      <w:marBottom w:val="0"/>
      <w:divBdr>
        <w:top w:val="none" w:sz="0" w:space="0" w:color="auto"/>
        <w:left w:val="none" w:sz="0" w:space="0" w:color="auto"/>
        <w:bottom w:val="none" w:sz="0" w:space="0" w:color="auto"/>
        <w:right w:val="none" w:sz="0" w:space="0" w:color="auto"/>
      </w:divBdr>
    </w:div>
    <w:div w:id="1165589562">
      <w:bodyDiv w:val="1"/>
      <w:marLeft w:val="0"/>
      <w:marRight w:val="0"/>
      <w:marTop w:val="0"/>
      <w:marBottom w:val="0"/>
      <w:divBdr>
        <w:top w:val="none" w:sz="0" w:space="0" w:color="auto"/>
        <w:left w:val="none" w:sz="0" w:space="0" w:color="auto"/>
        <w:bottom w:val="none" w:sz="0" w:space="0" w:color="auto"/>
        <w:right w:val="none" w:sz="0" w:space="0" w:color="auto"/>
      </w:divBdr>
    </w:div>
    <w:div w:id="1165630872">
      <w:bodyDiv w:val="1"/>
      <w:marLeft w:val="0"/>
      <w:marRight w:val="0"/>
      <w:marTop w:val="0"/>
      <w:marBottom w:val="0"/>
      <w:divBdr>
        <w:top w:val="none" w:sz="0" w:space="0" w:color="auto"/>
        <w:left w:val="none" w:sz="0" w:space="0" w:color="auto"/>
        <w:bottom w:val="none" w:sz="0" w:space="0" w:color="auto"/>
        <w:right w:val="none" w:sz="0" w:space="0" w:color="auto"/>
      </w:divBdr>
    </w:div>
    <w:div w:id="1175916650">
      <w:bodyDiv w:val="1"/>
      <w:marLeft w:val="0"/>
      <w:marRight w:val="0"/>
      <w:marTop w:val="0"/>
      <w:marBottom w:val="0"/>
      <w:divBdr>
        <w:top w:val="none" w:sz="0" w:space="0" w:color="auto"/>
        <w:left w:val="none" w:sz="0" w:space="0" w:color="auto"/>
        <w:bottom w:val="none" w:sz="0" w:space="0" w:color="auto"/>
        <w:right w:val="none" w:sz="0" w:space="0" w:color="auto"/>
      </w:divBdr>
    </w:div>
    <w:div w:id="1176576713">
      <w:bodyDiv w:val="1"/>
      <w:marLeft w:val="0"/>
      <w:marRight w:val="0"/>
      <w:marTop w:val="0"/>
      <w:marBottom w:val="0"/>
      <w:divBdr>
        <w:top w:val="none" w:sz="0" w:space="0" w:color="auto"/>
        <w:left w:val="none" w:sz="0" w:space="0" w:color="auto"/>
        <w:bottom w:val="none" w:sz="0" w:space="0" w:color="auto"/>
        <w:right w:val="none" w:sz="0" w:space="0" w:color="auto"/>
      </w:divBdr>
    </w:div>
    <w:div w:id="1176766285">
      <w:bodyDiv w:val="1"/>
      <w:marLeft w:val="0"/>
      <w:marRight w:val="0"/>
      <w:marTop w:val="0"/>
      <w:marBottom w:val="0"/>
      <w:divBdr>
        <w:top w:val="none" w:sz="0" w:space="0" w:color="auto"/>
        <w:left w:val="none" w:sz="0" w:space="0" w:color="auto"/>
        <w:bottom w:val="none" w:sz="0" w:space="0" w:color="auto"/>
        <w:right w:val="none" w:sz="0" w:space="0" w:color="auto"/>
      </w:divBdr>
    </w:div>
    <w:div w:id="1177578707">
      <w:bodyDiv w:val="1"/>
      <w:marLeft w:val="0"/>
      <w:marRight w:val="0"/>
      <w:marTop w:val="0"/>
      <w:marBottom w:val="0"/>
      <w:divBdr>
        <w:top w:val="none" w:sz="0" w:space="0" w:color="auto"/>
        <w:left w:val="none" w:sz="0" w:space="0" w:color="auto"/>
        <w:bottom w:val="none" w:sz="0" w:space="0" w:color="auto"/>
        <w:right w:val="none" w:sz="0" w:space="0" w:color="auto"/>
      </w:divBdr>
    </w:div>
    <w:div w:id="1179613801">
      <w:bodyDiv w:val="1"/>
      <w:marLeft w:val="0"/>
      <w:marRight w:val="0"/>
      <w:marTop w:val="0"/>
      <w:marBottom w:val="0"/>
      <w:divBdr>
        <w:top w:val="none" w:sz="0" w:space="0" w:color="auto"/>
        <w:left w:val="none" w:sz="0" w:space="0" w:color="auto"/>
        <w:bottom w:val="none" w:sz="0" w:space="0" w:color="auto"/>
        <w:right w:val="none" w:sz="0" w:space="0" w:color="auto"/>
      </w:divBdr>
    </w:div>
    <w:div w:id="1207252331">
      <w:bodyDiv w:val="1"/>
      <w:marLeft w:val="0"/>
      <w:marRight w:val="0"/>
      <w:marTop w:val="0"/>
      <w:marBottom w:val="0"/>
      <w:divBdr>
        <w:top w:val="none" w:sz="0" w:space="0" w:color="auto"/>
        <w:left w:val="none" w:sz="0" w:space="0" w:color="auto"/>
        <w:bottom w:val="none" w:sz="0" w:space="0" w:color="auto"/>
        <w:right w:val="none" w:sz="0" w:space="0" w:color="auto"/>
      </w:divBdr>
    </w:div>
    <w:div w:id="1209992754">
      <w:bodyDiv w:val="1"/>
      <w:marLeft w:val="0"/>
      <w:marRight w:val="0"/>
      <w:marTop w:val="0"/>
      <w:marBottom w:val="0"/>
      <w:divBdr>
        <w:top w:val="none" w:sz="0" w:space="0" w:color="auto"/>
        <w:left w:val="none" w:sz="0" w:space="0" w:color="auto"/>
        <w:bottom w:val="none" w:sz="0" w:space="0" w:color="auto"/>
        <w:right w:val="none" w:sz="0" w:space="0" w:color="auto"/>
      </w:divBdr>
    </w:div>
    <w:div w:id="1212570554">
      <w:bodyDiv w:val="1"/>
      <w:marLeft w:val="0"/>
      <w:marRight w:val="0"/>
      <w:marTop w:val="0"/>
      <w:marBottom w:val="0"/>
      <w:divBdr>
        <w:top w:val="none" w:sz="0" w:space="0" w:color="auto"/>
        <w:left w:val="none" w:sz="0" w:space="0" w:color="auto"/>
        <w:bottom w:val="none" w:sz="0" w:space="0" w:color="auto"/>
        <w:right w:val="none" w:sz="0" w:space="0" w:color="auto"/>
      </w:divBdr>
    </w:div>
    <w:div w:id="1220284857">
      <w:bodyDiv w:val="1"/>
      <w:marLeft w:val="0"/>
      <w:marRight w:val="0"/>
      <w:marTop w:val="0"/>
      <w:marBottom w:val="0"/>
      <w:divBdr>
        <w:top w:val="none" w:sz="0" w:space="0" w:color="auto"/>
        <w:left w:val="none" w:sz="0" w:space="0" w:color="auto"/>
        <w:bottom w:val="none" w:sz="0" w:space="0" w:color="auto"/>
        <w:right w:val="none" w:sz="0" w:space="0" w:color="auto"/>
      </w:divBdr>
    </w:div>
    <w:div w:id="1228341961">
      <w:bodyDiv w:val="1"/>
      <w:marLeft w:val="0"/>
      <w:marRight w:val="0"/>
      <w:marTop w:val="0"/>
      <w:marBottom w:val="0"/>
      <w:divBdr>
        <w:top w:val="none" w:sz="0" w:space="0" w:color="auto"/>
        <w:left w:val="none" w:sz="0" w:space="0" w:color="auto"/>
        <w:bottom w:val="none" w:sz="0" w:space="0" w:color="auto"/>
        <w:right w:val="none" w:sz="0" w:space="0" w:color="auto"/>
      </w:divBdr>
    </w:div>
    <w:div w:id="1231038012">
      <w:bodyDiv w:val="1"/>
      <w:marLeft w:val="0"/>
      <w:marRight w:val="0"/>
      <w:marTop w:val="0"/>
      <w:marBottom w:val="0"/>
      <w:divBdr>
        <w:top w:val="none" w:sz="0" w:space="0" w:color="auto"/>
        <w:left w:val="none" w:sz="0" w:space="0" w:color="auto"/>
        <w:bottom w:val="none" w:sz="0" w:space="0" w:color="auto"/>
        <w:right w:val="none" w:sz="0" w:space="0" w:color="auto"/>
      </w:divBdr>
    </w:div>
    <w:div w:id="1242254118">
      <w:bodyDiv w:val="1"/>
      <w:marLeft w:val="0"/>
      <w:marRight w:val="0"/>
      <w:marTop w:val="0"/>
      <w:marBottom w:val="0"/>
      <w:divBdr>
        <w:top w:val="none" w:sz="0" w:space="0" w:color="auto"/>
        <w:left w:val="none" w:sz="0" w:space="0" w:color="auto"/>
        <w:bottom w:val="none" w:sz="0" w:space="0" w:color="auto"/>
        <w:right w:val="none" w:sz="0" w:space="0" w:color="auto"/>
      </w:divBdr>
    </w:div>
    <w:div w:id="1276399680">
      <w:bodyDiv w:val="1"/>
      <w:marLeft w:val="0"/>
      <w:marRight w:val="0"/>
      <w:marTop w:val="0"/>
      <w:marBottom w:val="0"/>
      <w:divBdr>
        <w:top w:val="none" w:sz="0" w:space="0" w:color="auto"/>
        <w:left w:val="none" w:sz="0" w:space="0" w:color="auto"/>
        <w:bottom w:val="none" w:sz="0" w:space="0" w:color="auto"/>
        <w:right w:val="none" w:sz="0" w:space="0" w:color="auto"/>
      </w:divBdr>
    </w:div>
    <w:div w:id="1278298951">
      <w:bodyDiv w:val="1"/>
      <w:marLeft w:val="0"/>
      <w:marRight w:val="0"/>
      <w:marTop w:val="0"/>
      <w:marBottom w:val="0"/>
      <w:divBdr>
        <w:top w:val="none" w:sz="0" w:space="0" w:color="auto"/>
        <w:left w:val="none" w:sz="0" w:space="0" w:color="auto"/>
        <w:bottom w:val="none" w:sz="0" w:space="0" w:color="auto"/>
        <w:right w:val="none" w:sz="0" w:space="0" w:color="auto"/>
      </w:divBdr>
    </w:div>
    <w:div w:id="1298031840">
      <w:bodyDiv w:val="1"/>
      <w:marLeft w:val="0"/>
      <w:marRight w:val="0"/>
      <w:marTop w:val="0"/>
      <w:marBottom w:val="0"/>
      <w:divBdr>
        <w:top w:val="none" w:sz="0" w:space="0" w:color="auto"/>
        <w:left w:val="none" w:sz="0" w:space="0" w:color="auto"/>
        <w:bottom w:val="none" w:sz="0" w:space="0" w:color="auto"/>
        <w:right w:val="none" w:sz="0" w:space="0" w:color="auto"/>
      </w:divBdr>
    </w:div>
    <w:div w:id="1299608495">
      <w:bodyDiv w:val="1"/>
      <w:marLeft w:val="0"/>
      <w:marRight w:val="0"/>
      <w:marTop w:val="0"/>
      <w:marBottom w:val="0"/>
      <w:divBdr>
        <w:top w:val="none" w:sz="0" w:space="0" w:color="auto"/>
        <w:left w:val="none" w:sz="0" w:space="0" w:color="auto"/>
        <w:bottom w:val="none" w:sz="0" w:space="0" w:color="auto"/>
        <w:right w:val="none" w:sz="0" w:space="0" w:color="auto"/>
      </w:divBdr>
    </w:div>
    <w:div w:id="1308392785">
      <w:bodyDiv w:val="1"/>
      <w:marLeft w:val="0"/>
      <w:marRight w:val="0"/>
      <w:marTop w:val="0"/>
      <w:marBottom w:val="0"/>
      <w:divBdr>
        <w:top w:val="none" w:sz="0" w:space="0" w:color="auto"/>
        <w:left w:val="none" w:sz="0" w:space="0" w:color="auto"/>
        <w:bottom w:val="none" w:sz="0" w:space="0" w:color="auto"/>
        <w:right w:val="none" w:sz="0" w:space="0" w:color="auto"/>
      </w:divBdr>
    </w:div>
    <w:div w:id="1315262132">
      <w:bodyDiv w:val="1"/>
      <w:marLeft w:val="0"/>
      <w:marRight w:val="0"/>
      <w:marTop w:val="0"/>
      <w:marBottom w:val="0"/>
      <w:divBdr>
        <w:top w:val="none" w:sz="0" w:space="0" w:color="auto"/>
        <w:left w:val="none" w:sz="0" w:space="0" w:color="auto"/>
        <w:bottom w:val="none" w:sz="0" w:space="0" w:color="auto"/>
        <w:right w:val="none" w:sz="0" w:space="0" w:color="auto"/>
      </w:divBdr>
    </w:div>
    <w:div w:id="1331252234">
      <w:bodyDiv w:val="1"/>
      <w:marLeft w:val="0"/>
      <w:marRight w:val="0"/>
      <w:marTop w:val="0"/>
      <w:marBottom w:val="0"/>
      <w:divBdr>
        <w:top w:val="none" w:sz="0" w:space="0" w:color="auto"/>
        <w:left w:val="none" w:sz="0" w:space="0" w:color="auto"/>
        <w:bottom w:val="none" w:sz="0" w:space="0" w:color="auto"/>
        <w:right w:val="none" w:sz="0" w:space="0" w:color="auto"/>
      </w:divBdr>
      <w:divsChild>
        <w:div w:id="1338579452">
          <w:marLeft w:val="0"/>
          <w:marRight w:val="0"/>
          <w:marTop w:val="0"/>
          <w:marBottom w:val="0"/>
          <w:divBdr>
            <w:top w:val="none" w:sz="0" w:space="0" w:color="auto"/>
            <w:left w:val="none" w:sz="0" w:space="0" w:color="auto"/>
            <w:bottom w:val="none" w:sz="0" w:space="0" w:color="auto"/>
            <w:right w:val="none" w:sz="0" w:space="0" w:color="auto"/>
          </w:divBdr>
        </w:div>
      </w:divsChild>
    </w:div>
    <w:div w:id="1346443737">
      <w:bodyDiv w:val="1"/>
      <w:marLeft w:val="0"/>
      <w:marRight w:val="0"/>
      <w:marTop w:val="0"/>
      <w:marBottom w:val="0"/>
      <w:divBdr>
        <w:top w:val="none" w:sz="0" w:space="0" w:color="auto"/>
        <w:left w:val="none" w:sz="0" w:space="0" w:color="auto"/>
        <w:bottom w:val="none" w:sz="0" w:space="0" w:color="auto"/>
        <w:right w:val="none" w:sz="0" w:space="0" w:color="auto"/>
      </w:divBdr>
    </w:div>
    <w:div w:id="1357927709">
      <w:bodyDiv w:val="1"/>
      <w:marLeft w:val="0"/>
      <w:marRight w:val="0"/>
      <w:marTop w:val="0"/>
      <w:marBottom w:val="0"/>
      <w:divBdr>
        <w:top w:val="none" w:sz="0" w:space="0" w:color="auto"/>
        <w:left w:val="none" w:sz="0" w:space="0" w:color="auto"/>
        <w:bottom w:val="none" w:sz="0" w:space="0" w:color="auto"/>
        <w:right w:val="none" w:sz="0" w:space="0" w:color="auto"/>
      </w:divBdr>
    </w:div>
    <w:div w:id="1358235658">
      <w:bodyDiv w:val="1"/>
      <w:marLeft w:val="0"/>
      <w:marRight w:val="0"/>
      <w:marTop w:val="0"/>
      <w:marBottom w:val="0"/>
      <w:divBdr>
        <w:top w:val="none" w:sz="0" w:space="0" w:color="auto"/>
        <w:left w:val="none" w:sz="0" w:space="0" w:color="auto"/>
        <w:bottom w:val="none" w:sz="0" w:space="0" w:color="auto"/>
        <w:right w:val="none" w:sz="0" w:space="0" w:color="auto"/>
      </w:divBdr>
    </w:div>
    <w:div w:id="1366564141">
      <w:bodyDiv w:val="1"/>
      <w:marLeft w:val="0"/>
      <w:marRight w:val="0"/>
      <w:marTop w:val="0"/>
      <w:marBottom w:val="0"/>
      <w:divBdr>
        <w:top w:val="none" w:sz="0" w:space="0" w:color="auto"/>
        <w:left w:val="none" w:sz="0" w:space="0" w:color="auto"/>
        <w:bottom w:val="none" w:sz="0" w:space="0" w:color="auto"/>
        <w:right w:val="none" w:sz="0" w:space="0" w:color="auto"/>
      </w:divBdr>
    </w:div>
    <w:div w:id="1370374699">
      <w:bodyDiv w:val="1"/>
      <w:marLeft w:val="0"/>
      <w:marRight w:val="0"/>
      <w:marTop w:val="0"/>
      <w:marBottom w:val="0"/>
      <w:divBdr>
        <w:top w:val="none" w:sz="0" w:space="0" w:color="auto"/>
        <w:left w:val="none" w:sz="0" w:space="0" w:color="auto"/>
        <w:bottom w:val="none" w:sz="0" w:space="0" w:color="auto"/>
        <w:right w:val="none" w:sz="0" w:space="0" w:color="auto"/>
      </w:divBdr>
      <w:divsChild>
        <w:div w:id="1476606659">
          <w:marLeft w:val="0"/>
          <w:marRight w:val="0"/>
          <w:marTop w:val="0"/>
          <w:marBottom w:val="0"/>
          <w:divBdr>
            <w:top w:val="none" w:sz="0" w:space="0" w:color="auto"/>
            <w:left w:val="none" w:sz="0" w:space="0" w:color="auto"/>
            <w:bottom w:val="none" w:sz="0" w:space="0" w:color="auto"/>
            <w:right w:val="none" w:sz="0" w:space="0" w:color="auto"/>
          </w:divBdr>
        </w:div>
      </w:divsChild>
    </w:div>
    <w:div w:id="1378120678">
      <w:bodyDiv w:val="1"/>
      <w:marLeft w:val="0"/>
      <w:marRight w:val="0"/>
      <w:marTop w:val="0"/>
      <w:marBottom w:val="0"/>
      <w:divBdr>
        <w:top w:val="none" w:sz="0" w:space="0" w:color="auto"/>
        <w:left w:val="none" w:sz="0" w:space="0" w:color="auto"/>
        <w:bottom w:val="none" w:sz="0" w:space="0" w:color="auto"/>
        <w:right w:val="none" w:sz="0" w:space="0" w:color="auto"/>
      </w:divBdr>
    </w:div>
    <w:div w:id="1384982919">
      <w:bodyDiv w:val="1"/>
      <w:marLeft w:val="0"/>
      <w:marRight w:val="0"/>
      <w:marTop w:val="0"/>
      <w:marBottom w:val="0"/>
      <w:divBdr>
        <w:top w:val="none" w:sz="0" w:space="0" w:color="auto"/>
        <w:left w:val="none" w:sz="0" w:space="0" w:color="auto"/>
        <w:bottom w:val="none" w:sz="0" w:space="0" w:color="auto"/>
        <w:right w:val="none" w:sz="0" w:space="0" w:color="auto"/>
      </w:divBdr>
    </w:div>
    <w:div w:id="1388066331">
      <w:bodyDiv w:val="1"/>
      <w:marLeft w:val="0"/>
      <w:marRight w:val="0"/>
      <w:marTop w:val="0"/>
      <w:marBottom w:val="0"/>
      <w:divBdr>
        <w:top w:val="none" w:sz="0" w:space="0" w:color="auto"/>
        <w:left w:val="none" w:sz="0" w:space="0" w:color="auto"/>
        <w:bottom w:val="none" w:sz="0" w:space="0" w:color="auto"/>
        <w:right w:val="none" w:sz="0" w:space="0" w:color="auto"/>
      </w:divBdr>
    </w:div>
    <w:div w:id="1394311058">
      <w:bodyDiv w:val="1"/>
      <w:marLeft w:val="0"/>
      <w:marRight w:val="0"/>
      <w:marTop w:val="0"/>
      <w:marBottom w:val="0"/>
      <w:divBdr>
        <w:top w:val="none" w:sz="0" w:space="0" w:color="auto"/>
        <w:left w:val="none" w:sz="0" w:space="0" w:color="auto"/>
        <w:bottom w:val="none" w:sz="0" w:space="0" w:color="auto"/>
        <w:right w:val="none" w:sz="0" w:space="0" w:color="auto"/>
      </w:divBdr>
    </w:div>
    <w:div w:id="1397162254">
      <w:bodyDiv w:val="1"/>
      <w:marLeft w:val="0"/>
      <w:marRight w:val="0"/>
      <w:marTop w:val="0"/>
      <w:marBottom w:val="0"/>
      <w:divBdr>
        <w:top w:val="none" w:sz="0" w:space="0" w:color="auto"/>
        <w:left w:val="none" w:sz="0" w:space="0" w:color="auto"/>
        <w:bottom w:val="none" w:sz="0" w:space="0" w:color="auto"/>
        <w:right w:val="none" w:sz="0" w:space="0" w:color="auto"/>
      </w:divBdr>
    </w:div>
    <w:div w:id="1425809083">
      <w:bodyDiv w:val="1"/>
      <w:marLeft w:val="0"/>
      <w:marRight w:val="0"/>
      <w:marTop w:val="0"/>
      <w:marBottom w:val="0"/>
      <w:divBdr>
        <w:top w:val="none" w:sz="0" w:space="0" w:color="auto"/>
        <w:left w:val="none" w:sz="0" w:space="0" w:color="auto"/>
        <w:bottom w:val="none" w:sz="0" w:space="0" w:color="auto"/>
        <w:right w:val="none" w:sz="0" w:space="0" w:color="auto"/>
      </w:divBdr>
    </w:div>
    <w:div w:id="1434396548">
      <w:bodyDiv w:val="1"/>
      <w:marLeft w:val="0"/>
      <w:marRight w:val="0"/>
      <w:marTop w:val="0"/>
      <w:marBottom w:val="0"/>
      <w:divBdr>
        <w:top w:val="none" w:sz="0" w:space="0" w:color="auto"/>
        <w:left w:val="none" w:sz="0" w:space="0" w:color="auto"/>
        <w:bottom w:val="none" w:sz="0" w:space="0" w:color="auto"/>
        <w:right w:val="none" w:sz="0" w:space="0" w:color="auto"/>
      </w:divBdr>
    </w:div>
    <w:div w:id="1450512504">
      <w:bodyDiv w:val="1"/>
      <w:marLeft w:val="0"/>
      <w:marRight w:val="0"/>
      <w:marTop w:val="0"/>
      <w:marBottom w:val="0"/>
      <w:divBdr>
        <w:top w:val="none" w:sz="0" w:space="0" w:color="auto"/>
        <w:left w:val="none" w:sz="0" w:space="0" w:color="auto"/>
        <w:bottom w:val="none" w:sz="0" w:space="0" w:color="auto"/>
        <w:right w:val="none" w:sz="0" w:space="0" w:color="auto"/>
      </w:divBdr>
    </w:div>
    <w:div w:id="1458139564">
      <w:bodyDiv w:val="1"/>
      <w:marLeft w:val="0"/>
      <w:marRight w:val="0"/>
      <w:marTop w:val="0"/>
      <w:marBottom w:val="0"/>
      <w:divBdr>
        <w:top w:val="none" w:sz="0" w:space="0" w:color="auto"/>
        <w:left w:val="none" w:sz="0" w:space="0" w:color="auto"/>
        <w:bottom w:val="none" w:sz="0" w:space="0" w:color="auto"/>
        <w:right w:val="none" w:sz="0" w:space="0" w:color="auto"/>
      </w:divBdr>
    </w:div>
    <w:div w:id="1463770341">
      <w:bodyDiv w:val="1"/>
      <w:marLeft w:val="0"/>
      <w:marRight w:val="0"/>
      <w:marTop w:val="0"/>
      <w:marBottom w:val="0"/>
      <w:divBdr>
        <w:top w:val="none" w:sz="0" w:space="0" w:color="auto"/>
        <w:left w:val="none" w:sz="0" w:space="0" w:color="auto"/>
        <w:bottom w:val="none" w:sz="0" w:space="0" w:color="auto"/>
        <w:right w:val="none" w:sz="0" w:space="0" w:color="auto"/>
      </w:divBdr>
    </w:div>
    <w:div w:id="1464542277">
      <w:bodyDiv w:val="1"/>
      <w:marLeft w:val="0"/>
      <w:marRight w:val="0"/>
      <w:marTop w:val="0"/>
      <w:marBottom w:val="0"/>
      <w:divBdr>
        <w:top w:val="none" w:sz="0" w:space="0" w:color="auto"/>
        <w:left w:val="none" w:sz="0" w:space="0" w:color="auto"/>
        <w:bottom w:val="none" w:sz="0" w:space="0" w:color="auto"/>
        <w:right w:val="none" w:sz="0" w:space="0" w:color="auto"/>
      </w:divBdr>
    </w:div>
    <w:div w:id="1467776882">
      <w:bodyDiv w:val="1"/>
      <w:marLeft w:val="0"/>
      <w:marRight w:val="0"/>
      <w:marTop w:val="0"/>
      <w:marBottom w:val="0"/>
      <w:divBdr>
        <w:top w:val="none" w:sz="0" w:space="0" w:color="auto"/>
        <w:left w:val="none" w:sz="0" w:space="0" w:color="auto"/>
        <w:bottom w:val="none" w:sz="0" w:space="0" w:color="auto"/>
        <w:right w:val="none" w:sz="0" w:space="0" w:color="auto"/>
      </w:divBdr>
      <w:divsChild>
        <w:div w:id="33577733">
          <w:marLeft w:val="274"/>
          <w:marRight w:val="0"/>
          <w:marTop w:val="0"/>
          <w:marBottom w:val="60"/>
          <w:divBdr>
            <w:top w:val="none" w:sz="0" w:space="0" w:color="auto"/>
            <w:left w:val="none" w:sz="0" w:space="0" w:color="auto"/>
            <w:bottom w:val="none" w:sz="0" w:space="0" w:color="auto"/>
            <w:right w:val="none" w:sz="0" w:space="0" w:color="auto"/>
          </w:divBdr>
        </w:div>
        <w:div w:id="341906494">
          <w:marLeft w:val="274"/>
          <w:marRight w:val="0"/>
          <w:marTop w:val="0"/>
          <w:marBottom w:val="60"/>
          <w:divBdr>
            <w:top w:val="none" w:sz="0" w:space="0" w:color="auto"/>
            <w:left w:val="none" w:sz="0" w:space="0" w:color="auto"/>
            <w:bottom w:val="none" w:sz="0" w:space="0" w:color="auto"/>
            <w:right w:val="none" w:sz="0" w:space="0" w:color="auto"/>
          </w:divBdr>
        </w:div>
        <w:div w:id="389034794">
          <w:marLeft w:val="274"/>
          <w:marRight w:val="0"/>
          <w:marTop w:val="0"/>
          <w:marBottom w:val="60"/>
          <w:divBdr>
            <w:top w:val="none" w:sz="0" w:space="0" w:color="auto"/>
            <w:left w:val="none" w:sz="0" w:space="0" w:color="auto"/>
            <w:bottom w:val="none" w:sz="0" w:space="0" w:color="auto"/>
            <w:right w:val="none" w:sz="0" w:space="0" w:color="auto"/>
          </w:divBdr>
        </w:div>
        <w:div w:id="412313523">
          <w:marLeft w:val="274"/>
          <w:marRight w:val="0"/>
          <w:marTop w:val="0"/>
          <w:marBottom w:val="60"/>
          <w:divBdr>
            <w:top w:val="none" w:sz="0" w:space="0" w:color="auto"/>
            <w:left w:val="none" w:sz="0" w:space="0" w:color="auto"/>
            <w:bottom w:val="none" w:sz="0" w:space="0" w:color="auto"/>
            <w:right w:val="none" w:sz="0" w:space="0" w:color="auto"/>
          </w:divBdr>
        </w:div>
        <w:div w:id="603268244">
          <w:marLeft w:val="274"/>
          <w:marRight w:val="0"/>
          <w:marTop w:val="0"/>
          <w:marBottom w:val="60"/>
          <w:divBdr>
            <w:top w:val="none" w:sz="0" w:space="0" w:color="auto"/>
            <w:left w:val="none" w:sz="0" w:space="0" w:color="auto"/>
            <w:bottom w:val="none" w:sz="0" w:space="0" w:color="auto"/>
            <w:right w:val="none" w:sz="0" w:space="0" w:color="auto"/>
          </w:divBdr>
        </w:div>
        <w:div w:id="759176434">
          <w:marLeft w:val="274"/>
          <w:marRight w:val="0"/>
          <w:marTop w:val="0"/>
          <w:marBottom w:val="60"/>
          <w:divBdr>
            <w:top w:val="none" w:sz="0" w:space="0" w:color="auto"/>
            <w:left w:val="none" w:sz="0" w:space="0" w:color="auto"/>
            <w:bottom w:val="none" w:sz="0" w:space="0" w:color="auto"/>
            <w:right w:val="none" w:sz="0" w:space="0" w:color="auto"/>
          </w:divBdr>
        </w:div>
        <w:div w:id="913048089">
          <w:marLeft w:val="274"/>
          <w:marRight w:val="0"/>
          <w:marTop w:val="0"/>
          <w:marBottom w:val="60"/>
          <w:divBdr>
            <w:top w:val="none" w:sz="0" w:space="0" w:color="auto"/>
            <w:left w:val="none" w:sz="0" w:space="0" w:color="auto"/>
            <w:bottom w:val="none" w:sz="0" w:space="0" w:color="auto"/>
            <w:right w:val="none" w:sz="0" w:space="0" w:color="auto"/>
          </w:divBdr>
        </w:div>
        <w:div w:id="1610233541">
          <w:marLeft w:val="274"/>
          <w:marRight w:val="0"/>
          <w:marTop w:val="0"/>
          <w:marBottom w:val="60"/>
          <w:divBdr>
            <w:top w:val="none" w:sz="0" w:space="0" w:color="auto"/>
            <w:left w:val="none" w:sz="0" w:space="0" w:color="auto"/>
            <w:bottom w:val="none" w:sz="0" w:space="0" w:color="auto"/>
            <w:right w:val="none" w:sz="0" w:space="0" w:color="auto"/>
          </w:divBdr>
        </w:div>
        <w:div w:id="1975133750">
          <w:marLeft w:val="274"/>
          <w:marRight w:val="0"/>
          <w:marTop w:val="0"/>
          <w:marBottom w:val="60"/>
          <w:divBdr>
            <w:top w:val="none" w:sz="0" w:space="0" w:color="auto"/>
            <w:left w:val="none" w:sz="0" w:space="0" w:color="auto"/>
            <w:bottom w:val="none" w:sz="0" w:space="0" w:color="auto"/>
            <w:right w:val="none" w:sz="0" w:space="0" w:color="auto"/>
          </w:divBdr>
        </w:div>
      </w:divsChild>
    </w:div>
    <w:div w:id="1476684915">
      <w:bodyDiv w:val="1"/>
      <w:marLeft w:val="0"/>
      <w:marRight w:val="0"/>
      <w:marTop w:val="0"/>
      <w:marBottom w:val="0"/>
      <w:divBdr>
        <w:top w:val="none" w:sz="0" w:space="0" w:color="auto"/>
        <w:left w:val="none" w:sz="0" w:space="0" w:color="auto"/>
        <w:bottom w:val="none" w:sz="0" w:space="0" w:color="auto"/>
        <w:right w:val="none" w:sz="0" w:space="0" w:color="auto"/>
      </w:divBdr>
    </w:div>
    <w:div w:id="1491095030">
      <w:bodyDiv w:val="1"/>
      <w:marLeft w:val="0"/>
      <w:marRight w:val="0"/>
      <w:marTop w:val="0"/>
      <w:marBottom w:val="0"/>
      <w:divBdr>
        <w:top w:val="none" w:sz="0" w:space="0" w:color="auto"/>
        <w:left w:val="none" w:sz="0" w:space="0" w:color="auto"/>
        <w:bottom w:val="none" w:sz="0" w:space="0" w:color="auto"/>
        <w:right w:val="none" w:sz="0" w:space="0" w:color="auto"/>
      </w:divBdr>
      <w:divsChild>
        <w:div w:id="253124750">
          <w:marLeft w:val="1267"/>
          <w:marRight w:val="0"/>
          <w:marTop w:val="0"/>
          <w:marBottom w:val="0"/>
          <w:divBdr>
            <w:top w:val="none" w:sz="0" w:space="0" w:color="auto"/>
            <w:left w:val="none" w:sz="0" w:space="0" w:color="auto"/>
            <w:bottom w:val="none" w:sz="0" w:space="0" w:color="auto"/>
            <w:right w:val="none" w:sz="0" w:space="0" w:color="auto"/>
          </w:divBdr>
        </w:div>
        <w:div w:id="379329724">
          <w:marLeft w:val="1267"/>
          <w:marRight w:val="0"/>
          <w:marTop w:val="0"/>
          <w:marBottom w:val="0"/>
          <w:divBdr>
            <w:top w:val="none" w:sz="0" w:space="0" w:color="auto"/>
            <w:left w:val="none" w:sz="0" w:space="0" w:color="auto"/>
            <w:bottom w:val="none" w:sz="0" w:space="0" w:color="auto"/>
            <w:right w:val="none" w:sz="0" w:space="0" w:color="auto"/>
          </w:divBdr>
        </w:div>
        <w:div w:id="1688211677">
          <w:marLeft w:val="1267"/>
          <w:marRight w:val="0"/>
          <w:marTop w:val="0"/>
          <w:marBottom w:val="0"/>
          <w:divBdr>
            <w:top w:val="none" w:sz="0" w:space="0" w:color="auto"/>
            <w:left w:val="none" w:sz="0" w:space="0" w:color="auto"/>
            <w:bottom w:val="none" w:sz="0" w:space="0" w:color="auto"/>
            <w:right w:val="none" w:sz="0" w:space="0" w:color="auto"/>
          </w:divBdr>
        </w:div>
        <w:div w:id="2047944096">
          <w:marLeft w:val="1267"/>
          <w:marRight w:val="0"/>
          <w:marTop w:val="0"/>
          <w:marBottom w:val="0"/>
          <w:divBdr>
            <w:top w:val="none" w:sz="0" w:space="0" w:color="auto"/>
            <w:left w:val="none" w:sz="0" w:space="0" w:color="auto"/>
            <w:bottom w:val="none" w:sz="0" w:space="0" w:color="auto"/>
            <w:right w:val="none" w:sz="0" w:space="0" w:color="auto"/>
          </w:divBdr>
        </w:div>
        <w:div w:id="2114666461">
          <w:marLeft w:val="1267"/>
          <w:marRight w:val="0"/>
          <w:marTop w:val="0"/>
          <w:marBottom w:val="0"/>
          <w:divBdr>
            <w:top w:val="none" w:sz="0" w:space="0" w:color="auto"/>
            <w:left w:val="none" w:sz="0" w:space="0" w:color="auto"/>
            <w:bottom w:val="none" w:sz="0" w:space="0" w:color="auto"/>
            <w:right w:val="none" w:sz="0" w:space="0" w:color="auto"/>
          </w:divBdr>
        </w:div>
      </w:divsChild>
    </w:div>
    <w:div w:id="1495728566">
      <w:bodyDiv w:val="1"/>
      <w:marLeft w:val="0"/>
      <w:marRight w:val="0"/>
      <w:marTop w:val="0"/>
      <w:marBottom w:val="0"/>
      <w:divBdr>
        <w:top w:val="none" w:sz="0" w:space="0" w:color="auto"/>
        <w:left w:val="none" w:sz="0" w:space="0" w:color="auto"/>
        <w:bottom w:val="none" w:sz="0" w:space="0" w:color="auto"/>
        <w:right w:val="none" w:sz="0" w:space="0" w:color="auto"/>
      </w:divBdr>
    </w:div>
    <w:div w:id="1510411125">
      <w:bodyDiv w:val="1"/>
      <w:marLeft w:val="0"/>
      <w:marRight w:val="0"/>
      <w:marTop w:val="0"/>
      <w:marBottom w:val="0"/>
      <w:divBdr>
        <w:top w:val="none" w:sz="0" w:space="0" w:color="auto"/>
        <w:left w:val="none" w:sz="0" w:space="0" w:color="auto"/>
        <w:bottom w:val="none" w:sz="0" w:space="0" w:color="auto"/>
        <w:right w:val="none" w:sz="0" w:space="0" w:color="auto"/>
      </w:divBdr>
    </w:div>
    <w:div w:id="1513494293">
      <w:bodyDiv w:val="1"/>
      <w:marLeft w:val="0"/>
      <w:marRight w:val="0"/>
      <w:marTop w:val="0"/>
      <w:marBottom w:val="0"/>
      <w:divBdr>
        <w:top w:val="none" w:sz="0" w:space="0" w:color="auto"/>
        <w:left w:val="none" w:sz="0" w:space="0" w:color="auto"/>
        <w:bottom w:val="none" w:sz="0" w:space="0" w:color="auto"/>
        <w:right w:val="none" w:sz="0" w:space="0" w:color="auto"/>
      </w:divBdr>
    </w:div>
    <w:div w:id="1540894712">
      <w:bodyDiv w:val="1"/>
      <w:marLeft w:val="0"/>
      <w:marRight w:val="0"/>
      <w:marTop w:val="0"/>
      <w:marBottom w:val="0"/>
      <w:divBdr>
        <w:top w:val="none" w:sz="0" w:space="0" w:color="auto"/>
        <w:left w:val="none" w:sz="0" w:space="0" w:color="auto"/>
        <w:bottom w:val="none" w:sz="0" w:space="0" w:color="auto"/>
        <w:right w:val="none" w:sz="0" w:space="0" w:color="auto"/>
      </w:divBdr>
    </w:div>
    <w:div w:id="1543052711">
      <w:bodyDiv w:val="1"/>
      <w:marLeft w:val="0"/>
      <w:marRight w:val="0"/>
      <w:marTop w:val="0"/>
      <w:marBottom w:val="0"/>
      <w:divBdr>
        <w:top w:val="none" w:sz="0" w:space="0" w:color="auto"/>
        <w:left w:val="none" w:sz="0" w:space="0" w:color="auto"/>
        <w:bottom w:val="none" w:sz="0" w:space="0" w:color="auto"/>
        <w:right w:val="none" w:sz="0" w:space="0" w:color="auto"/>
      </w:divBdr>
    </w:div>
    <w:div w:id="1546671664">
      <w:bodyDiv w:val="1"/>
      <w:marLeft w:val="0"/>
      <w:marRight w:val="0"/>
      <w:marTop w:val="0"/>
      <w:marBottom w:val="0"/>
      <w:divBdr>
        <w:top w:val="none" w:sz="0" w:space="0" w:color="auto"/>
        <w:left w:val="none" w:sz="0" w:space="0" w:color="auto"/>
        <w:bottom w:val="none" w:sz="0" w:space="0" w:color="auto"/>
        <w:right w:val="none" w:sz="0" w:space="0" w:color="auto"/>
      </w:divBdr>
    </w:div>
    <w:div w:id="1561210278">
      <w:bodyDiv w:val="1"/>
      <w:marLeft w:val="0"/>
      <w:marRight w:val="0"/>
      <w:marTop w:val="0"/>
      <w:marBottom w:val="0"/>
      <w:divBdr>
        <w:top w:val="none" w:sz="0" w:space="0" w:color="auto"/>
        <w:left w:val="none" w:sz="0" w:space="0" w:color="auto"/>
        <w:bottom w:val="none" w:sz="0" w:space="0" w:color="auto"/>
        <w:right w:val="none" w:sz="0" w:space="0" w:color="auto"/>
      </w:divBdr>
      <w:divsChild>
        <w:div w:id="497813220">
          <w:marLeft w:val="288"/>
          <w:marRight w:val="0"/>
          <w:marTop w:val="0"/>
          <w:marBottom w:val="0"/>
          <w:divBdr>
            <w:top w:val="none" w:sz="0" w:space="0" w:color="auto"/>
            <w:left w:val="none" w:sz="0" w:space="0" w:color="auto"/>
            <w:bottom w:val="none" w:sz="0" w:space="0" w:color="auto"/>
            <w:right w:val="none" w:sz="0" w:space="0" w:color="auto"/>
          </w:divBdr>
        </w:div>
        <w:div w:id="1035812980">
          <w:marLeft w:val="288"/>
          <w:marRight w:val="0"/>
          <w:marTop w:val="0"/>
          <w:marBottom w:val="0"/>
          <w:divBdr>
            <w:top w:val="none" w:sz="0" w:space="0" w:color="auto"/>
            <w:left w:val="none" w:sz="0" w:space="0" w:color="auto"/>
            <w:bottom w:val="none" w:sz="0" w:space="0" w:color="auto"/>
            <w:right w:val="none" w:sz="0" w:space="0" w:color="auto"/>
          </w:divBdr>
        </w:div>
        <w:div w:id="1449810147">
          <w:marLeft w:val="288"/>
          <w:marRight w:val="0"/>
          <w:marTop w:val="0"/>
          <w:marBottom w:val="0"/>
          <w:divBdr>
            <w:top w:val="none" w:sz="0" w:space="0" w:color="auto"/>
            <w:left w:val="none" w:sz="0" w:space="0" w:color="auto"/>
            <w:bottom w:val="none" w:sz="0" w:space="0" w:color="auto"/>
            <w:right w:val="none" w:sz="0" w:space="0" w:color="auto"/>
          </w:divBdr>
        </w:div>
      </w:divsChild>
    </w:div>
    <w:div w:id="1563979126">
      <w:bodyDiv w:val="1"/>
      <w:marLeft w:val="0"/>
      <w:marRight w:val="0"/>
      <w:marTop w:val="0"/>
      <w:marBottom w:val="0"/>
      <w:divBdr>
        <w:top w:val="none" w:sz="0" w:space="0" w:color="auto"/>
        <w:left w:val="none" w:sz="0" w:space="0" w:color="auto"/>
        <w:bottom w:val="none" w:sz="0" w:space="0" w:color="auto"/>
        <w:right w:val="none" w:sz="0" w:space="0" w:color="auto"/>
      </w:divBdr>
    </w:div>
    <w:div w:id="1573391795">
      <w:bodyDiv w:val="1"/>
      <w:marLeft w:val="0"/>
      <w:marRight w:val="0"/>
      <w:marTop w:val="0"/>
      <w:marBottom w:val="0"/>
      <w:divBdr>
        <w:top w:val="none" w:sz="0" w:space="0" w:color="auto"/>
        <w:left w:val="none" w:sz="0" w:space="0" w:color="auto"/>
        <w:bottom w:val="none" w:sz="0" w:space="0" w:color="auto"/>
        <w:right w:val="none" w:sz="0" w:space="0" w:color="auto"/>
      </w:divBdr>
      <w:divsChild>
        <w:div w:id="14187801">
          <w:marLeft w:val="274"/>
          <w:marRight w:val="0"/>
          <w:marTop w:val="0"/>
          <w:marBottom w:val="0"/>
          <w:divBdr>
            <w:top w:val="none" w:sz="0" w:space="0" w:color="auto"/>
            <w:left w:val="none" w:sz="0" w:space="0" w:color="auto"/>
            <w:bottom w:val="none" w:sz="0" w:space="0" w:color="auto"/>
            <w:right w:val="none" w:sz="0" w:space="0" w:color="auto"/>
          </w:divBdr>
        </w:div>
        <w:div w:id="216209089">
          <w:marLeft w:val="274"/>
          <w:marRight w:val="0"/>
          <w:marTop w:val="0"/>
          <w:marBottom w:val="0"/>
          <w:divBdr>
            <w:top w:val="none" w:sz="0" w:space="0" w:color="auto"/>
            <w:left w:val="none" w:sz="0" w:space="0" w:color="auto"/>
            <w:bottom w:val="none" w:sz="0" w:space="0" w:color="auto"/>
            <w:right w:val="none" w:sz="0" w:space="0" w:color="auto"/>
          </w:divBdr>
        </w:div>
        <w:div w:id="992678273">
          <w:marLeft w:val="274"/>
          <w:marRight w:val="0"/>
          <w:marTop w:val="0"/>
          <w:marBottom w:val="0"/>
          <w:divBdr>
            <w:top w:val="none" w:sz="0" w:space="0" w:color="auto"/>
            <w:left w:val="none" w:sz="0" w:space="0" w:color="auto"/>
            <w:bottom w:val="none" w:sz="0" w:space="0" w:color="auto"/>
            <w:right w:val="none" w:sz="0" w:space="0" w:color="auto"/>
          </w:divBdr>
        </w:div>
      </w:divsChild>
    </w:div>
    <w:div w:id="1583023038">
      <w:bodyDiv w:val="1"/>
      <w:marLeft w:val="0"/>
      <w:marRight w:val="0"/>
      <w:marTop w:val="0"/>
      <w:marBottom w:val="0"/>
      <w:divBdr>
        <w:top w:val="none" w:sz="0" w:space="0" w:color="auto"/>
        <w:left w:val="none" w:sz="0" w:space="0" w:color="auto"/>
        <w:bottom w:val="none" w:sz="0" w:space="0" w:color="auto"/>
        <w:right w:val="none" w:sz="0" w:space="0" w:color="auto"/>
      </w:divBdr>
    </w:div>
    <w:div w:id="1629042272">
      <w:bodyDiv w:val="1"/>
      <w:marLeft w:val="0"/>
      <w:marRight w:val="0"/>
      <w:marTop w:val="0"/>
      <w:marBottom w:val="0"/>
      <w:divBdr>
        <w:top w:val="none" w:sz="0" w:space="0" w:color="auto"/>
        <w:left w:val="none" w:sz="0" w:space="0" w:color="auto"/>
        <w:bottom w:val="none" w:sz="0" w:space="0" w:color="auto"/>
        <w:right w:val="none" w:sz="0" w:space="0" w:color="auto"/>
      </w:divBdr>
    </w:div>
    <w:div w:id="1642954575">
      <w:bodyDiv w:val="1"/>
      <w:marLeft w:val="0"/>
      <w:marRight w:val="0"/>
      <w:marTop w:val="0"/>
      <w:marBottom w:val="0"/>
      <w:divBdr>
        <w:top w:val="none" w:sz="0" w:space="0" w:color="auto"/>
        <w:left w:val="none" w:sz="0" w:space="0" w:color="auto"/>
        <w:bottom w:val="none" w:sz="0" w:space="0" w:color="auto"/>
        <w:right w:val="none" w:sz="0" w:space="0" w:color="auto"/>
      </w:divBdr>
    </w:div>
    <w:div w:id="1644383904">
      <w:bodyDiv w:val="1"/>
      <w:marLeft w:val="0"/>
      <w:marRight w:val="0"/>
      <w:marTop w:val="0"/>
      <w:marBottom w:val="0"/>
      <w:divBdr>
        <w:top w:val="none" w:sz="0" w:space="0" w:color="auto"/>
        <w:left w:val="none" w:sz="0" w:space="0" w:color="auto"/>
        <w:bottom w:val="none" w:sz="0" w:space="0" w:color="auto"/>
        <w:right w:val="none" w:sz="0" w:space="0" w:color="auto"/>
      </w:divBdr>
    </w:div>
    <w:div w:id="1651058446">
      <w:bodyDiv w:val="1"/>
      <w:marLeft w:val="0"/>
      <w:marRight w:val="0"/>
      <w:marTop w:val="0"/>
      <w:marBottom w:val="0"/>
      <w:divBdr>
        <w:top w:val="none" w:sz="0" w:space="0" w:color="auto"/>
        <w:left w:val="none" w:sz="0" w:space="0" w:color="auto"/>
        <w:bottom w:val="none" w:sz="0" w:space="0" w:color="auto"/>
        <w:right w:val="none" w:sz="0" w:space="0" w:color="auto"/>
      </w:divBdr>
    </w:div>
    <w:div w:id="1654413001">
      <w:bodyDiv w:val="1"/>
      <w:marLeft w:val="0"/>
      <w:marRight w:val="0"/>
      <w:marTop w:val="0"/>
      <w:marBottom w:val="0"/>
      <w:divBdr>
        <w:top w:val="none" w:sz="0" w:space="0" w:color="auto"/>
        <w:left w:val="none" w:sz="0" w:space="0" w:color="auto"/>
        <w:bottom w:val="none" w:sz="0" w:space="0" w:color="auto"/>
        <w:right w:val="none" w:sz="0" w:space="0" w:color="auto"/>
      </w:divBdr>
    </w:div>
    <w:div w:id="1654942094">
      <w:bodyDiv w:val="1"/>
      <w:marLeft w:val="0"/>
      <w:marRight w:val="0"/>
      <w:marTop w:val="0"/>
      <w:marBottom w:val="0"/>
      <w:divBdr>
        <w:top w:val="none" w:sz="0" w:space="0" w:color="auto"/>
        <w:left w:val="none" w:sz="0" w:space="0" w:color="auto"/>
        <w:bottom w:val="none" w:sz="0" w:space="0" w:color="auto"/>
        <w:right w:val="none" w:sz="0" w:space="0" w:color="auto"/>
      </w:divBdr>
    </w:div>
    <w:div w:id="1659531608">
      <w:bodyDiv w:val="1"/>
      <w:marLeft w:val="0"/>
      <w:marRight w:val="0"/>
      <w:marTop w:val="0"/>
      <w:marBottom w:val="0"/>
      <w:divBdr>
        <w:top w:val="none" w:sz="0" w:space="0" w:color="auto"/>
        <w:left w:val="none" w:sz="0" w:space="0" w:color="auto"/>
        <w:bottom w:val="none" w:sz="0" w:space="0" w:color="auto"/>
        <w:right w:val="none" w:sz="0" w:space="0" w:color="auto"/>
      </w:divBdr>
    </w:div>
    <w:div w:id="1660383431">
      <w:bodyDiv w:val="1"/>
      <w:marLeft w:val="0"/>
      <w:marRight w:val="0"/>
      <w:marTop w:val="0"/>
      <w:marBottom w:val="0"/>
      <w:divBdr>
        <w:top w:val="none" w:sz="0" w:space="0" w:color="auto"/>
        <w:left w:val="none" w:sz="0" w:space="0" w:color="auto"/>
        <w:bottom w:val="none" w:sz="0" w:space="0" w:color="auto"/>
        <w:right w:val="none" w:sz="0" w:space="0" w:color="auto"/>
      </w:divBdr>
      <w:divsChild>
        <w:div w:id="758647261">
          <w:marLeft w:val="274"/>
          <w:marRight w:val="0"/>
          <w:marTop w:val="0"/>
          <w:marBottom w:val="0"/>
          <w:divBdr>
            <w:top w:val="none" w:sz="0" w:space="0" w:color="auto"/>
            <w:left w:val="none" w:sz="0" w:space="0" w:color="auto"/>
            <w:bottom w:val="none" w:sz="0" w:space="0" w:color="auto"/>
            <w:right w:val="none" w:sz="0" w:space="0" w:color="auto"/>
          </w:divBdr>
        </w:div>
        <w:div w:id="863909370">
          <w:marLeft w:val="274"/>
          <w:marRight w:val="0"/>
          <w:marTop w:val="0"/>
          <w:marBottom w:val="0"/>
          <w:divBdr>
            <w:top w:val="none" w:sz="0" w:space="0" w:color="auto"/>
            <w:left w:val="none" w:sz="0" w:space="0" w:color="auto"/>
            <w:bottom w:val="none" w:sz="0" w:space="0" w:color="auto"/>
            <w:right w:val="none" w:sz="0" w:space="0" w:color="auto"/>
          </w:divBdr>
        </w:div>
        <w:div w:id="1569920462">
          <w:marLeft w:val="274"/>
          <w:marRight w:val="0"/>
          <w:marTop w:val="0"/>
          <w:marBottom w:val="0"/>
          <w:divBdr>
            <w:top w:val="none" w:sz="0" w:space="0" w:color="auto"/>
            <w:left w:val="none" w:sz="0" w:space="0" w:color="auto"/>
            <w:bottom w:val="none" w:sz="0" w:space="0" w:color="auto"/>
            <w:right w:val="none" w:sz="0" w:space="0" w:color="auto"/>
          </w:divBdr>
        </w:div>
        <w:div w:id="1817914067">
          <w:marLeft w:val="274"/>
          <w:marRight w:val="0"/>
          <w:marTop w:val="0"/>
          <w:marBottom w:val="0"/>
          <w:divBdr>
            <w:top w:val="none" w:sz="0" w:space="0" w:color="auto"/>
            <w:left w:val="none" w:sz="0" w:space="0" w:color="auto"/>
            <w:bottom w:val="none" w:sz="0" w:space="0" w:color="auto"/>
            <w:right w:val="none" w:sz="0" w:space="0" w:color="auto"/>
          </w:divBdr>
        </w:div>
      </w:divsChild>
    </w:div>
    <w:div w:id="1678072172">
      <w:bodyDiv w:val="1"/>
      <w:marLeft w:val="0"/>
      <w:marRight w:val="0"/>
      <w:marTop w:val="0"/>
      <w:marBottom w:val="0"/>
      <w:divBdr>
        <w:top w:val="none" w:sz="0" w:space="0" w:color="auto"/>
        <w:left w:val="none" w:sz="0" w:space="0" w:color="auto"/>
        <w:bottom w:val="none" w:sz="0" w:space="0" w:color="auto"/>
        <w:right w:val="none" w:sz="0" w:space="0" w:color="auto"/>
      </w:divBdr>
      <w:divsChild>
        <w:div w:id="1118989509">
          <w:marLeft w:val="0"/>
          <w:marRight w:val="0"/>
          <w:marTop w:val="0"/>
          <w:marBottom w:val="0"/>
          <w:divBdr>
            <w:top w:val="none" w:sz="0" w:space="0" w:color="auto"/>
            <w:left w:val="none" w:sz="0" w:space="0" w:color="auto"/>
            <w:bottom w:val="none" w:sz="0" w:space="0" w:color="auto"/>
            <w:right w:val="none" w:sz="0" w:space="0" w:color="auto"/>
          </w:divBdr>
        </w:div>
      </w:divsChild>
    </w:div>
    <w:div w:id="1679380704">
      <w:bodyDiv w:val="1"/>
      <w:marLeft w:val="0"/>
      <w:marRight w:val="0"/>
      <w:marTop w:val="0"/>
      <w:marBottom w:val="0"/>
      <w:divBdr>
        <w:top w:val="none" w:sz="0" w:space="0" w:color="auto"/>
        <w:left w:val="none" w:sz="0" w:space="0" w:color="auto"/>
        <w:bottom w:val="none" w:sz="0" w:space="0" w:color="auto"/>
        <w:right w:val="none" w:sz="0" w:space="0" w:color="auto"/>
      </w:divBdr>
    </w:div>
    <w:div w:id="1680228103">
      <w:bodyDiv w:val="1"/>
      <w:marLeft w:val="0"/>
      <w:marRight w:val="0"/>
      <w:marTop w:val="0"/>
      <w:marBottom w:val="0"/>
      <w:divBdr>
        <w:top w:val="none" w:sz="0" w:space="0" w:color="auto"/>
        <w:left w:val="none" w:sz="0" w:space="0" w:color="auto"/>
        <w:bottom w:val="none" w:sz="0" w:space="0" w:color="auto"/>
        <w:right w:val="none" w:sz="0" w:space="0" w:color="auto"/>
      </w:divBdr>
    </w:div>
    <w:div w:id="1682972670">
      <w:bodyDiv w:val="1"/>
      <w:marLeft w:val="0"/>
      <w:marRight w:val="0"/>
      <w:marTop w:val="0"/>
      <w:marBottom w:val="0"/>
      <w:divBdr>
        <w:top w:val="none" w:sz="0" w:space="0" w:color="auto"/>
        <w:left w:val="none" w:sz="0" w:space="0" w:color="auto"/>
        <w:bottom w:val="none" w:sz="0" w:space="0" w:color="auto"/>
        <w:right w:val="none" w:sz="0" w:space="0" w:color="auto"/>
      </w:divBdr>
    </w:div>
    <w:div w:id="1716276015">
      <w:bodyDiv w:val="1"/>
      <w:marLeft w:val="0"/>
      <w:marRight w:val="0"/>
      <w:marTop w:val="0"/>
      <w:marBottom w:val="0"/>
      <w:divBdr>
        <w:top w:val="none" w:sz="0" w:space="0" w:color="auto"/>
        <w:left w:val="none" w:sz="0" w:space="0" w:color="auto"/>
        <w:bottom w:val="none" w:sz="0" w:space="0" w:color="auto"/>
        <w:right w:val="none" w:sz="0" w:space="0" w:color="auto"/>
      </w:divBdr>
    </w:div>
    <w:div w:id="1719822154">
      <w:bodyDiv w:val="1"/>
      <w:marLeft w:val="0"/>
      <w:marRight w:val="0"/>
      <w:marTop w:val="0"/>
      <w:marBottom w:val="0"/>
      <w:divBdr>
        <w:top w:val="none" w:sz="0" w:space="0" w:color="auto"/>
        <w:left w:val="none" w:sz="0" w:space="0" w:color="auto"/>
        <w:bottom w:val="none" w:sz="0" w:space="0" w:color="auto"/>
        <w:right w:val="none" w:sz="0" w:space="0" w:color="auto"/>
      </w:divBdr>
    </w:div>
    <w:div w:id="1724788819">
      <w:bodyDiv w:val="1"/>
      <w:marLeft w:val="0"/>
      <w:marRight w:val="0"/>
      <w:marTop w:val="0"/>
      <w:marBottom w:val="0"/>
      <w:divBdr>
        <w:top w:val="none" w:sz="0" w:space="0" w:color="auto"/>
        <w:left w:val="none" w:sz="0" w:space="0" w:color="auto"/>
        <w:bottom w:val="none" w:sz="0" w:space="0" w:color="auto"/>
        <w:right w:val="none" w:sz="0" w:space="0" w:color="auto"/>
      </w:divBdr>
    </w:div>
    <w:div w:id="1763840783">
      <w:bodyDiv w:val="1"/>
      <w:marLeft w:val="0"/>
      <w:marRight w:val="0"/>
      <w:marTop w:val="0"/>
      <w:marBottom w:val="0"/>
      <w:divBdr>
        <w:top w:val="none" w:sz="0" w:space="0" w:color="auto"/>
        <w:left w:val="none" w:sz="0" w:space="0" w:color="auto"/>
        <w:bottom w:val="none" w:sz="0" w:space="0" w:color="auto"/>
        <w:right w:val="none" w:sz="0" w:space="0" w:color="auto"/>
      </w:divBdr>
    </w:div>
    <w:div w:id="1778334410">
      <w:bodyDiv w:val="1"/>
      <w:marLeft w:val="0"/>
      <w:marRight w:val="0"/>
      <w:marTop w:val="0"/>
      <w:marBottom w:val="0"/>
      <w:divBdr>
        <w:top w:val="none" w:sz="0" w:space="0" w:color="auto"/>
        <w:left w:val="none" w:sz="0" w:space="0" w:color="auto"/>
        <w:bottom w:val="none" w:sz="0" w:space="0" w:color="auto"/>
        <w:right w:val="none" w:sz="0" w:space="0" w:color="auto"/>
      </w:divBdr>
    </w:div>
    <w:div w:id="1782450909">
      <w:bodyDiv w:val="1"/>
      <w:marLeft w:val="0"/>
      <w:marRight w:val="0"/>
      <w:marTop w:val="0"/>
      <w:marBottom w:val="0"/>
      <w:divBdr>
        <w:top w:val="none" w:sz="0" w:space="0" w:color="auto"/>
        <w:left w:val="none" w:sz="0" w:space="0" w:color="auto"/>
        <w:bottom w:val="none" w:sz="0" w:space="0" w:color="auto"/>
        <w:right w:val="none" w:sz="0" w:space="0" w:color="auto"/>
      </w:divBdr>
    </w:div>
    <w:div w:id="1794785047">
      <w:bodyDiv w:val="1"/>
      <w:marLeft w:val="0"/>
      <w:marRight w:val="0"/>
      <w:marTop w:val="0"/>
      <w:marBottom w:val="0"/>
      <w:divBdr>
        <w:top w:val="none" w:sz="0" w:space="0" w:color="auto"/>
        <w:left w:val="none" w:sz="0" w:space="0" w:color="auto"/>
        <w:bottom w:val="none" w:sz="0" w:space="0" w:color="auto"/>
        <w:right w:val="none" w:sz="0" w:space="0" w:color="auto"/>
      </w:divBdr>
    </w:div>
    <w:div w:id="1799835587">
      <w:bodyDiv w:val="1"/>
      <w:marLeft w:val="0"/>
      <w:marRight w:val="0"/>
      <w:marTop w:val="0"/>
      <w:marBottom w:val="0"/>
      <w:divBdr>
        <w:top w:val="none" w:sz="0" w:space="0" w:color="auto"/>
        <w:left w:val="none" w:sz="0" w:space="0" w:color="auto"/>
        <w:bottom w:val="none" w:sz="0" w:space="0" w:color="auto"/>
        <w:right w:val="none" w:sz="0" w:space="0" w:color="auto"/>
      </w:divBdr>
      <w:divsChild>
        <w:div w:id="683631986">
          <w:marLeft w:val="1080"/>
          <w:marRight w:val="0"/>
          <w:marTop w:val="0"/>
          <w:marBottom w:val="0"/>
          <w:divBdr>
            <w:top w:val="none" w:sz="0" w:space="0" w:color="auto"/>
            <w:left w:val="none" w:sz="0" w:space="0" w:color="auto"/>
            <w:bottom w:val="none" w:sz="0" w:space="0" w:color="auto"/>
            <w:right w:val="none" w:sz="0" w:space="0" w:color="auto"/>
          </w:divBdr>
        </w:div>
        <w:div w:id="1407220514">
          <w:marLeft w:val="1080"/>
          <w:marRight w:val="0"/>
          <w:marTop w:val="0"/>
          <w:marBottom w:val="0"/>
          <w:divBdr>
            <w:top w:val="none" w:sz="0" w:space="0" w:color="auto"/>
            <w:left w:val="none" w:sz="0" w:space="0" w:color="auto"/>
            <w:bottom w:val="none" w:sz="0" w:space="0" w:color="auto"/>
            <w:right w:val="none" w:sz="0" w:space="0" w:color="auto"/>
          </w:divBdr>
        </w:div>
        <w:div w:id="1506630744">
          <w:marLeft w:val="1080"/>
          <w:marRight w:val="0"/>
          <w:marTop w:val="0"/>
          <w:marBottom w:val="0"/>
          <w:divBdr>
            <w:top w:val="none" w:sz="0" w:space="0" w:color="auto"/>
            <w:left w:val="none" w:sz="0" w:space="0" w:color="auto"/>
            <w:bottom w:val="none" w:sz="0" w:space="0" w:color="auto"/>
            <w:right w:val="none" w:sz="0" w:space="0" w:color="auto"/>
          </w:divBdr>
        </w:div>
      </w:divsChild>
    </w:div>
    <w:div w:id="1802073613">
      <w:bodyDiv w:val="1"/>
      <w:marLeft w:val="0"/>
      <w:marRight w:val="0"/>
      <w:marTop w:val="0"/>
      <w:marBottom w:val="0"/>
      <w:divBdr>
        <w:top w:val="none" w:sz="0" w:space="0" w:color="auto"/>
        <w:left w:val="none" w:sz="0" w:space="0" w:color="auto"/>
        <w:bottom w:val="none" w:sz="0" w:space="0" w:color="auto"/>
        <w:right w:val="none" w:sz="0" w:space="0" w:color="auto"/>
      </w:divBdr>
    </w:div>
    <w:div w:id="1805198074">
      <w:bodyDiv w:val="1"/>
      <w:marLeft w:val="0"/>
      <w:marRight w:val="0"/>
      <w:marTop w:val="0"/>
      <w:marBottom w:val="0"/>
      <w:divBdr>
        <w:top w:val="none" w:sz="0" w:space="0" w:color="auto"/>
        <w:left w:val="none" w:sz="0" w:space="0" w:color="auto"/>
        <w:bottom w:val="none" w:sz="0" w:space="0" w:color="auto"/>
        <w:right w:val="none" w:sz="0" w:space="0" w:color="auto"/>
      </w:divBdr>
    </w:div>
    <w:div w:id="1809085279">
      <w:bodyDiv w:val="1"/>
      <w:marLeft w:val="0"/>
      <w:marRight w:val="0"/>
      <w:marTop w:val="0"/>
      <w:marBottom w:val="0"/>
      <w:divBdr>
        <w:top w:val="none" w:sz="0" w:space="0" w:color="auto"/>
        <w:left w:val="none" w:sz="0" w:space="0" w:color="auto"/>
        <w:bottom w:val="none" w:sz="0" w:space="0" w:color="auto"/>
        <w:right w:val="none" w:sz="0" w:space="0" w:color="auto"/>
      </w:divBdr>
    </w:div>
    <w:div w:id="1810513579">
      <w:bodyDiv w:val="1"/>
      <w:marLeft w:val="0"/>
      <w:marRight w:val="0"/>
      <w:marTop w:val="0"/>
      <w:marBottom w:val="0"/>
      <w:divBdr>
        <w:top w:val="none" w:sz="0" w:space="0" w:color="auto"/>
        <w:left w:val="none" w:sz="0" w:space="0" w:color="auto"/>
        <w:bottom w:val="none" w:sz="0" w:space="0" w:color="auto"/>
        <w:right w:val="none" w:sz="0" w:space="0" w:color="auto"/>
      </w:divBdr>
    </w:div>
    <w:div w:id="1811709676">
      <w:bodyDiv w:val="1"/>
      <w:marLeft w:val="0"/>
      <w:marRight w:val="0"/>
      <w:marTop w:val="0"/>
      <w:marBottom w:val="0"/>
      <w:divBdr>
        <w:top w:val="none" w:sz="0" w:space="0" w:color="auto"/>
        <w:left w:val="none" w:sz="0" w:space="0" w:color="auto"/>
        <w:bottom w:val="none" w:sz="0" w:space="0" w:color="auto"/>
        <w:right w:val="none" w:sz="0" w:space="0" w:color="auto"/>
      </w:divBdr>
    </w:div>
    <w:div w:id="1812944807">
      <w:bodyDiv w:val="1"/>
      <w:marLeft w:val="0"/>
      <w:marRight w:val="0"/>
      <w:marTop w:val="0"/>
      <w:marBottom w:val="0"/>
      <w:divBdr>
        <w:top w:val="none" w:sz="0" w:space="0" w:color="auto"/>
        <w:left w:val="none" w:sz="0" w:space="0" w:color="auto"/>
        <w:bottom w:val="none" w:sz="0" w:space="0" w:color="auto"/>
        <w:right w:val="none" w:sz="0" w:space="0" w:color="auto"/>
      </w:divBdr>
    </w:div>
    <w:div w:id="1813524330">
      <w:bodyDiv w:val="1"/>
      <w:marLeft w:val="0"/>
      <w:marRight w:val="0"/>
      <w:marTop w:val="0"/>
      <w:marBottom w:val="0"/>
      <w:divBdr>
        <w:top w:val="none" w:sz="0" w:space="0" w:color="auto"/>
        <w:left w:val="none" w:sz="0" w:space="0" w:color="auto"/>
        <w:bottom w:val="none" w:sz="0" w:space="0" w:color="auto"/>
        <w:right w:val="none" w:sz="0" w:space="0" w:color="auto"/>
      </w:divBdr>
      <w:divsChild>
        <w:div w:id="751126889">
          <w:marLeft w:val="274"/>
          <w:marRight w:val="0"/>
          <w:marTop w:val="0"/>
          <w:marBottom w:val="0"/>
          <w:divBdr>
            <w:top w:val="none" w:sz="0" w:space="0" w:color="auto"/>
            <w:left w:val="none" w:sz="0" w:space="0" w:color="auto"/>
            <w:bottom w:val="none" w:sz="0" w:space="0" w:color="auto"/>
            <w:right w:val="none" w:sz="0" w:space="0" w:color="auto"/>
          </w:divBdr>
        </w:div>
        <w:div w:id="1729301280">
          <w:marLeft w:val="274"/>
          <w:marRight w:val="0"/>
          <w:marTop w:val="0"/>
          <w:marBottom w:val="0"/>
          <w:divBdr>
            <w:top w:val="none" w:sz="0" w:space="0" w:color="auto"/>
            <w:left w:val="none" w:sz="0" w:space="0" w:color="auto"/>
            <w:bottom w:val="none" w:sz="0" w:space="0" w:color="auto"/>
            <w:right w:val="none" w:sz="0" w:space="0" w:color="auto"/>
          </w:divBdr>
        </w:div>
      </w:divsChild>
    </w:div>
    <w:div w:id="1816603240">
      <w:bodyDiv w:val="1"/>
      <w:marLeft w:val="0"/>
      <w:marRight w:val="0"/>
      <w:marTop w:val="0"/>
      <w:marBottom w:val="0"/>
      <w:divBdr>
        <w:top w:val="none" w:sz="0" w:space="0" w:color="auto"/>
        <w:left w:val="none" w:sz="0" w:space="0" w:color="auto"/>
        <w:bottom w:val="none" w:sz="0" w:space="0" w:color="auto"/>
        <w:right w:val="none" w:sz="0" w:space="0" w:color="auto"/>
      </w:divBdr>
    </w:div>
    <w:div w:id="1825004201">
      <w:bodyDiv w:val="1"/>
      <w:marLeft w:val="0"/>
      <w:marRight w:val="0"/>
      <w:marTop w:val="0"/>
      <w:marBottom w:val="0"/>
      <w:divBdr>
        <w:top w:val="none" w:sz="0" w:space="0" w:color="auto"/>
        <w:left w:val="none" w:sz="0" w:space="0" w:color="auto"/>
        <w:bottom w:val="none" w:sz="0" w:space="0" w:color="auto"/>
        <w:right w:val="none" w:sz="0" w:space="0" w:color="auto"/>
      </w:divBdr>
    </w:div>
    <w:div w:id="1826042553">
      <w:bodyDiv w:val="1"/>
      <w:marLeft w:val="0"/>
      <w:marRight w:val="0"/>
      <w:marTop w:val="0"/>
      <w:marBottom w:val="0"/>
      <w:divBdr>
        <w:top w:val="none" w:sz="0" w:space="0" w:color="auto"/>
        <w:left w:val="none" w:sz="0" w:space="0" w:color="auto"/>
        <w:bottom w:val="none" w:sz="0" w:space="0" w:color="auto"/>
        <w:right w:val="none" w:sz="0" w:space="0" w:color="auto"/>
      </w:divBdr>
    </w:div>
    <w:div w:id="1827360158">
      <w:bodyDiv w:val="1"/>
      <w:marLeft w:val="0"/>
      <w:marRight w:val="0"/>
      <w:marTop w:val="0"/>
      <w:marBottom w:val="0"/>
      <w:divBdr>
        <w:top w:val="none" w:sz="0" w:space="0" w:color="auto"/>
        <w:left w:val="none" w:sz="0" w:space="0" w:color="auto"/>
        <w:bottom w:val="none" w:sz="0" w:space="0" w:color="auto"/>
        <w:right w:val="none" w:sz="0" w:space="0" w:color="auto"/>
      </w:divBdr>
    </w:div>
    <w:div w:id="1834100646">
      <w:bodyDiv w:val="1"/>
      <w:marLeft w:val="0"/>
      <w:marRight w:val="0"/>
      <w:marTop w:val="0"/>
      <w:marBottom w:val="0"/>
      <w:divBdr>
        <w:top w:val="none" w:sz="0" w:space="0" w:color="auto"/>
        <w:left w:val="none" w:sz="0" w:space="0" w:color="auto"/>
        <w:bottom w:val="none" w:sz="0" w:space="0" w:color="auto"/>
        <w:right w:val="none" w:sz="0" w:space="0" w:color="auto"/>
      </w:divBdr>
    </w:div>
    <w:div w:id="1837573999">
      <w:bodyDiv w:val="1"/>
      <w:marLeft w:val="0"/>
      <w:marRight w:val="0"/>
      <w:marTop w:val="0"/>
      <w:marBottom w:val="0"/>
      <w:divBdr>
        <w:top w:val="none" w:sz="0" w:space="0" w:color="auto"/>
        <w:left w:val="none" w:sz="0" w:space="0" w:color="auto"/>
        <w:bottom w:val="none" w:sz="0" w:space="0" w:color="auto"/>
        <w:right w:val="none" w:sz="0" w:space="0" w:color="auto"/>
      </w:divBdr>
      <w:divsChild>
        <w:div w:id="381371957">
          <w:marLeft w:val="360"/>
          <w:marRight w:val="0"/>
          <w:marTop w:val="0"/>
          <w:marBottom w:val="0"/>
          <w:divBdr>
            <w:top w:val="none" w:sz="0" w:space="0" w:color="auto"/>
            <w:left w:val="none" w:sz="0" w:space="0" w:color="auto"/>
            <w:bottom w:val="none" w:sz="0" w:space="0" w:color="auto"/>
            <w:right w:val="none" w:sz="0" w:space="0" w:color="auto"/>
          </w:divBdr>
        </w:div>
        <w:div w:id="1593975358">
          <w:marLeft w:val="360"/>
          <w:marRight w:val="0"/>
          <w:marTop w:val="0"/>
          <w:marBottom w:val="0"/>
          <w:divBdr>
            <w:top w:val="none" w:sz="0" w:space="0" w:color="auto"/>
            <w:left w:val="none" w:sz="0" w:space="0" w:color="auto"/>
            <w:bottom w:val="none" w:sz="0" w:space="0" w:color="auto"/>
            <w:right w:val="none" w:sz="0" w:space="0" w:color="auto"/>
          </w:divBdr>
        </w:div>
      </w:divsChild>
    </w:div>
    <w:div w:id="1847667207">
      <w:bodyDiv w:val="1"/>
      <w:marLeft w:val="0"/>
      <w:marRight w:val="0"/>
      <w:marTop w:val="0"/>
      <w:marBottom w:val="0"/>
      <w:divBdr>
        <w:top w:val="none" w:sz="0" w:space="0" w:color="auto"/>
        <w:left w:val="none" w:sz="0" w:space="0" w:color="auto"/>
        <w:bottom w:val="none" w:sz="0" w:space="0" w:color="auto"/>
        <w:right w:val="none" w:sz="0" w:space="0" w:color="auto"/>
      </w:divBdr>
    </w:div>
    <w:div w:id="1856770554">
      <w:bodyDiv w:val="1"/>
      <w:marLeft w:val="0"/>
      <w:marRight w:val="0"/>
      <w:marTop w:val="0"/>
      <w:marBottom w:val="0"/>
      <w:divBdr>
        <w:top w:val="none" w:sz="0" w:space="0" w:color="auto"/>
        <w:left w:val="none" w:sz="0" w:space="0" w:color="auto"/>
        <w:bottom w:val="none" w:sz="0" w:space="0" w:color="auto"/>
        <w:right w:val="none" w:sz="0" w:space="0" w:color="auto"/>
      </w:divBdr>
    </w:div>
    <w:div w:id="1865904319">
      <w:bodyDiv w:val="1"/>
      <w:marLeft w:val="0"/>
      <w:marRight w:val="0"/>
      <w:marTop w:val="0"/>
      <w:marBottom w:val="0"/>
      <w:divBdr>
        <w:top w:val="none" w:sz="0" w:space="0" w:color="auto"/>
        <w:left w:val="none" w:sz="0" w:space="0" w:color="auto"/>
        <w:bottom w:val="none" w:sz="0" w:space="0" w:color="auto"/>
        <w:right w:val="none" w:sz="0" w:space="0" w:color="auto"/>
      </w:divBdr>
    </w:div>
    <w:div w:id="1867255164">
      <w:bodyDiv w:val="1"/>
      <w:marLeft w:val="0"/>
      <w:marRight w:val="0"/>
      <w:marTop w:val="0"/>
      <w:marBottom w:val="0"/>
      <w:divBdr>
        <w:top w:val="none" w:sz="0" w:space="0" w:color="auto"/>
        <w:left w:val="none" w:sz="0" w:space="0" w:color="auto"/>
        <w:bottom w:val="none" w:sz="0" w:space="0" w:color="auto"/>
        <w:right w:val="none" w:sz="0" w:space="0" w:color="auto"/>
      </w:divBdr>
    </w:div>
    <w:div w:id="1868904628">
      <w:bodyDiv w:val="1"/>
      <w:marLeft w:val="0"/>
      <w:marRight w:val="0"/>
      <w:marTop w:val="0"/>
      <w:marBottom w:val="0"/>
      <w:divBdr>
        <w:top w:val="none" w:sz="0" w:space="0" w:color="auto"/>
        <w:left w:val="none" w:sz="0" w:space="0" w:color="auto"/>
        <w:bottom w:val="none" w:sz="0" w:space="0" w:color="auto"/>
        <w:right w:val="none" w:sz="0" w:space="0" w:color="auto"/>
      </w:divBdr>
    </w:div>
    <w:div w:id="1878808059">
      <w:bodyDiv w:val="1"/>
      <w:marLeft w:val="0"/>
      <w:marRight w:val="0"/>
      <w:marTop w:val="0"/>
      <w:marBottom w:val="0"/>
      <w:divBdr>
        <w:top w:val="none" w:sz="0" w:space="0" w:color="auto"/>
        <w:left w:val="none" w:sz="0" w:space="0" w:color="auto"/>
        <w:bottom w:val="none" w:sz="0" w:space="0" w:color="auto"/>
        <w:right w:val="none" w:sz="0" w:space="0" w:color="auto"/>
      </w:divBdr>
    </w:div>
    <w:div w:id="1882744954">
      <w:bodyDiv w:val="1"/>
      <w:marLeft w:val="0"/>
      <w:marRight w:val="0"/>
      <w:marTop w:val="0"/>
      <w:marBottom w:val="0"/>
      <w:divBdr>
        <w:top w:val="none" w:sz="0" w:space="0" w:color="auto"/>
        <w:left w:val="none" w:sz="0" w:space="0" w:color="auto"/>
        <w:bottom w:val="none" w:sz="0" w:space="0" w:color="auto"/>
        <w:right w:val="none" w:sz="0" w:space="0" w:color="auto"/>
      </w:divBdr>
    </w:div>
    <w:div w:id="1886716674">
      <w:bodyDiv w:val="1"/>
      <w:marLeft w:val="0"/>
      <w:marRight w:val="0"/>
      <w:marTop w:val="0"/>
      <w:marBottom w:val="0"/>
      <w:divBdr>
        <w:top w:val="none" w:sz="0" w:space="0" w:color="auto"/>
        <w:left w:val="none" w:sz="0" w:space="0" w:color="auto"/>
        <w:bottom w:val="none" w:sz="0" w:space="0" w:color="auto"/>
        <w:right w:val="none" w:sz="0" w:space="0" w:color="auto"/>
      </w:divBdr>
    </w:div>
    <w:div w:id="1887525095">
      <w:bodyDiv w:val="1"/>
      <w:marLeft w:val="0"/>
      <w:marRight w:val="0"/>
      <w:marTop w:val="0"/>
      <w:marBottom w:val="0"/>
      <w:divBdr>
        <w:top w:val="none" w:sz="0" w:space="0" w:color="auto"/>
        <w:left w:val="none" w:sz="0" w:space="0" w:color="auto"/>
        <w:bottom w:val="none" w:sz="0" w:space="0" w:color="auto"/>
        <w:right w:val="none" w:sz="0" w:space="0" w:color="auto"/>
      </w:divBdr>
    </w:div>
    <w:div w:id="1906182561">
      <w:bodyDiv w:val="1"/>
      <w:marLeft w:val="0"/>
      <w:marRight w:val="0"/>
      <w:marTop w:val="0"/>
      <w:marBottom w:val="0"/>
      <w:divBdr>
        <w:top w:val="none" w:sz="0" w:space="0" w:color="auto"/>
        <w:left w:val="none" w:sz="0" w:space="0" w:color="auto"/>
        <w:bottom w:val="none" w:sz="0" w:space="0" w:color="auto"/>
        <w:right w:val="none" w:sz="0" w:space="0" w:color="auto"/>
      </w:divBdr>
    </w:div>
    <w:div w:id="1922249009">
      <w:bodyDiv w:val="1"/>
      <w:marLeft w:val="0"/>
      <w:marRight w:val="0"/>
      <w:marTop w:val="0"/>
      <w:marBottom w:val="0"/>
      <w:divBdr>
        <w:top w:val="none" w:sz="0" w:space="0" w:color="auto"/>
        <w:left w:val="none" w:sz="0" w:space="0" w:color="auto"/>
        <w:bottom w:val="none" w:sz="0" w:space="0" w:color="auto"/>
        <w:right w:val="none" w:sz="0" w:space="0" w:color="auto"/>
      </w:divBdr>
      <w:divsChild>
        <w:div w:id="1175999707">
          <w:marLeft w:val="360"/>
          <w:marRight w:val="0"/>
          <w:marTop w:val="0"/>
          <w:marBottom w:val="60"/>
          <w:divBdr>
            <w:top w:val="none" w:sz="0" w:space="0" w:color="auto"/>
            <w:left w:val="none" w:sz="0" w:space="0" w:color="auto"/>
            <w:bottom w:val="none" w:sz="0" w:space="0" w:color="auto"/>
            <w:right w:val="none" w:sz="0" w:space="0" w:color="auto"/>
          </w:divBdr>
        </w:div>
      </w:divsChild>
    </w:div>
    <w:div w:id="1922517951">
      <w:bodyDiv w:val="1"/>
      <w:marLeft w:val="0"/>
      <w:marRight w:val="0"/>
      <w:marTop w:val="0"/>
      <w:marBottom w:val="0"/>
      <w:divBdr>
        <w:top w:val="none" w:sz="0" w:space="0" w:color="auto"/>
        <w:left w:val="none" w:sz="0" w:space="0" w:color="auto"/>
        <w:bottom w:val="none" w:sz="0" w:space="0" w:color="auto"/>
        <w:right w:val="none" w:sz="0" w:space="0" w:color="auto"/>
      </w:divBdr>
      <w:divsChild>
        <w:div w:id="846097525">
          <w:marLeft w:val="0"/>
          <w:marRight w:val="0"/>
          <w:marTop w:val="0"/>
          <w:marBottom w:val="0"/>
          <w:divBdr>
            <w:top w:val="none" w:sz="0" w:space="0" w:color="auto"/>
            <w:left w:val="none" w:sz="0" w:space="0" w:color="auto"/>
            <w:bottom w:val="none" w:sz="0" w:space="0" w:color="auto"/>
            <w:right w:val="none" w:sz="0" w:space="0" w:color="auto"/>
          </w:divBdr>
        </w:div>
      </w:divsChild>
    </w:div>
    <w:div w:id="1927960737">
      <w:bodyDiv w:val="1"/>
      <w:marLeft w:val="0"/>
      <w:marRight w:val="0"/>
      <w:marTop w:val="0"/>
      <w:marBottom w:val="0"/>
      <w:divBdr>
        <w:top w:val="none" w:sz="0" w:space="0" w:color="auto"/>
        <w:left w:val="none" w:sz="0" w:space="0" w:color="auto"/>
        <w:bottom w:val="none" w:sz="0" w:space="0" w:color="auto"/>
        <w:right w:val="none" w:sz="0" w:space="0" w:color="auto"/>
      </w:divBdr>
    </w:div>
    <w:div w:id="1933972755">
      <w:bodyDiv w:val="1"/>
      <w:marLeft w:val="0"/>
      <w:marRight w:val="0"/>
      <w:marTop w:val="0"/>
      <w:marBottom w:val="0"/>
      <w:divBdr>
        <w:top w:val="none" w:sz="0" w:space="0" w:color="auto"/>
        <w:left w:val="none" w:sz="0" w:space="0" w:color="auto"/>
        <w:bottom w:val="none" w:sz="0" w:space="0" w:color="auto"/>
        <w:right w:val="none" w:sz="0" w:space="0" w:color="auto"/>
      </w:divBdr>
    </w:div>
    <w:div w:id="1934779406">
      <w:bodyDiv w:val="1"/>
      <w:marLeft w:val="0"/>
      <w:marRight w:val="0"/>
      <w:marTop w:val="0"/>
      <w:marBottom w:val="0"/>
      <w:divBdr>
        <w:top w:val="none" w:sz="0" w:space="0" w:color="auto"/>
        <w:left w:val="none" w:sz="0" w:space="0" w:color="auto"/>
        <w:bottom w:val="none" w:sz="0" w:space="0" w:color="auto"/>
        <w:right w:val="none" w:sz="0" w:space="0" w:color="auto"/>
      </w:divBdr>
    </w:div>
    <w:div w:id="1953633750">
      <w:bodyDiv w:val="1"/>
      <w:marLeft w:val="0"/>
      <w:marRight w:val="0"/>
      <w:marTop w:val="0"/>
      <w:marBottom w:val="0"/>
      <w:divBdr>
        <w:top w:val="none" w:sz="0" w:space="0" w:color="auto"/>
        <w:left w:val="none" w:sz="0" w:space="0" w:color="auto"/>
        <w:bottom w:val="none" w:sz="0" w:space="0" w:color="auto"/>
        <w:right w:val="none" w:sz="0" w:space="0" w:color="auto"/>
      </w:divBdr>
    </w:div>
    <w:div w:id="1960917472">
      <w:bodyDiv w:val="1"/>
      <w:marLeft w:val="0"/>
      <w:marRight w:val="0"/>
      <w:marTop w:val="0"/>
      <w:marBottom w:val="0"/>
      <w:divBdr>
        <w:top w:val="none" w:sz="0" w:space="0" w:color="auto"/>
        <w:left w:val="none" w:sz="0" w:space="0" w:color="auto"/>
        <w:bottom w:val="none" w:sz="0" w:space="0" w:color="auto"/>
        <w:right w:val="none" w:sz="0" w:space="0" w:color="auto"/>
      </w:divBdr>
    </w:div>
    <w:div w:id="1964336535">
      <w:bodyDiv w:val="1"/>
      <w:marLeft w:val="0"/>
      <w:marRight w:val="0"/>
      <w:marTop w:val="0"/>
      <w:marBottom w:val="0"/>
      <w:divBdr>
        <w:top w:val="none" w:sz="0" w:space="0" w:color="auto"/>
        <w:left w:val="none" w:sz="0" w:space="0" w:color="auto"/>
        <w:bottom w:val="none" w:sz="0" w:space="0" w:color="auto"/>
        <w:right w:val="none" w:sz="0" w:space="0" w:color="auto"/>
      </w:divBdr>
    </w:div>
    <w:div w:id="1987931948">
      <w:bodyDiv w:val="1"/>
      <w:marLeft w:val="0"/>
      <w:marRight w:val="0"/>
      <w:marTop w:val="0"/>
      <w:marBottom w:val="0"/>
      <w:divBdr>
        <w:top w:val="none" w:sz="0" w:space="0" w:color="auto"/>
        <w:left w:val="none" w:sz="0" w:space="0" w:color="auto"/>
        <w:bottom w:val="none" w:sz="0" w:space="0" w:color="auto"/>
        <w:right w:val="none" w:sz="0" w:space="0" w:color="auto"/>
      </w:divBdr>
    </w:div>
    <w:div w:id="2001078015">
      <w:bodyDiv w:val="1"/>
      <w:marLeft w:val="0"/>
      <w:marRight w:val="0"/>
      <w:marTop w:val="0"/>
      <w:marBottom w:val="0"/>
      <w:divBdr>
        <w:top w:val="none" w:sz="0" w:space="0" w:color="auto"/>
        <w:left w:val="none" w:sz="0" w:space="0" w:color="auto"/>
        <w:bottom w:val="none" w:sz="0" w:space="0" w:color="auto"/>
        <w:right w:val="none" w:sz="0" w:space="0" w:color="auto"/>
      </w:divBdr>
    </w:div>
    <w:div w:id="2009793126">
      <w:bodyDiv w:val="1"/>
      <w:marLeft w:val="0"/>
      <w:marRight w:val="0"/>
      <w:marTop w:val="0"/>
      <w:marBottom w:val="0"/>
      <w:divBdr>
        <w:top w:val="none" w:sz="0" w:space="0" w:color="auto"/>
        <w:left w:val="none" w:sz="0" w:space="0" w:color="auto"/>
        <w:bottom w:val="none" w:sz="0" w:space="0" w:color="auto"/>
        <w:right w:val="none" w:sz="0" w:space="0" w:color="auto"/>
      </w:divBdr>
    </w:div>
    <w:div w:id="2036348739">
      <w:bodyDiv w:val="1"/>
      <w:marLeft w:val="0"/>
      <w:marRight w:val="0"/>
      <w:marTop w:val="0"/>
      <w:marBottom w:val="0"/>
      <w:divBdr>
        <w:top w:val="none" w:sz="0" w:space="0" w:color="auto"/>
        <w:left w:val="none" w:sz="0" w:space="0" w:color="auto"/>
        <w:bottom w:val="none" w:sz="0" w:space="0" w:color="auto"/>
        <w:right w:val="none" w:sz="0" w:space="0" w:color="auto"/>
      </w:divBdr>
    </w:div>
    <w:div w:id="2050491561">
      <w:bodyDiv w:val="1"/>
      <w:marLeft w:val="0"/>
      <w:marRight w:val="0"/>
      <w:marTop w:val="0"/>
      <w:marBottom w:val="0"/>
      <w:divBdr>
        <w:top w:val="none" w:sz="0" w:space="0" w:color="auto"/>
        <w:left w:val="none" w:sz="0" w:space="0" w:color="auto"/>
        <w:bottom w:val="none" w:sz="0" w:space="0" w:color="auto"/>
        <w:right w:val="none" w:sz="0" w:space="0" w:color="auto"/>
      </w:divBdr>
    </w:div>
    <w:div w:id="2065525773">
      <w:bodyDiv w:val="1"/>
      <w:marLeft w:val="0"/>
      <w:marRight w:val="0"/>
      <w:marTop w:val="0"/>
      <w:marBottom w:val="0"/>
      <w:divBdr>
        <w:top w:val="none" w:sz="0" w:space="0" w:color="auto"/>
        <w:left w:val="none" w:sz="0" w:space="0" w:color="auto"/>
        <w:bottom w:val="none" w:sz="0" w:space="0" w:color="auto"/>
        <w:right w:val="none" w:sz="0" w:space="0" w:color="auto"/>
      </w:divBdr>
    </w:div>
    <w:div w:id="2068842877">
      <w:bodyDiv w:val="1"/>
      <w:marLeft w:val="0"/>
      <w:marRight w:val="0"/>
      <w:marTop w:val="0"/>
      <w:marBottom w:val="0"/>
      <w:divBdr>
        <w:top w:val="none" w:sz="0" w:space="0" w:color="auto"/>
        <w:left w:val="none" w:sz="0" w:space="0" w:color="auto"/>
        <w:bottom w:val="none" w:sz="0" w:space="0" w:color="auto"/>
        <w:right w:val="none" w:sz="0" w:space="0" w:color="auto"/>
      </w:divBdr>
    </w:div>
    <w:div w:id="2072146218">
      <w:bodyDiv w:val="1"/>
      <w:marLeft w:val="0"/>
      <w:marRight w:val="0"/>
      <w:marTop w:val="0"/>
      <w:marBottom w:val="0"/>
      <w:divBdr>
        <w:top w:val="none" w:sz="0" w:space="0" w:color="auto"/>
        <w:left w:val="none" w:sz="0" w:space="0" w:color="auto"/>
        <w:bottom w:val="none" w:sz="0" w:space="0" w:color="auto"/>
        <w:right w:val="none" w:sz="0" w:space="0" w:color="auto"/>
      </w:divBdr>
    </w:div>
    <w:div w:id="2073655239">
      <w:bodyDiv w:val="1"/>
      <w:marLeft w:val="0"/>
      <w:marRight w:val="0"/>
      <w:marTop w:val="0"/>
      <w:marBottom w:val="0"/>
      <w:divBdr>
        <w:top w:val="none" w:sz="0" w:space="0" w:color="auto"/>
        <w:left w:val="none" w:sz="0" w:space="0" w:color="auto"/>
        <w:bottom w:val="none" w:sz="0" w:space="0" w:color="auto"/>
        <w:right w:val="none" w:sz="0" w:space="0" w:color="auto"/>
      </w:divBdr>
    </w:div>
    <w:div w:id="2074157496">
      <w:bodyDiv w:val="1"/>
      <w:marLeft w:val="0"/>
      <w:marRight w:val="0"/>
      <w:marTop w:val="0"/>
      <w:marBottom w:val="0"/>
      <w:divBdr>
        <w:top w:val="none" w:sz="0" w:space="0" w:color="auto"/>
        <w:left w:val="none" w:sz="0" w:space="0" w:color="auto"/>
        <w:bottom w:val="none" w:sz="0" w:space="0" w:color="auto"/>
        <w:right w:val="none" w:sz="0" w:space="0" w:color="auto"/>
      </w:divBdr>
    </w:div>
    <w:div w:id="2084329122">
      <w:bodyDiv w:val="1"/>
      <w:marLeft w:val="0"/>
      <w:marRight w:val="0"/>
      <w:marTop w:val="0"/>
      <w:marBottom w:val="0"/>
      <w:divBdr>
        <w:top w:val="none" w:sz="0" w:space="0" w:color="auto"/>
        <w:left w:val="none" w:sz="0" w:space="0" w:color="auto"/>
        <w:bottom w:val="none" w:sz="0" w:space="0" w:color="auto"/>
        <w:right w:val="none" w:sz="0" w:space="0" w:color="auto"/>
      </w:divBdr>
    </w:div>
    <w:div w:id="2091929969">
      <w:bodyDiv w:val="1"/>
      <w:marLeft w:val="0"/>
      <w:marRight w:val="0"/>
      <w:marTop w:val="0"/>
      <w:marBottom w:val="0"/>
      <w:divBdr>
        <w:top w:val="none" w:sz="0" w:space="0" w:color="auto"/>
        <w:left w:val="none" w:sz="0" w:space="0" w:color="auto"/>
        <w:bottom w:val="none" w:sz="0" w:space="0" w:color="auto"/>
        <w:right w:val="none" w:sz="0" w:space="0" w:color="auto"/>
      </w:divBdr>
      <w:divsChild>
        <w:div w:id="23874452">
          <w:marLeft w:val="547"/>
          <w:marRight w:val="0"/>
          <w:marTop w:val="0"/>
          <w:marBottom w:val="0"/>
          <w:divBdr>
            <w:top w:val="none" w:sz="0" w:space="0" w:color="auto"/>
            <w:left w:val="none" w:sz="0" w:space="0" w:color="auto"/>
            <w:bottom w:val="none" w:sz="0" w:space="0" w:color="auto"/>
            <w:right w:val="none" w:sz="0" w:space="0" w:color="auto"/>
          </w:divBdr>
        </w:div>
        <w:div w:id="193621783">
          <w:marLeft w:val="547"/>
          <w:marRight w:val="0"/>
          <w:marTop w:val="0"/>
          <w:marBottom w:val="0"/>
          <w:divBdr>
            <w:top w:val="none" w:sz="0" w:space="0" w:color="auto"/>
            <w:left w:val="none" w:sz="0" w:space="0" w:color="auto"/>
            <w:bottom w:val="none" w:sz="0" w:space="0" w:color="auto"/>
            <w:right w:val="none" w:sz="0" w:space="0" w:color="auto"/>
          </w:divBdr>
        </w:div>
        <w:div w:id="473837415">
          <w:marLeft w:val="1123"/>
          <w:marRight w:val="0"/>
          <w:marTop w:val="0"/>
          <w:marBottom w:val="120"/>
          <w:divBdr>
            <w:top w:val="none" w:sz="0" w:space="0" w:color="auto"/>
            <w:left w:val="none" w:sz="0" w:space="0" w:color="auto"/>
            <w:bottom w:val="none" w:sz="0" w:space="0" w:color="auto"/>
            <w:right w:val="none" w:sz="0" w:space="0" w:color="auto"/>
          </w:divBdr>
        </w:div>
        <w:div w:id="569459089">
          <w:marLeft w:val="547"/>
          <w:marRight w:val="0"/>
          <w:marTop w:val="0"/>
          <w:marBottom w:val="0"/>
          <w:divBdr>
            <w:top w:val="none" w:sz="0" w:space="0" w:color="auto"/>
            <w:left w:val="none" w:sz="0" w:space="0" w:color="auto"/>
            <w:bottom w:val="none" w:sz="0" w:space="0" w:color="auto"/>
            <w:right w:val="none" w:sz="0" w:space="0" w:color="auto"/>
          </w:divBdr>
        </w:div>
        <w:div w:id="719866743">
          <w:marLeft w:val="1123"/>
          <w:marRight w:val="0"/>
          <w:marTop w:val="0"/>
          <w:marBottom w:val="120"/>
          <w:divBdr>
            <w:top w:val="none" w:sz="0" w:space="0" w:color="auto"/>
            <w:left w:val="none" w:sz="0" w:space="0" w:color="auto"/>
            <w:bottom w:val="none" w:sz="0" w:space="0" w:color="auto"/>
            <w:right w:val="none" w:sz="0" w:space="0" w:color="auto"/>
          </w:divBdr>
        </w:div>
        <w:div w:id="974262603">
          <w:marLeft w:val="547"/>
          <w:marRight w:val="0"/>
          <w:marTop w:val="0"/>
          <w:marBottom w:val="0"/>
          <w:divBdr>
            <w:top w:val="none" w:sz="0" w:space="0" w:color="auto"/>
            <w:left w:val="none" w:sz="0" w:space="0" w:color="auto"/>
            <w:bottom w:val="none" w:sz="0" w:space="0" w:color="auto"/>
            <w:right w:val="none" w:sz="0" w:space="0" w:color="auto"/>
          </w:divBdr>
        </w:div>
        <w:div w:id="1682661101">
          <w:marLeft w:val="1123"/>
          <w:marRight w:val="0"/>
          <w:marTop w:val="0"/>
          <w:marBottom w:val="120"/>
          <w:divBdr>
            <w:top w:val="none" w:sz="0" w:space="0" w:color="auto"/>
            <w:left w:val="none" w:sz="0" w:space="0" w:color="auto"/>
            <w:bottom w:val="none" w:sz="0" w:space="0" w:color="auto"/>
            <w:right w:val="none" w:sz="0" w:space="0" w:color="auto"/>
          </w:divBdr>
        </w:div>
      </w:divsChild>
    </w:div>
    <w:div w:id="2097825175">
      <w:bodyDiv w:val="1"/>
      <w:marLeft w:val="0"/>
      <w:marRight w:val="0"/>
      <w:marTop w:val="0"/>
      <w:marBottom w:val="0"/>
      <w:divBdr>
        <w:top w:val="none" w:sz="0" w:space="0" w:color="auto"/>
        <w:left w:val="none" w:sz="0" w:space="0" w:color="auto"/>
        <w:bottom w:val="none" w:sz="0" w:space="0" w:color="auto"/>
        <w:right w:val="none" w:sz="0" w:space="0" w:color="auto"/>
      </w:divBdr>
    </w:div>
    <w:div w:id="2125733551">
      <w:bodyDiv w:val="1"/>
      <w:marLeft w:val="0"/>
      <w:marRight w:val="0"/>
      <w:marTop w:val="0"/>
      <w:marBottom w:val="0"/>
      <w:divBdr>
        <w:top w:val="none" w:sz="0" w:space="0" w:color="auto"/>
        <w:left w:val="none" w:sz="0" w:space="0" w:color="auto"/>
        <w:bottom w:val="none" w:sz="0" w:space="0" w:color="auto"/>
        <w:right w:val="none" w:sz="0" w:space="0" w:color="auto"/>
      </w:divBdr>
      <w:divsChild>
        <w:div w:id="535854338">
          <w:marLeft w:val="0"/>
          <w:marRight w:val="0"/>
          <w:marTop w:val="0"/>
          <w:marBottom w:val="0"/>
          <w:divBdr>
            <w:top w:val="none" w:sz="0" w:space="0" w:color="auto"/>
            <w:left w:val="none" w:sz="0" w:space="0" w:color="auto"/>
            <w:bottom w:val="none" w:sz="0" w:space="0" w:color="auto"/>
            <w:right w:val="none" w:sz="0" w:space="0" w:color="auto"/>
          </w:divBdr>
        </w:div>
        <w:div w:id="792291240">
          <w:marLeft w:val="0"/>
          <w:marRight w:val="0"/>
          <w:marTop w:val="0"/>
          <w:marBottom w:val="0"/>
          <w:divBdr>
            <w:top w:val="none" w:sz="0" w:space="0" w:color="auto"/>
            <w:left w:val="none" w:sz="0" w:space="0" w:color="auto"/>
            <w:bottom w:val="none" w:sz="0" w:space="0" w:color="auto"/>
            <w:right w:val="none" w:sz="0" w:space="0" w:color="auto"/>
          </w:divBdr>
        </w:div>
        <w:div w:id="1215972344">
          <w:marLeft w:val="0"/>
          <w:marRight w:val="0"/>
          <w:marTop w:val="0"/>
          <w:marBottom w:val="0"/>
          <w:divBdr>
            <w:top w:val="none" w:sz="0" w:space="0" w:color="auto"/>
            <w:left w:val="none" w:sz="0" w:space="0" w:color="auto"/>
            <w:bottom w:val="none" w:sz="0" w:space="0" w:color="auto"/>
            <w:right w:val="none" w:sz="0" w:space="0" w:color="auto"/>
          </w:divBdr>
        </w:div>
        <w:div w:id="1867253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8.emf"/><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image" Target="media/image11.svg"/><Relationship Id="rId47" Type="http://schemas.openxmlformats.org/officeDocument/2006/relationships/footer" Target="footer13.xml"/><Relationship Id="rId50" Type="http://schemas.openxmlformats.org/officeDocument/2006/relationships/header" Target="header15.xml"/><Relationship Id="rId55" Type="http://schemas.openxmlformats.org/officeDocument/2006/relationships/header" Target="header17.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image" Target="media/image6.png"/><Relationship Id="rId40" Type="http://schemas.openxmlformats.org/officeDocument/2006/relationships/image" Target="media/image9.emf"/><Relationship Id="rId45" Type="http://schemas.openxmlformats.org/officeDocument/2006/relationships/image" Target="media/image14.png"/><Relationship Id="rId53" Type="http://schemas.openxmlformats.org/officeDocument/2006/relationships/footer" Target="footer16.xml"/><Relationship Id="rId58" Type="http://schemas.openxmlformats.org/officeDocument/2006/relationships/footer" Target="footer18.xml"/><Relationship Id="rId5" Type="http://schemas.openxmlformats.org/officeDocument/2006/relationships/webSettings" Target="webSettings.xml"/><Relationship Id="rId61" Type="http://schemas.openxmlformats.org/officeDocument/2006/relationships/footer" Target="footer1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header" Target="header14.xml"/><Relationship Id="rId56" Type="http://schemas.openxmlformats.org/officeDocument/2006/relationships/footer" Target="footer17.xml"/><Relationship Id="rId8" Type="http://schemas.openxmlformats.org/officeDocument/2006/relationships/image" Target="media/image1.emf"/><Relationship Id="rId51" Type="http://schemas.openxmlformats.org/officeDocument/2006/relationships/footer" Target="foot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2.emf"/><Relationship Id="rId38" Type="http://schemas.openxmlformats.org/officeDocument/2006/relationships/image" Target="media/image7.png"/><Relationship Id="rId46" Type="http://schemas.openxmlformats.org/officeDocument/2006/relationships/header" Target="header13.xml"/><Relationship Id="rId59" Type="http://schemas.openxmlformats.org/officeDocument/2006/relationships/image" Target="media/image16.png"/><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image" Target="media/image1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image" Target="media/image5.png"/><Relationship Id="rId49" Type="http://schemas.openxmlformats.org/officeDocument/2006/relationships/footer" Target="footer14.xml"/><Relationship Id="rId57" Type="http://schemas.openxmlformats.org/officeDocument/2006/relationships/header" Target="header18.xm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image" Target="media/image13.png"/><Relationship Id="rId52" Type="http://schemas.openxmlformats.org/officeDocument/2006/relationships/header" Target="header16.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RegData/docs_autres_institutions/commission_europeenne/com/2023/0306/COM_COM%282023%290306_EN.pdf" TargetMode="External"/><Relationship Id="rId3" Type="http://schemas.openxmlformats.org/officeDocument/2006/relationships/hyperlink" Target="https://economy-finance.ec.europa.eu/publications/2021-ageing-report-underlying-assumptions-and-projection-methodologies_en" TargetMode="External"/><Relationship Id="rId7" Type="http://schemas.openxmlformats.org/officeDocument/2006/relationships/hyperlink" Target="https://www.oecd.org/en/publications/the-circular-economy-in-cities-and-regions-of-the-european-union_e09c21e2-en.html" TargetMode="External"/><Relationship Id="rId2" Type="http://schemas.openxmlformats.org/officeDocument/2006/relationships/hyperlink" Target="https://publications.jrc.ec.europa.eu/repository/handle/JRC106760" TargetMode="External"/><Relationship Id="rId1" Type="http://schemas.openxmlformats.org/officeDocument/2006/relationships/hyperlink" Target="https://ec.europa.eu/info/law/better-regulation/have-your-say/initiatives/14549-EU-emissions-trading-system-for-maritime-aviation-and-stationary-installations-and-market-stability-reserve-review_en" TargetMode="External"/><Relationship Id="rId6" Type="http://schemas.openxmlformats.org/officeDocument/2006/relationships/hyperlink" Target="https://ec.europa.eu/jrc/en/publication/poles-jrc-model-documentation" TargetMode="External"/><Relationship Id="rId5" Type="http://schemas.openxmlformats.org/officeDocument/2006/relationships/hyperlink" Target="https://op.europa.eu/en/publication-detail/-/publication/96c2ca82-e85e-11eb-93a8-01aa75ed71a1/language-en" TargetMode="External"/><Relationship Id="rId4" Type="http://schemas.openxmlformats.org/officeDocument/2006/relationships/hyperlink" Target="https://economy-finance.ec.europa.eu/document/download/971dd209-41c2-425d-94f8-e3c3c3459af9_en?filename=ip279_en.pdf" TargetMode="External"/></Relationships>
</file>

<file path=word/theme/theme1.xml><?xml version="1.0" encoding="utf-8"?>
<a:theme xmlns:a="http://schemas.openxmlformats.org/drawingml/2006/main" name="Office Theme">
  <a:themeElements>
    <a:clrScheme name="Ricardo Sectors">
      <a:dk1>
        <a:srgbClr val="242828"/>
      </a:dk1>
      <a:lt1>
        <a:srgbClr val="FFFFFF"/>
      </a:lt1>
      <a:dk2>
        <a:srgbClr val="003CA7"/>
      </a:dk2>
      <a:lt2>
        <a:srgbClr val="A3AAAE"/>
      </a:lt2>
      <a:accent1>
        <a:srgbClr val="00A6B6"/>
      </a:accent1>
      <a:accent2>
        <a:srgbClr val="00956E"/>
      </a:accent2>
      <a:accent3>
        <a:srgbClr val="76236D"/>
      </a:accent3>
      <a:accent4>
        <a:srgbClr val="E97300"/>
      </a:accent4>
      <a:accent5>
        <a:srgbClr val="D0D2D2"/>
      </a:accent5>
      <a:accent6>
        <a:srgbClr val="009BDF"/>
      </a:accent6>
      <a:hlink>
        <a:srgbClr val="003CA7"/>
      </a:hlink>
      <a:folHlink>
        <a:srgbClr val="A3AAA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Jan25</b:Tag>
    <b:SourceType>InternetSite</b:SourceType>
    <b:Guid>{1BC463E0-95BE-4F91-8384-17ECF4836614}</b:Guid>
    <b:Title>The joys of automatically referencing documents that you're allowed to reference</b:Title>
    <b:Year>2020</b:Year>
    <b:Author>
      <b:Author>
        <b:NameList>
          <b:Person>
            <b:Last>Smith</b:Last>
            <b:First>Jane</b:First>
            <b:Middle>and John</b:Middle>
          </b:Person>
        </b:NameList>
      </b:Author>
    </b:Author>
    <b:Publisher>Smithy Smith Smith</b:Publisher>
    <b:City>Anywhere</b:City>
    <b:InternetSiteTitle>website source name</b:InternetSiteTitle>
    <b:URL>www.referencelocation.com</b:URL>
    <b:RefOrder>1</b:RefOrder>
  </b:Source>
</b:Sources>
</file>

<file path=customXml/itemProps1.xml><?xml version="1.0" encoding="utf-8"?>
<ds:datastoreItem xmlns:ds="http://schemas.openxmlformats.org/officeDocument/2006/customXml" ds:itemID="{DE44FFF5-906C-4015-9848-A2EF8F656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48802</Words>
  <Characters>278174</Characters>
  <Application>Microsoft Office Word</Application>
  <DocSecurity>0</DocSecurity>
  <Lines>5795</Lines>
  <Paragraphs>2458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324518</CharactersWithSpaces>
  <SharedDoc>false</SharedDoc>
  <HLinks>
    <vt:vector size="1002" baseType="variant">
      <vt:variant>
        <vt:i4>1376305</vt:i4>
      </vt:variant>
      <vt:variant>
        <vt:i4>905</vt:i4>
      </vt:variant>
      <vt:variant>
        <vt:i4>0</vt:i4>
      </vt:variant>
      <vt:variant>
        <vt:i4>5</vt:i4>
      </vt:variant>
      <vt:variant>
        <vt:lpwstr/>
      </vt:variant>
      <vt:variant>
        <vt:lpwstr>_Toc232672653</vt:lpwstr>
      </vt:variant>
      <vt:variant>
        <vt:i4>1179697</vt:i4>
      </vt:variant>
      <vt:variant>
        <vt:i4>896</vt:i4>
      </vt:variant>
      <vt:variant>
        <vt:i4>0</vt:i4>
      </vt:variant>
      <vt:variant>
        <vt:i4>5</vt:i4>
      </vt:variant>
      <vt:variant>
        <vt:lpwstr/>
      </vt:variant>
      <vt:variant>
        <vt:lpwstr>_Toc232672623</vt:lpwstr>
      </vt:variant>
      <vt:variant>
        <vt:i4>1179697</vt:i4>
      </vt:variant>
      <vt:variant>
        <vt:i4>890</vt:i4>
      </vt:variant>
      <vt:variant>
        <vt:i4>0</vt:i4>
      </vt:variant>
      <vt:variant>
        <vt:i4>5</vt:i4>
      </vt:variant>
      <vt:variant>
        <vt:lpwstr/>
      </vt:variant>
      <vt:variant>
        <vt:lpwstr>_Toc232672622</vt:lpwstr>
      </vt:variant>
      <vt:variant>
        <vt:i4>1179697</vt:i4>
      </vt:variant>
      <vt:variant>
        <vt:i4>884</vt:i4>
      </vt:variant>
      <vt:variant>
        <vt:i4>0</vt:i4>
      </vt:variant>
      <vt:variant>
        <vt:i4>5</vt:i4>
      </vt:variant>
      <vt:variant>
        <vt:lpwstr/>
      </vt:variant>
      <vt:variant>
        <vt:lpwstr>_Toc232672621</vt:lpwstr>
      </vt:variant>
      <vt:variant>
        <vt:i4>1179697</vt:i4>
      </vt:variant>
      <vt:variant>
        <vt:i4>878</vt:i4>
      </vt:variant>
      <vt:variant>
        <vt:i4>0</vt:i4>
      </vt:variant>
      <vt:variant>
        <vt:i4>5</vt:i4>
      </vt:variant>
      <vt:variant>
        <vt:lpwstr/>
      </vt:variant>
      <vt:variant>
        <vt:lpwstr>_Toc232672620</vt:lpwstr>
      </vt:variant>
      <vt:variant>
        <vt:i4>1114161</vt:i4>
      </vt:variant>
      <vt:variant>
        <vt:i4>872</vt:i4>
      </vt:variant>
      <vt:variant>
        <vt:i4>0</vt:i4>
      </vt:variant>
      <vt:variant>
        <vt:i4>5</vt:i4>
      </vt:variant>
      <vt:variant>
        <vt:lpwstr/>
      </vt:variant>
      <vt:variant>
        <vt:lpwstr>_Toc232672619</vt:lpwstr>
      </vt:variant>
      <vt:variant>
        <vt:i4>1114161</vt:i4>
      </vt:variant>
      <vt:variant>
        <vt:i4>866</vt:i4>
      </vt:variant>
      <vt:variant>
        <vt:i4>0</vt:i4>
      </vt:variant>
      <vt:variant>
        <vt:i4>5</vt:i4>
      </vt:variant>
      <vt:variant>
        <vt:lpwstr/>
      </vt:variant>
      <vt:variant>
        <vt:lpwstr>_Toc232672618</vt:lpwstr>
      </vt:variant>
      <vt:variant>
        <vt:i4>1114161</vt:i4>
      </vt:variant>
      <vt:variant>
        <vt:i4>860</vt:i4>
      </vt:variant>
      <vt:variant>
        <vt:i4>0</vt:i4>
      </vt:variant>
      <vt:variant>
        <vt:i4>5</vt:i4>
      </vt:variant>
      <vt:variant>
        <vt:lpwstr/>
      </vt:variant>
      <vt:variant>
        <vt:lpwstr>_Toc232672617</vt:lpwstr>
      </vt:variant>
      <vt:variant>
        <vt:i4>1114161</vt:i4>
      </vt:variant>
      <vt:variant>
        <vt:i4>854</vt:i4>
      </vt:variant>
      <vt:variant>
        <vt:i4>0</vt:i4>
      </vt:variant>
      <vt:variant>
        <vt:i4>5</vt:i4>
      </vt:variant>
      <vt:variant>
        <vt:lpwstr/>
      </vt:variant>
      <vt:variant>
        <vt:lpwstr>_Toc232672616</vt:lpwstr>
      </vt:variant>
      <vt:variant>
        <vt:i4>1114161</vt:i4>
      </vt:variant>
      <vt:variant>
        <vt:i4>848</vt:i4>
      </vt:variant>
      <vt:variant>
        <vt:i4>0</vt:i4>
      </vt:variant>
      <vt:variant>
        <vt:i4>5</vt:i4>
      </vt:variant>
      <vt:variant>
        <vt:lpwstr/>
      </vt:variant>
      <vt:variant>
        <vt:lpwstr>_Toc232672615</vt:lpwstr>
      </vt:variant>
      <vt:variant>
        <vt:i4>1114161</vt:i4>
      </vt:variant>
      <vt:variant>
        <vt:i4>842</vt:i4>
      </vt:variant>
      <vt:variant>
        <vt:i4>0</vt:i4>
      </vt:variant>
      <vt:variant>
        <vt:i4>5</vt:i4>
      </vt:variant>
      <vt:variant>
        <vt:lpwstr/>
      </vt:variant>
      <vt:variant>
        <vt:lpwstr>_Toc232672614</vt:lpwstr>
      </vt:variant>
      <vt:variant>
        <vt:i4>1114161</vt:i4>
      </vt:variant>
      <vt:variant>
        <vt:i4>836</vt:i4>
      </vt:variant>
      <vt:variant>
        <vt:i4>0</vt:i4>
      </vt:variant>
      <vt:variant>
        <vt:i4>5</vt:i4>
      </vt:variant>
      <vt:variant>
        <vt:lpwstr/>
      </vt:variant>
      <vt:variant>
        <vt:lpwstr>_Toc232672613</vt:lpwstr>
      </vt:variant>
      <vt:variant>
        <vt:i4>1114161</vt:i4>
      </vt:variant>
      <vt:variant>
        <vt:i4>830</vt:i4>
      </vt:variant>
      <vt:variant>
        <vt:i4>0</vt:i4>
      </vt:variant>
      <vt:variant>
        <vt:i4>5</vt:i4>
      </vt:variant>
      <vt:variant>
        <vt:lpwstr/>
      </vt:variant>
      <vt:variant>
        <vt:lpwstr>_Toc232672612</vt:lpwstr>
      </vt:variant>
      <vt:variant>
        <vt:i4>1114161</vt:i4>
      </vt:variant>
      <vt:variant>
        <vt:i4>824</vt:i4>
      </vt:variant>
      <vt:variant>
        <vt:i4>0</vt:i4>
      </vt:variant>
      <vt:variant>
        <vt:i4>5</vt:i4>
      </vt:variant>
      <vt:variant>
        <vt:lpwstr/>
      </vt:variant>
      <vt:variant>
        <vt:lpwstr>_Toc232672611</vt:lpwstr>
      </vt:variant>
      <vt:variant>
        <vt:i4>1114161</vt:i4>
      </vt:variant>
      <vt:variant>
        <vt:i4>818</vt:i4>
      </vt:variant>
      <vt:variant>
        <vt:i4>0</vt:i4>
      </vt:variant>
      <vt:variant>
        <vt:i4>5</vt:i4>
      </vt:variant>
      <vt:variant>
        <vt:lpwstr/>
      </vt:variant>
      <vt:variant>
        <vt:lpwstr>_Toc232672610</vt:lpwstr>
      </vt:variant>
      <vt:variant>
        <vt:i4>1179697</vt:i4>
      </vt:variant>
      <vt:variant>
        <vt:i4>800</vt:i4>
      </vt:variant>
      <vt:variant>
        <vt:i4>0</vt:i4>
      </vt:variant>
      <vt:variant>
        <vt:i4>5</vt:i4>
      </vt:variant>
      <vt:variant>
        <vt:lpwstr/>
      </vt:variant>
      <vt:variant>
        <vt:lpwstr>_Toc232758490</vt:lpwstr>
      </vt:variant>
      <vt:variant>
        <vt:i4>1245233</vt:i4>
      </vt:variant>
      <vt:variant>
        <vt:i4>794</vt:i4>
      </vt:variant>
      <vt:variant>
        <vt:i4>0</vt:i4>
      </vt:variant>
      <vt:variant>
        <vt:i4>5</vt:i4>
      </vt:variant>
      <vt:variant>
        <vt:lpwstr/>
      </vt:variant>
      <vt:variant>
        <vt:lpwstr>_Toc232758489</vt:lpwstr>
      </vt:variant>
      <vt:variant>
        <vt:i4>1245233</vt:i4>
      </vt:variant>
      <vt:variant>
        <vt:i4>788</vt:i4>
      </vt:variant>
      <vt:variant>
        <vt:i4>0</vt:i4>
      </vt:variant>
      <vt:variant>
        <vt:i4>5</vt:i4>
      </vt:variant>
      <vt:variant>
        <vt:lpwstr/>
      </vt:variant>
      <vt:variant>
        <vt:lpwstr>_Toc232758488</vt:lpwstr>
      </vt:variant>
      <vt:variant>
        <vt:i4>1245233</vt:i4>
      </vt:variant>
      <vt:variant>
        <vt:i4>782</vt:i4>
      </vt:variant>
      <vt:variant>
        <vt:i4>0</vt:i4>
      </vt:variant>
      <vt:variant>
        <vt:i4>5</vt:i4>
      </vt:variant>
      <vt:variant>
        <vt:lpwstr/>
      </vt:variant>
      <vt:variant>
        <vt:lpwstr>_Toc232758487</vt:lpwstr>
      </vt:variant>
      <vt:variant>
        <vt:i4>1245233</vt:i4>
      </vt:variant>
      <vt:variant>
        <vt:i4>776</vt:i4>
      </vt:variant>
      <vt:variant>
        <vt:i4>0</vt:i4>
      </vt:variant>
      <vt:variant>
        <vt:i4>5</vt:i4>
      </vt:variant>
      <vt:variant>
        <vt:lpwstr/>
      </vt:variant>
      <vt:variant>
        <vt:lpwstr>_Toc232758486</vt:lpwstr>
      </vt:variant>
      <vt:variant>
        <vt:i4>1245233</vt:i4>
      </vt:variant>
      <vt:variant>
        <vt:i4>770</vt:i4>
      </vt:variant>
      <vt:variant>
        <vt:i4>0</vt:i4>
      </vt:variant>
      <vt:variant>
        <vt:i4>5</vt:i4>
      </vt:variant>
      <vt:variant>
        <vt:lpwstr/>
      </vt:variant>
      <vt:variant>
        <vt:lpwstr>_Toc232758485</vt:lpwstr>
      </vt:variant>
      <vt:variant>
        <vt:i4>1245233</vt:i4>
      </vt:variant>
      <vt:variant>
        <vt:i4>764</vt:i4>
      </vt:variant>
      <vt:variant>
        <vt:i4>0</vt:i4>
      </vt:variant>
      <vt:variant>
        <vt:i4>5</vt:i4>
      </vt:variant>
      <vt:variant>
        <vt:lpwstr/>
      </vt:variant>
      <vt:variant>
        <vt:lpwstr>_Toc232758484</vt:lpwstr>
      </vt:variant>
      <vt:variant>
        <vt:i4>1245233</vt:i4>
      </vt:variant>
      <vt:variant>
        <vt:i4>758</vt:i4>
      </vt:variant>
      <vt:variant>
        <vt:i4>0</vt:i4>
      </vt:variant>
      <vt:variant>
        <vt:i4>5</vt:i4>
      </vt:variant>
      <vt:variant>
        <vt:lpwstr/>
      </vt:variant>
      <vt:variant>
        <vt:lpwstr>_Toc232758483</vt:lpwstr>
      </vt:variant>
      <vt:variant>
        <vt:i4>1245233</vt:i4>
      </vt:variant>
      <vt:variant>
        <vt:i4>752</vt:i4>
      </vt:variant>
      <vt:variant>
        <vt:i4>0</vt:i4>
      </vt:variant>
      <vt:variant>
        <vt:i4>5</vt:i4>
      </vt:variant>
      <vt:variant>
        <vt:lpwstr/>
      </vt:variant>
      <vt:variant>
        <vt:lpwstr>_Toc232758482</vt:lpwstr>
      </vt:variant>
      <vt:variant>
        <vt:i4>1245233</vt:i4>
      </vt:variant>
      <vt:variant>
        <vt:i4>746</vt:i4>
      </vt:variant>
      <vt:variant>
        <vt:i4>0</vt:i4>
      </vt:variant>
      <vt:variant>
        <vt:i4>5</vt:i4>
      </vt:variant>
      <vt:variant>
        <vt:lpwstr/>
      </vt:variant>
      <vt:variant>
        <vt:lpwstr>_Toc232758481</vt:lpwstr>
      </vt:variant>
      <vt:variant>
        <vt:i4>1245233</vt:i4>
      </vt:variant>
      <vt:variant>
        <vt:i4>740</vt:i4>
      </vt:variant>
      <vt:variant>
        <vt:i4>0</vt:i4>
      </vt:variant>
      <vt:variant>
        <vt:i4>5</vt:i4>
      </vt:variant>
      <vt:variant>
        <vt:lpwstr/>
      </vt:variant>
      <vt:variant>
        <vt:lpwstr>_Toc232758480</vt:lpwstr>
      </vt:variant>
      <vt:variant>
        <vt:i4>1900593</vt:i4>
      </vt:variant>
      <vt:variant>
        <vt:i4>731</vt:i4>
      </vt:variant>
      <vt:variant>
        <vt:i4>0</vt:i4>
      </vt:variant>
      <vt:variant>
        <vt:i4>5</vt:i4>
      </vt:variant>
      <vt:variant>
        <vt:lpwstr/>
      </vt:variant>
      <vt:variant>
        <vt:lpwstr>_Toc232758461</vt:lpwstr>
      </vt:variant>
      <vt:variant>
        <vt:i4>1900593</vt:i4>
      </vt:variant>
      <vt:variant>
        <vt:i4>725</vt:i4>
      </vt:variant>
      <vt:variant>
        <vt:i4>0</vt:i4>
      </vt:variant>
      <vt:variant>
        <vt:i4>5</vt:i4>
      </vt:variant>
      <vt:variant>
        <vt:lpwstr/>
      </vt:variant>
      <vt:variant>
        <vt:lpwstr>_Toc232758460</vt:lpwstr>
      </vt:variant>
      <vt:variant>
        <vt:i4>1966129</vt:i4>
      </vt:variant>
      <vt:variant>
        <vt:i4>719</vt:i4>
      </vt:variant>
      <vt:variant>
        <vt:i4>0</vt:i4>
      </vt:variant>
      <vt:variant>
        <vt:i4>5</vt:i4>
      </vt:variant>
      <vt:variant>
        <vt:lpwstr/>
      </vt:variant>
      <vt:variant>
        <vt:lpwstr>_Toc232758459</vt:lpwstr>
      </vt:variant>
      <vt:variant>
        <vt:i4>1966129</vt:i4>
      </vt:variant>
      <vt:variant>
        <vt:i4>713</vt:i4>
      </vt:variant>
      <vt:variant>
        <vt:i4>0</vt:i4>
      </vt:variant>
      <vt:variant>
        <vt:i4>5</vt:i4>
      </vt:variant>
      <vt:variant>
        <vt:lpwstr/>
      </vt:variant>
      <vt:variant>
        <vt:lpwstr>_Toc232758458</vt:lpwstr>
      </vt:variant>
      <vt:variant>
        <vt:i4>1966129</vt:i4>
      </vt:variant>
      <vt:variant>
        <vt:i4>707</vt:i4>
      </vt:variant>
      <vt:variant>
        <vt:i4>0</vt:i4>
      </vt:variant>
      <vt:variant>
        <vt:i4>5</vt:i4>
      </vt:variant>
      <vt:variant>
        <vt:lpwstr/>
      </vt:variant>
      <vt:variant>
        <vt:lpwstr>_Toc232758457</vt:lpwstr>
      </vt:variant>
      <vt:variant>
        <vt:i4>1966129</vt:i4>
      </vt:variant>
      <vt:variant>
        <vt:i4>701</vt:i4>
      </vt:variant>
      <vt:variant>
        <vt:i4>0</vt:i4>
      </vt:variant>
      <vt:variant>
        <vt:i4>5</vt:i4>
      </vt:variant>
      <vt:variant>
        <vt:lpwstr/>
      </vt:variant>
      <vt:variant>
        <vt:lpwstr>_Toc232758456</vt:lpwstr>
      </vt:variant>
      <vt:variant>
        <vt:i4>1966129</vt:i4>
      </vt:variant>
      <vt:variant>
        <vt:i4>695</vt:i4>
      </vt:variant>
      <vt:variant>
        <vt:i4>0</vt:i4>
      </vt:variant>
      <vt:variant>
        <vt:i4>5</vt:i4>
      </vt:variant>
      <vt:variant>
        <vt:lpwstr/>
      </vt:variant>
      <vt:variant>
        <vt:lpwstr>_Toc232758455</vt:lpwstr>
      </vt:variant>
      <vt:variant>
        <vt:i4>1966129</vt:i4>
      </vt:variant>
      <vt:variant>
        <vt:i4>689</vt:i4>
      </vt:variant>
      <vt:variant>
        <vt:i4>0</vt:i4>
      </vt:variant>
      <vt:variant>
        <vt:i4>5</vt:i4>
      </vt:variant>
      <vt:variant>
        <vt:lpwstr/>
      </vt:variant>
      <vt:variant>
        <vt:lpwstr>_Toc232758453</vt:lpwstr>
      </vt:variant>
      <vt:variant>
        <vt:i4>1638455</vt:i4>
      </vt:variant>
      <vt:variant>
        <vt:i4>680</vt:i4>
      </vt:variant>
      <vt:variant>
        <vt:i4>0</vt:i4>
      </vt:variant>
      <vt:variant>
        <vt:i4>5</vt:i4>
      </vt:variant>
      <vt:variant>
        <vt:lpwstr/>
      </vt:variant>
      <vt:variant>
        <vt:lpwstr>_Toc232758225</vt:lpwstr>
      </vt:variant>
      <vt:variant>
        <vt:i4>1638455</vt:i4>
      </vt:variant>
      <vt:variant>
        <vt:i4>674</vt:i4>
      </vt:variant>
      <vt:variant>
        <vt:i4>0</vt:i4>
      </vt:variant>
      <vt:variant>
        <vt:i4>5</vt:i4>
      </vt:variant>
      <vt:variant>
        <vt:lpwstr/>
      </vt:variant>
      <vt:variant>
        <vt:lpwstr>_Toc232758224</vt:lpwstr>
      </vt:variant>
      <vt:variant>
        <vt:i4>1638455</vt:i4>
      </vt:variant>
      <vt:variant>
        <vt:i4>668</vt:i4>
      </vt:variant>
      <vt:variant>
        <vt:i4>0</vt:i4>
      </vt:variant>
      <vt:variant>
        <vt:i4>5</vt:i4>
      </vt:variant>
      <vt:variant>
        <vt:lpwstr/>
      </vt:variant>
      <vt:variant>
        <vt:lpwstr>_Toc232758223</vt:lpwstr>
      </vt:variant>
      <vt:variant>
        <vt:i4>1638455</vt:i4>
      </vt:variant>
      <vt:variant>
        <vt:i4>662</vt:i4>
      </vt:variant>
      <vt:variant>
        <vt:i4>0</vt:i4>
      </vt:variant>
      <vt:variant>
        <vt:i4>5</vt:i4>
      </vt:variant>
      <vt:variant>
        <vt:lpwstr/>
      </vt:variant>
      <vt:variant>
        <vt:lpwstr>_Toc232758222</vt:lpwstr>
      </vt:variant>
      <vt:variant>
        <vt:i4>1638455</vt:i4>
      </vt:variant>
      <vt:variant>
        <vt:i4>656</vt:i4>
      </vt:variant>
      <vt:variant>
        <vt:i4>0</vt:i4>
      </vt:variant>
      <vt:variant>
        <vt:i4>5</vt:i4>
      </vt:variant>
      <vt:variant>
        <vt:lpwstr/>
      </vt:variant>
      <vt:variant>
        <vt:lpwstr>_Toc232758221</vt:lpwstr>
      </vt:variant>
      <vt:variant>
        <vt:i4>1638455</vt:i4>
      </vt:variant>
      <vt:variant>
        <vt:i4>650</vt:i4>
      </vt:variant>
      <vt:variant>
        <vt:i4>0</vt:i4>
      </vt:variant>
      <vt:variant>
        <vt:i4>5</vt:i4>
      </vt:variant>
      <vt:variant>
        <vt:lpwstr/>
      </vt:variant>
      <vt:variant>
        <vt:lpwstr>_Toc232758220</vt:lpwstr>
      </vt:variant>
      <vt:variant>
        <vt:i4>1703991</vt:i4>
      </vt:variant>
      <vt:variant>
        <vt:i4>644</vt:i4>
      </vt:variant>
      <vt:variant>
        <vt:i4>0</vt:i4>
      </vt:variant>
      <vt:variant>
        <vt:i4>5</vt:i4>
      </vt:variant>
      <vt:variant>
        <vt:lpwstr/>
      </vt:variant>
      <vt:variant>
        <vt:lpwstr>_Toc232758219</vt:lpwstr>
      </vt:variant>
      <vt:variant>
        <vt:i4>1703991</vt:i4>
      </vt:variant>
      <vt:variant>
        <vt:i4>638</vt:i4>
      </vt:variant>
      <vt:variant>
        <vt:i4>0</vt:i4>
      </vt:variant>
      <vt:variant>
        <vt:i4>5</vt:i4>
      </vt:variant>
      <vt:variant>
        <vt:lpwstr/>
      </vt:variant>
      <vt:variant>
        <vt:lpwstr>_Toc232758218</vt:lpwstr>
      </vt:variant>
      <vt:variant>
        <vt:i4>1703991</vt:i4>
      </vt:variant>
      <vt:variant>
        <vt:i4>632</vt:i4>
      </vt:variant>
      <vt:variant>
        <vt:i4>0</vt:i4>
      </vt:variant>
      <vt:variant>
        <vt:i4>5</vt:i4>
      </vt:variant>
      <vt:variant>
        <vt:lpwstr/>
      </vt:variant>
      <vt:variant>
        <vt:lpwstr>_Toc232758217</vt:lpwstr>
      </vt:variant>
      <vt:variant>
        <vt:i4>1703991</vt:i4>
      </vt:variant>
      <vt:variant>
        <vt:i4>626</vt:i4>
      </vt:variant>
      <vt:variant>
        <vt:i4>0</vt:i4>
      </vt:variant>
      <vt:variant>
        <vt:i4>5</vt:i4>
      </vt:variant>
      <vt:variant>
        <vt:lpwstr/>
      </vt:variant>
      <vt:variant>
        <vt:lpwstr>_Toc232758216</vt:lpwstr>
      </vt:variant>
      <vt:variant>
        <vt:i4>1703991</vt:i4>
      </vt:variant>
      <vt:variant>
        <vt:i4>620</vt:i4>
      </vt:variant>
      <vt:variant>
        <vt:i4>0</vt:i4>
      </vt:variant>
      <vt:variant>
        <vt:i4>5</vt:i4>
      </vt:variant>
      <vt:variant>
        <vt:lpwstr/>
      </vt:variant>
      <vt:variant>
        <vt:lpwstr>_Toc232758215</vt:lpwstr>
      </vt:variant>
      <vt:variant>
        <vt:i4>1703991</vt:i4>
      </vt:variant>
      <vt:variant>
        <vt:i4>614</vt:i4>
      </vt:variant>
      <vt:variant>
        <vt:i4>0</vt:i4>
      </vt:variant>
      <vt:variant>
        <vt:i4>5</vt:i4>
      </vt:variant>
      <vt:variant>
        <vt:lpwstr/>
      </vt:variant>
      <vt:variant>
        <vt:lpwstr>_Toc232758214</vt:lpwstr>
      </vt:variant>
      <vt:variant>
        <vt:i4>1703991</vt:i4>
      </vt:variant>
      <vt:variant>
        <vt:i4>608</vt:i4>
      </vt:variant>
      <vt:variant>
        <vt:i4>0</vt:i4>
      </vt:variant>
      <vt:variant>
        <vt:i4>5</vt:i4>
      </vt:variant>
      <vt:variant>
        <vt:lpwstr/>
      </vt:variant>
      <vt:variant>
        <vt:lpwstr>_Toc232758213</vt:lpwstr>
      </vt:variant>
      <vt:variant>
        <vt:i4>1703991</vt:i4>
      </vt:variant>
      <vt:variant>
        <vt:i4>602</vt:i4>
      </vt:variant>
      <vt:variant>
        <vt:i4>0</vt:i4>
      </vt:variant>
      <vt:variant>
        <vt:i4>5</vt:i4>
      </vt:variant>
      <vt:variant>
        <vt:lpwstr/>
      </vt:variant>
      <vt:variant>
        <vt:lpwstr>_Toc232758212</vt:lpwstr>
      </vt:variant>
      <vt:variant>
        <vt:i4>1703991</vt:i4>
      </vt:variant>
      <vt:variant>
        <vt:i4>596</vt:i4>
      </vt:variant>
      <vt:variant>
        <vt:i4>0</vt:i4>
      </vt:variant>
      <vt:variant>
        <vt:i4>5</vt:i4>
      </vt:variant>
      <vt:variant>
        <vt:lpwstr/>
      </vt:variant>
      <vt:variant>
        <vt:lpwstr>_Toc232758211</vt:lpwstr>
      </vt:variant>
      <vt:variant>
        <vt:i4>1703991</vt:i4>
      </vt:variant>
      <vt:variant>
        <vt:i4>590</vt:i4>
      </vt:variant>
      <vt:variant>
        <vt:i4>0</vt:i4>
      </vt:variant>
      <vt:variant>
        <vt:i4>5</vt:i4>
      </vt:variant>
      <vt:variant>
        <vt:lpwstr/>
      </vt:variant>
      <vt:variant>
        <vt:lpwstr>_Toc232758210</vt:lpwstr>
      </vt:variant>
      <vt:variant>
        <vt:i4>1769527</vt:i4>
      </vt:variant>
      <vt:variant>
        <vt:i4>584</vt:i4>
      </vt:variant>
      <vt:variant>
        <vt:i4>0</vt:i4>
      </vt:variant>
      <vt:variant>
        <vt:i4>5</vt:i4>
      </vt:variant>
      <vt:variant>
        <vt:lpwstr/>
      </vt:variant>
      <vt:variant>
        <vt:lpwstr>_Toc232758209</vt:lpwstr>
      </vt:variant>
      <vt:variant>
        <vt:i4>1769527</vt:i4>
      </vt:variant>
      <vt:variant>
        <vt:i4>578</vt:i4>
      </vt:variant>
      <vt:variant>
        <vt:i4>0</vt:i4>
      </vt:variant>
      <vt:variant>
        <vt:i4>5</vt:i4>
      </vt:variant>
      <vt:variant>
        <vt:lpwstr/>
      </vt:variant>
      <vt:variant>
        <vt:lpwstr>_Toc232758208</vt:lpwstr>
      </vt:variant>
      <vt:variant>
        <vt:i4>1769527</vt:i4>
      </vt:variant>
      <vt:variant>
        <vt:i4>572</vt:i4>
      </vt:variant>
      <vt:variant>
        <vt:i4>0</vt:i4>
      </vt:variant>
      <vt:variant>
        <vt:i4>5</vt:i4>
      </vt:variant>
      <vt:variant>
        <vt:lpwstr/>
      </vt:variant>
      <vt:variant>
        <vt:lpwstr>_Toc232758207</vt:lpwstr>
      </vt:variant>
      <vt:variant>
        <vt:i4>1769527</vt:i4>
      </vt:variant>
      <vt:variant>
        <vt:i4>566</vt:i4>
      </vt:variant>
      <vt:variant>
        <vt:i4>0</vt:i4>
      </vt:variant>
      <vt:variant>
        <vt:i4>5</vt:i4>
      </vt:variant>
      <vt:variant>
        <vt:lpwstr/>
      </vt:variant>
      <vt:variant>
        <vt:lpwstr>_Toc232758206</vt:lpwstr>
      </vt:variant>
      <vt:variant>
        <vt:i4>1769527</vt:i4>
      </vt:variant>
      <vt:variant>
        <vt:i4>560</vt:i4>
      </vt:variant>
      <vt:variant>
        <vt:i4>0</vt:i4>
      </vt:variant>
      <vt:variant>
        <vt:i4>5</vt:i4>
      </vt:variant>
      <vt:variant>
        <vt:lpwstr/>
      </vt:variant>
      <vt:variant>
        <vt:lpwstr>_Toc232758205</vt:lpwstr>
      </vt:variant>
      <vt:variant>
        <vt:i4>1769527</vt:i4>
      </vt:variant>
      <vt:variant>
        <vt:i4>554</vt:i4>
      </vt:variant>
      <vt:variant>
        <vt:i4>0</vt:i4>
      </vt:variant>
      <vt:variant>
        <vt:i4>5</vt:i4>
      </vt:variant>
      <vt:variant>
        <vt:lpwstr/>
      </vt:variant>
      <vt:variant>
        <vt:lpwstr>_Toc232758204</vt:lpwstr>
      </vt:variant>
      <vt:variant>
        <vt:i4>1769527</vt:i4>
      </vt:variant>
      <vt:variant>
        <vt:i4>548</vt:i4>
      </vt:variant>
      <vt:variant>
        <vt:i4>0</vt:i4>
      </vt:variant>
      <vt:variant>
        <vt:i4>5</vt:i4>
      </vt:variant>
      <vt:variant>
        <vt:lpwstr/>
      </vt:variant>
      <vt:variant>
        <vt:lpwstr>_Toc232758203</vt:lpwstr>
      </vt:variant>
      <vt:variant>
        <vt:i4>1769527</vt:i4>
      </vt:variant>
      <vt:variant>
        <vt:i4>542</vt:i4>
      </vt:variant>
      <vt:variant>
        <vt:i4>0</vt:i4>
      </vt:variant>
      <vt:variant>
        <vt:i4>5</vt:i4>
      </vt:variant>
      <vt:variant>
        <vt:lpwstr/>
      </vt:variant>
      <vt:variant>
        <vt:lpwstr>_Toc232758202</vt:lpwstr>
      </vt:variant>
      <vt:variant>
        <vt:i4>1769527</vt:i4>
      </vt:variant>
      <vt:variant>
        <vt:i4>536</vt:i4>
      </vt:variant>
      <vt:variant>
        <vt:i4>0</vt:i4>
      </vt:variant>
      <vt:variant>
        <vt:i4>5</vt:i4>
      </vt:variant>
      <vt:variant>
        <vt:lpwstr/>
      </vt:variant>
      <vt:variant>
        <vt:lpwstr>_Toc232758201</vt:lpwstr>
      </vt:variant>
      <vt:variant>
        <vt:i4>1769527</vt:i4>
      </vt:variant>
      <vt:variant>
        <vt:i4>530</vt:i4>
      </vt:variant>
      <vt:variant>
        <vt:i4>0</vt:i4>
      </vt:variant>
      <vt:variant>
        <vt:i4>5</vt:i4>
      </vt:variant>
      <vt:variant>
        <vt:lpwstr/>
      </vt:variant>
      <vt:variant>
        <vt:lpwstr>_Toc232758200</vt:lpwstr>
      </vt:variant>
      <vt:variant>
        <vt:i4>1179700</vt:i4>
      </vt:variant>
      <vt:variant>
        <vt:i4>524</vt:i4>
      </vt:variant>
      <vt:variant>
        <vt:i4>0</vt:i4>
      </vt:variant>
      <vt:variant>
        <vt:i4>5</vt:i4>
      </vt:variant>
      <vt:variant>
        <vt:lpwstr/>
      </vt:variant>
      <vt:variant>
        <vt:lpwstr>_Toc232758199</vt:lpwstr>
      </vt:variant>
      <vt:variant>
        <vt:i4>1179700</vt:i4>
      </vt:variant>
      <vt:variant>
        <vt:i4>518</vt:i4>
      </vt:variant>
      <vt:variant>
        <vt:i4>0</vt:i4>
      </vt:variant>
      <vt:variant>
        <vt:i4>5</vt:i4>
      </vt:variant>
      <vt:variant>
        <vt:lpwstr/>
      </vt:variant>
      <vt:variant>
        <vt:lpwstr>_Toc232758198</vt:lpwstr>
      </vt:variant>
      <vt:variant>
        <vt:i4>1179700</vt:i4>
      </vt:variant>
      <vt:variant>
        <vt:i4>512</vt:i4>
      </vt:variant>
      <vt:variant>
        <vt:i4>0</vt:i4>
      </vt:variant>
      <vt:variant>
        <vt:i4>5</vt:i4>
      </vt:variant>
      <vt:variant>
        <vt:lpwstr/>
      </vt:variant>
      <vt:variant>
        <vt:lpwstr>_Toc232758197</vt:lpwstr>
      </vt:variant>
      <vt:variant>
        <vt:i4>1179700</vt:i4>
      </vt:variant>
      <vt:variant>
        <vt:i4>506</vt:i4>
      </vt:variant>
      <vt:variant>
        <vt:i4>0</vt:i4>
      </vt:variant>
      <vt:variant>
        <vt:i4>5</vt:i4>
      </vt:variant>
      <vt:variant>
        <vt:lpwstr/>
      </vt:variant>
      <vt:variant>
        <vt:lpwstr>_Toc232758196</vt:lpwstr>
      </vt:variant>
      <vt:variant>
        <vt:i4>1179700</vt:i4>
      </vt:variant>
      <vt:variant>
        <vt:i4>500</vt:i4>
      </vt:variant>
      <vt:variant>
        <vt:i4>0</vt:i4>
      </vt:variant>
      <vt:variant>
        <vt:i4>5</vt:i4>
      </vt:variant>
      <vt:variant>
        <vt:lpwstr/>
      </vt:variant>
      <vt:variant>
        <vt:lpwstr>_Toc232758195</vt:lpwstr>
      </vt:variant>
      <vt:variant>
        <vt:i4>1179700</vt:i4>
      </vt:variant>
      <vt:variant>
        <vt:i4>494</vt:i4>
      </vt:variant>
      <vt:variant>
        <vt:i4>0</vt:i4>
      </vt:variant>
      <vt:variant>
        <vt:i4>5</vt:i4>
      </vt:variant>
      <vt:variant>
        <vt:lpwstr/>
      </vt:variant>
      <vt:variant>
        <vt:lpwstr>_Toc232758194</vt:lpwstr>
      </vt:variant>
      <vt:variant>
        <vt:i4>1179700</vt:i4>
      </vt:variant>
      <vt:variant>
        <vt:i4>488</vt:i4>
      </vt:variant>
      <vt:variant>
        <vt:i4>0</vt:i4>
      </vt:variant>
      <vt:variant>
        <vt:i4>5</vt:i4>
      </vt:variant>
      <vt:variant>
        <vt:lpwstr/>
      </vt:variant>
      <vt:variant>
        <vt:lpwstr>_Toc232758193</vt:lpwstr>
      </vt:variant>
      <vt:variant>
        <vt:i4>1179700</vt:i4>
      </vt:variant>
      <vt:variant>
        <vt:i4>482</vt:i4>
      </vt:variant>
      <vt:variant>
        <vt:i4>0</vt:i4>
      </vt:variant>
      <vt:variant>
        <vt:i4>5</vt:i4>
      </vt:variant>
      <vt:variant>
        <vt:lpwstr/>
      </vt:variant>
      <vt:variant>
        <vt:lpwstr>_Toc232758192</vt:lpwstr>
      </vt:variant>
      <vt:variant>
        <vt:i4>1179700</vt:i4>
      </vt:variant>
      <vt:variant>
        <vt:i4>476</vt:i4>
      </vt:variant>
      <vt:variant>
        <vt:i4>0</vt:i4>
      </vt:variant>
      <vt:variant>
        <vt:i4>5</vt:i4>
      </vt:variant>
      <vt:variant>
        <vt:lpwstr/>
      </vt:variant>
      <vt:variant>
        <vt:lpwstr>_Toc232758191</vt:lpwstr>
      </vt:variant>
      <vt:variant>
        <vt:i4>1179700</vt:i4>
      </vt:variant>
      <vt:variant>
        <vt:i4>470</vt:i4>
      </vt:variant>
      <vt:variant>
        <vt:i4>0</vt:i4>
      </vt:variant>
      <vt:variant>
        <vt:i4>5</vt:i4>
      </vt:variant>
      <vt:variant>
        <vt:lpwstr/>
      </vt:variant>
      <vt:variant>
        <vt:lpwstr>_Toc232758190</vt:lpwstr>
      </vt:variant>
      <vt:variant>
        <vt:i4>1245236</vt:i4>
      </vt:variant>
      <vt:variant>
        <vt:i4>464</vt:i4>
      </vt:variant>
      <vt:variant>
        <vt:i4>0</vt:i4>
      </vt:variant>
      <vt:variant>
        <vt:i4>5</vt:i4>
      </vt:variant>
      <vt:variant>
        <vt:lpwstr/>
      </vt:variant>
      <vt:variant>
        <vt:lpwstr>_Toc232758189</vt:lpwstr>
      </vt:variant>
      <vt:variant>
        <vt:i4>1245236</vt:i4>
      </vt:variant>
      <vt:variant>
        <vt:i4>458</vt:i4>
      </vt:variant>
      <vt:variant>
        <vt:i4>0</vt:i4>
      </vt:variant>
      <vt:variant>
        <vt:i4>5</vt:i4>
      </vt:variant>
      <vt:variant>
        <vt:lpwstr/>
      </vt:variant>
      <vt:variant>
        <vt:lpwstr>_Toc232758188</vt:lpwstr>
      </vt:variant>
      <vt:variant>
        <vt:i4>1245236</vt:i4>
      </vt:variant>
      <vt:variant>
        <vt:i4>452</vt:i4>
      </vt:variant>
      <vt:variant>
        <vt:i4>0</vt:i4>
      </vt:variant>
      <vt:variant>
        <vt:i4>5</vt:i4>
      </vt:variant>
      <vt:variant>
        <vt:lpwstr/>
      </vt:variant>
      <vt:variant>
        <vt:lpwstr>_Toc232758187</vt:lpwstr>
      </vt:variant>
      <vt:variant>
        <vt:i4>1835060</vt:i4>
      </vt:variant>
      <vt:variant>
        <vt:i4>446</vt:i4>
      </vt:variant>
      <vt:variant>
        <vt:i4>0</vt:i4>
      </vt:variant>
      <vt:variant>
        <vt:i4>5</vt:i4>
      </vt:variant>
      <vt:variant>
        <vt:lpwstr/>
      </vt:variant>
      <vt:variant>
        <vt:lpwstr>_Toc232758179</vt:lpwstr>
      </vt:variant>
      <vt:variant>
        <vt:i4>1835060</vt:i4>
      </vt:variant>
      <vt:variant>
        <vt:i4>440</vt:i4>
      </vt:variant>
      <vt:variant>
        <vt:i4>0</vt:i4>
      </vt:variant>
      <vt:variant>
        <vt:i4>5</vt:i4>
      </vt:variant>
      <vt:variant>
        <vt:lpwstr/>
      </vt:variant>
      <vt:variant>
        <vt:lpwstr>_Toc232758178</vt:lpwstr>
      </vt:variant>
      <vt:variant>
        <vt:i4>1835060</vt:i4>
      </vt:variant>
      <vt:variant>
        <vt:i4>434</vt:i4>
      </vt:variant>
      <vt:variant>
        <vt:i4>0</vt:i4>
      </vt:variant>
      <vt:variant>
        <vt:i4>5</vt:i4>
      </vt:variant>
      <vt:variant>
        <vt:lpwstr/>
      </vt:variant>
      <vt:variant>
        <vt:lpwstr>_Toc232758177</vt:lpwstr>
      </vt:variant>
      <vt:variant>
        <vt:i4>1835060</vt:i4>
      </vt:variant>
      <vt:variant>
        <vt:i4>428</vt:i4>
      </vt:variant>
      <vt:variant>
        <vt:i4>0</vt:i4>
      </vt:variant>
      <vt:variant>
        <vt:i4>5</vt:i4>
      </vt:variant>
      <vt:variant>
        <vt:lpwstr/>
      </vt:variant>
      <vt:variant>
        <vt:lpwstr>_Toc232758176</vt:lpwstr>
      </vt:variant>
      <vt:variant>
        <vt:i4>1835060</vt:i4>
      </vt:variant>
      <vt:variant>
        <vt:i4>422</vt:i4>
      </vt:variant>
      <vt:variant>
        <vt:i4>0</vt:i4>
      </vt:variant>
      <vt:variant>
        <vt:i4>5</vt:i4>
      </vt:variant>
      <vt:variant>
        <vt:lpwstr/>
      </vt:variant>
      <vt:variant>
        <vt:lpwstr>_Toc232758175</vt:lpwstr>
      </vt:variant>
      <vt:variant>
        <vt:i4>1835060</vt:i4>
      </vt:variant>
      <vt:variant>
        <vt:i4>416</vt:i4>
      </vt:variant>
      <vt:variant>
        <vt:i4>0</vt:i4>
      </vt:variant>
      <vt:variant>
        <vt:i4>5</vt:i4>
      </vt:variant>
      <vt:variant>
        <vt:lpwstr/>
      </vt:variant>
      <vt:variant>
        <vt:lpwstr>_Toc232758174</vt:lpwstr>
      </vt:variant>
      <vt:variant>
        <vt:i4>1835060</vt:i4>
      </vt:variant>
      <vt:variant>
        <vt:i4>410</vt:i4>
      </vt:variant>
      <vt:variant>
        <vt:i4>0</vt:i4>
      </vt:variant>
      <vt:variant>
        <vt:i4>5</vt:i4>
      </vt:variant>
      <vt:variant>
        <vt:lpwstr/>
      </vt:variant>
      <vt:variant>
        <vt:lpwstr>_Toc232758173</vt:lpwstr>
      </vt:variant>
      <vt:variant>
        <vt:i4>1835060</vt:i4>
      </vt:variant>
      <vt:variant>
        <vt:i4>404</vt:i4>
      </vt:variant>
      <vt:variant>
        <vt:i4>0</vt:i4>
      </vt:variant>
      <vt:variant>
        <vt:i4>5</vt:i4>
      </vt:variant>
      <vt:variant>
        <vt:lpwstr/>
      </vt:variant>
      <vt:variant>
        <vt:lpwstr>_Toc232758172</vt:lpwstr>
      </vt:variant>
      <vt:variant>
        <vt:i4>1835060</vt:i4>
      </vt:variant>
      <vt:variant>
        <vt:i4>398</vt:i4>
      </vt:variant>
      <vt:variant>
        <vt:i4>0</vt:i4>
      </vt:variant>
      <vt:variant>
        <vt:i4>5</vt:i4>
      </vt:variant>
      <vt:variant>
        <vt:lpwstr/>
      </vt:variant>
      <vt:variant>
        <vt:lpwstr>_Toc232758171</vt:lpwstr>
      </vt:variant>
      <vt:variant>
        <vt:i4>1835060</vt:i4>
      </vt:variant>
      <vt:variant>
        <vt:i4>392</vt:i4>
      </vt:variant>
      <vt:variant>
        <vt:i4>0</vt:i4>
      </vt:variant>
      <vt:variant>
        <vt:i4>5</vt:i4>
      </vt:variant>
      <vt:variant>
        <vt:lpwstr/>
      </vt:variant>
      <vt:variant>
        <vt:lpwstr>_Toc232758170</vt:lpwstr>
      </vt:variant>
      <vt:variant>
        <vt:i4>1900596</vt:i4>
      </vt:variant>
      <vt:variant>
        <vt:i4>386</vt:i4>
      </vt:variant>
      <vt:variant>
        <vt:i4>0</vt:i4>
      </vt:variant>
      <vt:variant>
        <vt:i4>5</vt:i4>
      </vt:variant>
      <vt:variant>
        <vt:lpwstr/>
      </vt:variant>
      <vt:variant>
        <vt:lpwstr>_Toc232758169</vt:lpwstr>
      </vt:variant>
      <vt:variant>
        <vt:i4>1900596</vt:i4>
      </vt:variant>
      <vt:variant>
        <vt:i4>380</vt:i4>
      </vt:variant>
      <vt:variant>
        <vt:i4>0</vt:i4>
      </vt:variant>
      <vt:variant>
        <vt:i4>5</vt:i4>
      </vt:variant>
      <vt:variant>
        <vt:lpwstr/>
      </vt:variant>
      <vt:variant>
        <vt:lpwstr>_Toc232758168</vt:lpwstr>
      </vt:variant>
      <vt:variant>
        <vt:i4>1900596</vt:i4>
      </vt:variant>
      <vt:variant>
        <vt:i4>374</vt:i4>
      </vt:variant>
      <vt:variant>
        <vt:i4>0</vt:i4>
      </vt:variant>
      <vt:variant>
        <vt:i4>5</vt:i4>
      </vt:variant>
      <vt:variant>
        <vt:lpwstr/>
      </vt:variant>
      <vt:variant>
        <vt:lpwstr>_Toc232758167</vt:lpwstr>
      </vt:variant>
      <vt:variant>
        <vt:i4>1900596</vt:i4>
      </vt:variant>
      <vt:variant>
        <vt:i4>368</vt:i4>
      </vt:variant>
      <vt:variant>
        <vt:i4>0</vt:i4>
      </vt:variant>
      <vt:variant>
        <vt:i4>5</vt:i4>
      </vt:variant>
      <vt:variant>
        <vt:lpwstr/>
      </vt:variant>
      <vt:variant>
        <vt:lpwstr>_Toc232758166</vt:lpwstr>
      </vt:variant>
      <vt:variant>
        <vt:i4>1900596</vt:i4>
      </vt:variant>
      <vt:variant>
        <vt:i4>362</vt:i4>
      </vt:variant>
      <vt:variant>
        <vt:i4>0</vt:i4>
      </vt:variant>
      <vt:variant>
        <vt:i4>5</vt:i4>
      </vt:variant>
      <vt:variant>
        <vt:lpwstr/>
      </vt:variant>
      <vt:variant>
        <vt:lpwstr>_Toc232758165</vt:lpwstr>
      </vt:variant>
      <vt:variant>
        <vt:i4>1900596</vt:i4>
      </vt:variant>
      <vt:variant>
        <vt:i4>356</vt:i4>
      </vt:variant>
      <vt:variant>
        <vt:i4>0</vt:i4>
      </vt:variant>
      <vt:variant>
        <vt:i4>5</vt:i4>
      </vt:variant>
      <vt:variant>
        <vt:lpwstr/>
      </vt:variant>
      <vt:variant>
        <vt:lpwstr>_Toc232758164</vt:lpwstr>
      </vt:variant>
      <vt:variant>
        <vt:i4>1900596</vt:i4>
      </vt:variant>
      <vt:variant>
        <vt:i4>350</vt:i4>
      </vt:variant>
      <vt:variant>
        <vt:i4>0</vt:i4>
      </vt:variant>
      <vt:variant>
        <vt:i4>5</vt:i4>
      </vt:variant>
      <vt:variant>
        <vt:lpwstr/>
      </vt:variant>
      <vt:variant>
        <vt:lpwstr>_Toc232758163</vt:lpwstr>
      </vt:variant>
      <vt:variant>
        <vt:i4>1966132</vt:i4>
      </vt:variant>
      <vt:variant>
        <vt:i4>344</vt:i4>
      </vt:variant>
      <vt:variant>
        <vt:i4>0</vt:i4>
      </vt:variant>
      <vt:variant>
        <vt:i4>5</vt:i4>
      </vt:variant>
      <vt:variant>
        <vt:lpwstr/>
      </vt:variant>
      <vt:variant>
        <vt:lpwstr>_Toc232758159</vt:lpwstr>
      </vt:variant>
      <vt:variant>
        <vt:i4>1966132</vt:i4>
      </vt:variant>
      <vt:variant>
        <vt:i4>338</vt:i4>
      </vt:variant>
      <vt:variant>
        <vt:i4>0</vt:i4>
      </vt:variant>
      <vt:variant>
        <vt:i4>5</vt:i4>
      </vt:variant>
      <vt:variant>
        <vt:lpwstr/>
      </vt:variant>
      <vt:variant>
        <vt:lpwstr>_Toc232758158</vt:lpwstr>
      </vt:variant>
      <vt:variant>
        <vt:i4>1966132</vt:i4>
      </vt:variant>
      <vt:variant>
        <vt:i4>332</vt:i4>
      </vt:variant>
      <vt:variant>
        <vt:i4>0</vt:i4>
      </vt:variant>
      <vt:variant>
        <vt:i4>5</vt:i4>
      </vt:variant>
      <vt:variant>
        <vt:lpwstr/>
      </vt:variant>
      <vt:variant>
        <vt:lpwstr>_Toc232758157</vt:lpwstr>
      </vt:variant>
      <vt:variant>
        <vt:i4>1966132</vt:i4>
      </vt:variant>
      <vt:variant>
        <vt:i4>326</vt:i4>
      </vt:variant>
      <vt:variant>
        <vt:i4>0</vt:i4>
      </vt:variant>
      <vt:variant>
        <vt:i4>5</vt:i4>
      </vt:variant>
      <vt:variant>
        <vt:lpwstr/>
      </vt:variant>
      <vt:variant>
        <vt:lpwstr>_Toc232758156</vt:lpwstr>
      </vt:variant>
      <vt:variant>
        <vt:i4>1966132</vt:i4>
      </vt:variant>
      <vt:variant>
        <vt:i4>320</vt:i4>
      </vt:variant>
      <vt:variant>
        <vt:i4>0</vt:i4>
      </vt:variant>
      <vt:variant>
        <vt:i4>5</vt:i4>
      </vt:variant>
      <vt:variant>
        <vt:lpwstr/>
      </vt:variant>
      <vt:variant>
        <vt:lpwstr>_Toc232758155</vt:lpwstr>
      </vt:variant>
      <vt:variant>
        <vt:i4>1966132</vt:i4>
      </vt:variant>
      <vt:variant>
        <vt:i4>314</vt:i4>
      </vt:variant>
      <vt:variant>
        <vt:i4>0</vt:i4>
      </vt:variant>
      <vt:variant>
        <vt:i4>5</vt:i4>
      </vt:variant>
      <vt:variant>
        <vt:lpwstr/>
      </vt:variant>
      <vt:variant>
        <vt:lpwstr>_Toc232758154</vt:lpwstr>
      </vt:variant>
      <vt:variant>
        <vt:i4>1966132</vt:i4>
      </vt:variant>
      <vt:variant>
        <vt:i4>308</vt:i4>
      </vt:variant>
      <vt:variant>
        <vt:i4>0</vt:i4>
      </vt:variant>
      <vt:variant>
        <vt:i4>5</vt:i4>
      </vt:variant>
      <vt:variant>
        <vt:lpwstr/>
      </vt:variant>
      <vt:variant>
        <vt:lpwstr>_Toc232758153</vt:lpwstr>
      </vt:variant>
      <vt:variant>
        <vt:i4>1966132</vt:i4>
      </vt:variant>
      <vt:variant>
        <vt:i4>302</vt:i4>
      </vt:variant>
      <vt:variant>
        <vt:i4>0</vt:i4>
      </vt:variant>
      <vt:variant>
        <vt:i4>5</vt:i4>
      </vt:variant>
      <vt:variant>
        <vt:lpwstr/>
      </vt:variant>
      <vt:variant>
        <vt:lpwstr>_Toc232758152</vt:lpwstr>
      </vt:variant>
      <vt:variant>
        <vt:i4>1966132</vt:i4>
      </vt:variant>
      <vt:variant>
        <vt:i4>296</vt:i4>
      </vt:variant>
      <vt:variant>
        <vt:i4>0</vt:i4>
      </vt:variant>
      <vt:variant>
        <vt:i4>5</vt:i4>
      </vt:variant>
      <vt:variant>
        <vt:lpwstr/>
      </vt:variant>
      <vt:variant>
        <vt:lpwstr>_Toc232758151</vt:lpwstr>
      </vt:variant>
      <vt:variant>
        <vt:i4>1966132</vt:i4>
      </vt:variant>
      <vt:variant>
        <vt:i4>290</vt:i4>
      </vt:variant>
      <vt:variant>
        <vt:i4>0</vt:i4>
      </vt:variant>
      <vt:variant>
        <vt:i4>5</vt:i4>
      </vt:variant>
      <vt:variant>
        <vt:lpwstr/>
      </vt:variant>
      <vt:variant>
        <vt:lpwstr>_Toc232758150</vt:lpwstr>
      </vt:variant>
      <vt:variant>
        <vt:i4>2031668</vt:i4>
      </vt:variant>
      <vt:variant>
        <vt:i4>284</vt:i4>
      </vt:variant>
      <vt:variant>
        <vt:i4>0</vt:i4>
      </vt:variant>
      <vt:variant>
        <vt:i4>5</vt:i4>
      </vt:variant>
      <vt:variant>
        <vt:lpwstr/>
      </vt:variant>
      <vt:variant>
        <vt:lpwstr>_Toc232758149</vt:lpwstr>
      </vt:variant>
      <vt:variant>
        <vt:i4>2031668</vt:i4>
      </vt:variant>
      <vt:variant>
        <vt:i4>278</vt:i4>
      </vt:variant>
      <vt:variant>
        <vt:i4>0</vt:i4>
      </vt:variant>
      <vt:variant>
        <vt:i4>5</vt:i4>
      </vt:variant>
      <vt:variant>
        <vt:lpwstr/>
      </vt:variant>
      <vt:variant>
        <vt:lpwstr>_Toc232758148</vt:lpwstr>
      </vt:variant>
      <vt:variant>
        <vt:i4>2031668</vt:i4>
      </vt:variant>
      <vt:variant>
        <vt:i4>272</vt:i4>
      </vt:variant>
      <vt:variant>
        <vt:i4>0</vt:i4>
      </vt:variant>
      <vt:variant>
        <vt:i4>5</vt:i4>
      </vt:variant>
      <vt:variant>
        <vt:lpwstr/>
      </vt:variant>
      <vt:variant>
        <vt:lpwstr>_Toc232758147</vt:lpwstr>
      </vt:variant>
      <vt:variant>
        <vt:i4>2031668</vt:i4>
      </vt:variant>
      <vt:variant>
        <vt:i4>266</vt:i4>
      </vt:variant>
      <vt:variant>
        <vt:i4>0</vt:i4>
      </vt:variant>
      <vt:variant>
        <vt:i4>5</vt:i4>
      </vt:variant>
      <vt:variant>
        <vt:lpwstr/>
      </vt:variant>
      <vt:variant>
        <vt:lpwstr>_Toc232758146</vt:lpwstr>
      </vt:variant>
      <vt:variant>
        <vt:i4>2031668</vt:i4>
      </vt:variant>
      <vt:variant>
        <vt:i4>260</vt:i4>
      </vt:variant>
      <vt:variant>
        <vt:i4>0</vt:i4>
      </vt:variant>
      <vt:variant>
        <vt:i4>5</vt:i4>
      </vt:variant>
      <vt:variant>
        <vt:lpwstr/>
      </vt:variant>
      <vt:variant>
        <vt:lpwstr>_Toc232758145</vt:lpwstr>
      </vt:variant>
      <vt:variant>
        <vt:i4>2031668</vt:i4>
      </vt:variant>
      <vt:variant>
        <vt:i4>254</vt:i4>
      </vt:variant>
      <vt:variant>
        <vt:i4>0</vt:i4>
      </vt:variant>
      <vt:variant>
        <vt:i4>5</vt:i4>
      </vt:variant>
      <vt:variant>
        <vt:lpwstr/>
      </vt:variant>
      <vt:variant>
        <vt:lpwstr>_Toc232758144</vt:lpwstr>
      </vt:variant>
      <vt:variant>
        <vt:i4>2031668</vt:i4>
      </vt:variant>
      <vt:variant>
        <vt:i4>248</vt:i4>
      </vt:variant>
      <vt:variant>
        <vt:i4>0</vt:i4>
      </vt:variant>
      <vt:variant>
        <vt:i4>5</vt:i4>
      </vt:variant>
      <vt:variant>
        <vt:lpwstr/>
      </vt:variant>
      <vt:variant>
        <vt:lpwstr>_Toc232758143</vt:lpwstr>
      </vt:variant>
      <vt:variant>
        <vt:i4>2031668</vt:i4>
      </vt:variant>
      <vt:variant>
        <vt:i4>242</vt:i4>
      </vt:variant>
      <vt:variant>
        <vt:i4>0</vt:i4>
      </vt:variant>
      <vt:variant>
        <vt:i4>5</vt:i4>
      </vt:variant>
      <vt:variant>
        <vt:lpwstr/>
      </vt:variant>
      <vt:variant>
        <vt:lpwstr>_Toc232758142</vt:lpwstr>
      </vt:variant>
      <vt:variant>
        <vt:i4>2031668</vt:i4>
      </vt:variant>
      <vt:variant>
        <vt:i4>236</vt:i4>
      </vt:variant>
      <vt:variant>
        <vt:i4>0</vt:i4>
      </vt:variant>
      <vt:variant>
        <vt:i4>5</vt:i4>
      </vt:variant>
      <vt:variant>
        <vt:lpwstr/>
      </vt:variant>
      <vt:variant>
        <vt:lpwstr>_Toc232758141</vt:lpwstr>
      </vt:variant>
      <vt:variant>
        <vt:i4>2031668</vt:i4>
      </vt:variant>
      <vt:variant>
        <vt:i4>230</vt:i4>
      </vt:variant>
      <vt:variant>
        <vt:i4>0</vt:i4>
      </vt:variant>
      <vt:variant>
        <vt:i4>5</vt:i4>
      </vt:variant>
      <vt:variant>
        <vt:lpwstr/>
      </vt:variant>
      <vt:variant>
        <vt:lpwstr>_Toc232758140</vt:lpwstr>
      </vt:variant>
      <vt:variant>
        <vt:i4>1572916</vt:i4>
      </vt:variant>
      <vt:variant>
        <vt:i4>224</vt:i4>
      </vt:variant>
      <vt:variant>
        <vt:i4>0</vt:i4>
      </vt:variant>
      <vt:variant>
        <vt:i4>5</vt:i4>
      </vt:variant>
      <vt:variant>
        <vt:lpwstr/>
      </vt:variant>
      <vt:variant>
        <vt:lpwstr>_Toc232758139</vt:lpwstr>
      </vt:variant>
      <vt:variant>
        <vt:i4>1572916</vt:i4>
      </vt:variant>
      <vt:variant>
        <vt:i4>218</vt:i4>
      </vt:variant>
      <vt:variant>
        <vt:i4>0</vt:i4>
      </vt:variant>
      <vt:variant>
        <vt:i4>5</vt:i4>
      </vt:variant>
      <vt:variant>
        <vt:lpwstr/>
      </vt:variant>
      <vt:variant>
        <vt:lpwstr>_Toc232758138</vt:lpwstr>
      </vt:variant>
      <vt:variant>
        <vt:i4>1572916</vt:i4>
      </vt:variant>
      <vt:variant>
        <vt:i4>212</vt:i4>
      </vt:variant>
      <vt:variant>
        <vt:i4>0</vt:i4>
      </vt:variant>
      <vt:variant>
        <vt:i4>5</vt:i4>
      </vt:variant>
      <vt:variant>
        <vt:lpwstr/>
      </vt:variant>
      <vt:variant>
        <vt:lpwstr>_Toc232758137</vt:lpwstr>
      </vt:variant>
      <vt:variant>
        <vt:i4>1572916</vt:i4>
      </vt:variant>
      <vt:variant>
        <vt:i4>206</vt:i4>
      </vt:variant>
      <vt:variant>
        <vt:i4>0</vt:i4>
      </vt:variant>
      <vt:variant>
        <vt:i4>5</vt:i4>
      </vt:variant>
      <vt:variant>
        <vt:lpwstr/>
      </vt:variant>
      <vt:variant>
        <vt:lpwstr>_Toc232758136</vt:lpwstr>
      </vt:variant>
      <vt:variant>
        <vt:i4>1572916</vt:i4>
      </vt:variant>
      <vt:variant>
        <vt:i4>200</vt:i4>
      </vt:variant>
      <vt:variant>
        <vt:i4>0</vt:i4>
      </vt:variant>
      <vt:variant>
        <vt:i4>5</vt:i4>
      </vt:variant>
      <vt:variant>
        <vt:lpwstr/>
      </vt:variant>
      <vt:variant>
        <vt:lpwstr>_Toc232758135</vt:lpwstr>
      </vt:variant>
      <vt:variant>
        <vt:i4>1572916</vt:i4>
      </vt:variant>
      <vt:variant>
        <vt:i4>194</vt:i4>
      </vt:variant>
      <vt:variant>
        <vt:i4>0</vt:i4>
      </vt:variant>
      <vt:variant>
        <vt:i4>5</vt:i4>
      </vt:variant>
      <vt:variant>
        <vt:lpwstr/>
      </vt:variant>
      <vt:variant>
        <vt:lpwstr>_Toc232758134</vt:lpwstr>
      </vt:variant>
      <vt:variant>
        <vt:i4>1572916</vt:i4>
      </vt:variant>
      <vt:variant>
        <vt:i4>188</vt:i4>
      </vt:variant>
      <vt:variant>
        <vt:i4>0</vt:i4>
      </vt:variant>
      <vt:variant>
        <vt:i4>5</vt:i4>
      </vt:variant>
      <vt:variant>
        <vt:lpwstr/>
      </vt:variant>
      <vt:variant>
        <vt:lpwstr>_Toc232758133</vt:lpwstr>
      </vt:variant>
      <vt:variant>
        <vt:i4>1572916</vt:i4>
      </vt:variant>
      <vt:variant>
        <vt:i4>182</vt:i4>
      </vt:variant>
      <vt:variant>
        <vt:i4>0</vt:i4>
      </vt:variant>
      <vt:variant>
        <vt:i4>5</vt:i4>
      </vt:variant>
      <vt:variant>
        <vt:lpwstr/>
      </vt:variant>
      <vt:variant>
        <vt:lpwstr>_Toc232758132</vt:lpwstr>
      </vt:variant>
      <vt:variant>
        <vt:i4>1572916</vt:i4>
      </vt:variant>
      <vt:variant>
        <vt:i4>176</vt:i4>
      </vt:variant>
      <vt:variant>
        <vt:i4>0</vt:i4>
      </vt:variant>
      <vt:variant>
        <vt:i4>5</vt:i4>
      </vt:variant>
      <vt:variant>
        <vt:lpwstr/>
      </vt:variant>
      <vt:variant>
        <vt:lpwstr>_Toc232758131</vt:lpwstr>
      </vt:variant>
      <vt:variant>
        <vt:i4>1572916</vt:i4>
      </vt:variant>
      <vt:variant>
        <vt:i4>170</vt:i4>
      </vt:variant>
      <vt:variant>
        <vt:i4>0</vt:i4>
      </vt:variant>
      <vt:variant>
        <vt:i4>5</vt:i4>
      </vt:variant>
      <vt:variant>
        <vt:lpwstr/>
      </vt:variant>
      <vt:variant>
        <vt:lpwstr>_Toc232758130</vt:lpwstr>
      </vt:variant>
      <vt:variant>
        <vt:i4>1638452</vt:i4>
      </vt:variant>
      <vt:variant>
        <vt:i4>164</vt:i4>
      </vt:variant>
      <vt:variant>
        <vt:i4>0</vt:i4>
      </vt:variant>
      <vt:variant>
        <vt:i4>5</vt:i4>
      </vt:variant>
      <vt:variant>
        <vt:lpwstr/>
      </vt:variant>
      <vt:variant>
        <vt:lpwstr>_Toc232758129</vt:lpwstr>
      </vt:variant>
      <vt:variant>
        <vt:i4>1638452</vt:i4>
      </vt:variant>
      <vt:variant>
        <vt:i4>158</vt:i4>
      </vt:variant>
      <vt:variant>
        <vt:i4>0</vt:i4>
      </vt:variant>
      <vt:variant>
        <vt:i4>5</vt:i4>
      </vt:variant>
      <vt:variant>
        <vt:lpwstr/>
      </vt:variant>
      <vt:variant>
        <vt:lpwstr>_Toc232758128</vt:lpwstr>
      </vt:variant>
      <vt:variant>
        <vt:i4>1638452</vt:i4>
      </vt:variant>
      <vt:variant>
        <vt:i4>152</vt:i4>
      </vt:variant>
      <vt:variant>
        <vt:i4>0</vt:i4>
      </vt:variant>
      <vt:variant>
        <vt:i4>5</vt:i4>
      </vt:variant>
      <vt:variant>
        <vt:lpwstr/>
      </vt:variant>
      <vt:variant>
        <vt:lpwstr>_Toc232758127</vt:lpwstr>
      </vt:variant>
      <vt:variant>
        <vt:i4>1638452</vt:i4>
      </vt:variant>
      <vt:variant>
        <vt:i4>146</vt:i4>
      </vt:variant>
      <vt:variant>
        <vt:i4>0</vt:i4>
      </vt:variant>
      <vt:variant>
        <vt:i4>5</vt:i4>
      </vt:variant>
      <vt:variant>
        <vt:lpwstr/>
      </vt:variant>
      <vt:variant>
        <vt:lpwstr>_Toc232758123</vt:lpwstr>
      </vt:variant>
      <vt:variant>
        <vt:i4>1638452</vt:i4>
      </vt:variant>
      <vt:variant>
        <vt:i4>140</vt:i4>
      </vt:variant>
      <vt:variant>
        <vt:i4>0</vt:i4>
      </vt:variant>
      <vt:variant>
        <vt:i4>5</vt:i4>
      </vt:variant>
      <vt:variant>
        <vt:lpwstr/>
      </vt:variant>
      <vt:variant>
        <vt:lpwstr>_Toc232758122</vt:lpwstr>
      </vt:variant>
      <vt:variant>
        <vt:i4>1638452</vt:i4>
      </vt:variant>
      <vt:variant>
        <vt:i4>134</vt:i4>
      </vt:variant>
      <vt:variant>
        <vt:i4>0</vt:i4>
      </vt:variant>
      <vt:variant>
        <vt:i4>5</vt:i4>
      </vt:variant>
      <vt:variant>
        <vt:lpwstr/>
      </vt:variant>
      <vt:variant>
        <vt:lpwstr>_Toc232758121</vt:lpwstr>
      </vt:variant>
      <vt:variant>
        <vt:i4>1638452</vt:i4>
      </vt:variant>
      <vt:variant>
        <vt:i4>128</vt:i4>
      </vt:variant>
      <vt:variant>
        <vt:i4>0</vt:i4>
      </vt:variant>
      <vt:variant>
        <vt:i4>5</vt:i4>
      </vt:variant>
      <vt:variant>
        <vt:lpwstr/>
      </vt:variant>
      <vt:variant>
        <vt:lpwstr>_Toc232758120</vt:lpwstr>
      </vt:variant>
      <vt:variant>
        <vt:i4>1703988</vt:i4>
      </vt:variant>
      <vt:variant>
        <vt:i4>122</vt:i4>
      </vt:variant>
      <vt:variant>
        <vt:i4>0</vt:i4>
      </vt:variant>
      <vt:variant>
        <vt:i4>5</vt:i4>
      </vt:variant>
      <vt:variant>
        <vt:lpwstr/>
      </vt:variant>
      <vt:variant>
        <vt:lpwstr>_Toc232758119</vt:lpwstr>
      </vt:variant>
      <vt:variant>
        <vt:i4>1703988</vt:i4>
      </vt:variant>
      <vt:variant>
        <vt:i4>116</vt:i4>
      </vt:variant>
      <vt:variant>
        <vt:i4>0</vt:i4>
      </vt:variant>
      <vt:variant>
        <vt:i4>5</vt:i4>
      </vt:variant>
      <vt:variant>
        <vt:lpwstr/>
      </vt:variant>
      <vt:variant>
        <vt:lpwstr>_Toc232758118</vt:lpwstr>
      </vt:variant>
      <vt:variant>
        <vt:i4>1703988</vt:i4>
      </vt:variant>
      <vt:variant>
        <vt:i4>110</vt:i4>
      </vt:variant>
      <vt:variant>
        <vt:i4>0</vt:i4>
      </vt:variant>
      <vt:variant>
        <vt:i4>5</vt:i4>
      </vt:variant>
      <vt:variant>
        <vt:lpwstr/>
      </vt:variant>
      <vt:variant>
        <vt:lpwstr>_Toc232758117</vt:lpwstr>
      </vt:variant>
      <vt:variant>
        <vt:i4>1703988</vt:i4>
      </vt:variant>
      <vt:variant>
        <vt:i4>104</vt:i4>
      </vt:variant>
      <vt:variant>
        <vt:i4>0</vt:i4>
      </vt:variant>
      <vt:variant>
        <vt:i4>5</vt:i4>
      </vt:variant>
      <vt:variant>
        <vt:lpwstr/>
      </vt:variant>
      <vt:variant>
        <vt:lpwstr>_Toc232758114</vt:lpwstr>
      </vt:variant>
      <vt:variant>
        <vt:i4>1769524</vt:i4>
      </vt:variant>
      <vt:variant>
        <vt:i4>98</vt:i4>
      </vt:variant>
      <vt:variant>
        <vt:i4>0</vt:i4>
      </vt:variant>
      <vt:variant>
        <vt:i4>5</vt:i4>
      </vt:variant>
      <vt:variant>
        <vt:lpwstr/>
      </vt:variant>
      <vt:variant>
        <vt:lpwstr>_Toc232758105</vt:lpwstr>
      </vt:variant>
      <vt:variant>
        <vt:i4>1769524</vt:i4>
      </vt:variant>
      <vt:variant>
        <vt:i4>92</vt:i4>
      </vt:variant>
      <vt:variant>
        <vt:i4>0</vt:i4>
      </vt:variant>
      <vt:variant>
        <vt:i4>5</vt:i4>
      </vt:variant>
      <vt:variant>
        <vt:lpwstr/>
      </vt:variant>
      <vt:variant>
        <vt:lpwstr>_Toc232758104</vt:lpwstr>
      </vt:variant>
      <vt:variant>
        <vt:i4>1769524</vt:i4>
      </vt:variant>
      <vt:variant>
        <vt:i4>86</vt:i4>
      </vt:variant>
      <vt:variant>
        <vt:i4>0</vt:i4>
      </vt:variant>
      <vt:variant>
        <vt:i4>5</vt:i4>
      </vt:variant>
      <vt:variant>
        <vt:lpwstr/>
      </vt:variant>
      <vt:variant>
        <vt:lpwstr>_Toc232758103</vt:lpwstr>
      </vt:variant>
      <vt:variant>
        <vt:i4>1769524</vt:i4>
      </vt:variant>
      <vt:variant>
        <vt:i4>80</vt:i4>
      </vt:variant>
      <vt:variant>
        <vt:i4>0</vt:i4>
      </vt:variant>
      <vt:variant>
        <vt:i4>5</vt:i4>
      </vt:variant>
      <vt:variant>
        <vt:lpwstr/>
      </vt:variant>
      <vt:variant>
        <vt:lpwstr>_Toc232758102</vt:lpwstr>
      </vt:variant>
      <vt:variant>
        <vt:i4>1769524</vt:i4>
      </vt:variant>
      <vt:variant>
        <vt:i4>74</vt:i4>
      </vt:variant>
      <vt:variant>
        <vt:i4>0</vt:i4>
      </vt:variant>
      <vt:variant>
        <vt:i4>5</vt:i4>
      </vt:variant>
      <vt:variant>
        <vt:lpwstr/>
      </vt:variant>
      <vt:variant>
        <vt:lpwstr>_Toc232758101</vt:lpwstr>
      </vt:variant>
      <vt:variant>
        <vt:i4>1769524</vt:i4>
      </vt:variant>
      <vt:variant>
        <vt:i4>68</vt:i4>
      </vt:variant>
      <vt:variant>
        <vt:i4>0</vt:i4>
      </vt:variant>
      <vt:variant>
        <vt:i4>5</vt:i4>
      </vt:variant>
      <vt:variant>
        <vt:lpwstr/>
      </vt:variant>
      <vt:variant>
        <vt:lpwstr>_Toc232758100</vt:lpwstr>
      </vt:variant>
      <vt:variant>
        <vt:i4>1179701</vt:i4>
      </vt:variant>
      <vt:variant>
        <vt:i4>62</vt:i4>
      </vt:variant>
      <vt:variant>
        <vt:i4>0</vt:i4>
      </vt:variant>
      <vt:variant>
        <vt:i4>5</vt:i4>
      </vt:variant>
      <vt:variant>
        <vt:lpwstr/>
      </vt:variant>
      <vt:variant>
        <vt:lpwstr>_Toc232758099</vt:lpwstr>
      </vt:variant>
      <vt:variant>
        <vt:i4>1179701</vt:i4>
      </vt:variant>
      <vt:variant>
        <vt:i4>56</vt:i4>
      </vt:variant>
      <vt:variant>
        <vt:i4>0</vt:i4>
      </vt:variant>
      <vt:variant>
        <vt:i4>5</vt:i4>
      </vt:variant>
      <vt:variant>
        <vt:lpwstr/>
      </vt:variant>
      <vt:variant>
        <vt:lpwstr>_Toc232758098</vt:lpwstr>
      </vt:variant>
      <vt:variant>
        <vt:i4>1179701</vt:i4>
      </vt:variant>
      <vt:variant>
        <vt:i4>50</vt:i4>
      </vt:variant>
      <vt:variant>
        <vt:i4>0</vt:i4>
      </vt:variant>
      <vt:variant>
        <vt:i4>5</vt:i4>
      </vt:variant>
      <vt:variant>
        <vt:lpwstr/>
      </vt:variant>
      <vt:variant>
        <vt:lpwstr>_Toc232758097</vt:lpwstr>
      </vt:variant>
      <vt:variant>
        <vt:i4>1179701</vt:i4>
      </vt:variant>
      <vt:variant>
        <vt:i4>44</vt:i4>
      </vt:variant>
      <vt:variant>
        <vt:i4>0</vt:i4>
      </vt:variant>
      <vt:variant>
        <vt:i4>5</vt:i4>
      </vt:variant>
      <vt:variant>
        <vt:lpwstr/>
      </vt:variant>
      <vt:variant>
        <vt:lpwstr>_Toc232758096</vt:lpwstr>
      </vt:variant>
      <vt:variant>
        <vt:i4>1179701</vt:i4>
      </vt:variant>
      <vt:variant>
        <vt:i4>38</vt:i4>
      </vt:variant>
      <vt:variant>
        <vt:i4>0</vt:i4>
      </vt:variant>
      <vt:variant>
        <vt:i4>5</vt:i4>
      </vt:variant>
      <vt:variant>
        <vt:lpwstr/>
      </vt:variant>
      <vt:variant>
        <vt:lpwstr>_Toc232758095</vt:lpwstr>
      </vt:variant>
      <vt:variant>
        <vt:i4>1179701</vt:i4>
      </vt:variant>
      <vt:variant>
        <vt:i4>32</vt:i4>
      </vt:variant>
      <vt:variant>
        <vt:i4>0</vt:i4>
      </vt:variant>
      <vt:variant>
        <vt:i4>5</vt:i4>
      </vt:variant>
      <vt:variant>
        <vt:lpwstr/>
      </vt:variant>
      <vt:variant>
        <vt:lpwstr>_Toc232758094</vt:lpwstr>
      </vt:variant>
      <vt:variant>
        <vt:i4>1179701</vt:i4>
      </vt:variant>
      <vt:variant>
        <vt:i4>26</vt:i4>
      </vt:variant>
      <vt:variant>
        <vt:i4>0</vt:i4>
      </vt:variant>
      <vt:variant>
        <vt:i4>5</vt:i4>
      </vt:variant>
      <vt:variant>
        <vt:lpwstr/>
      </vt:variant>
      <vt:variant>
        <vt:lpwstr>_Toc232758093</vt:lpwstr>
      </vt:variant>
      <vt:variant>
        <vt:i4>1179701</vt:i4>
      </vt:variant>
      <vt:variant>
        <vt:i4>20</vt:i4>
      </vt:variant>
      <vt:variant>
        <vt:i4>0</vt:i4>
      </vt:variant>
      <vt:variant>
        <vt:i4>5</vt:i4>
      </vt:variant>
      <vt:variant>
        <vt:lpwstr/>
      </vt:variant>
      <vt:variant>
        <vt:lpwstr>_Toc232758092</vt:lpwstr>
      </vt:variant>
      <vt:variant>
        <vt:i4>1179701</vt:i4>
      </vt:variant>
      <vt:variant>
        <vt:i4>14</vt:i4>
      </vt:variant>
      <vt:variant>
        <vt:i4>0</vt:i4>
      </vt:variant>
      <vt:variant>
        <vt:i4>5</vt:i4>
      </vt:variant>
      <vt:variant>
        <vt:lpwstr/>
      </vt:variant>
      <vt:variant>
        <vt:lpwstr>_Toc232758091</vt:lpwstr>
      </vt:variant>
      <vt:variant>
        <vt:i4>1179701</vt:i4>
      </vt:variant>
      <vt:variant>
        <vt:i4>8</vt:i4>
      </vt:variant>
      <vt:variant>
        <vt:i4>0</vt:i4>
      </vt:variant>
      <vt:variant>
        <vt:i4>5</vt:i4>
      </vt:variant>
      <vt:variant>
        <vt:lpwstr/>
      </vt:variant>
      <vt:variant>
        <vt:lpwstr>_Toc232758090</vt:lpwstr>
      </vt:variant>
      <vt:variant>
        <vt:i4>1245237</vt:i4>
      </vt:variant>
      <vt:variant>
        <vt:i4>2</vt:i4>
      </vt:variant>
      <vt:variant>
        <vt:i4>0</vt:i4>
      </vt:variant>
      <vt:variant>
        <vt:i4>5</vt:i4>
      </vt:variant>
      <vt:variant>
        <vt:lpwstr/>
      </vt:variant>
      <vt:variant>
        <vt:lpwstr>_Toc232758089</vt:lpwstr>
      </vt:variant>
      <vt:variant>
        <vt:i4>1704052</vt:i4>
      </vt:variant>
      <vt:variant>
        <vt:i4>24</vt:i4>
      </vt:variant>
      <vt:variant>
        <vt:i4>0</vt:i4>
      </vt:variant>
      <vt:variant>
        <vt:i4>5</vt:i4>
      </vt:variant>
      <vt:variant>
        <vt:lpwstr>https://single-market-economy.ec.europa.eu/single-market/services/economic-analysis/matching-eu-transaction-log-orbis-database_en</vt:lpwstr>
      </vt:variant>
      <vt:variant>
        <vt:lpwstr/>
      </vt:variant>
      <vt:variant>
        <vt:i4>7929941</vt:i4>
      </vt:variant>
      <vt:variant>
        <vt:i4>21</vt:i4>
      </vt:variant>
      <vt:variant>
        <vt:i4>0</vt:i4>
      </vt:variant>
      <vt:variant>
        <vt:i4>5</vt:i4>
      </vt:variant>
      <vt:variant>
        <vt:lpwstr>https://www.europarl.europa.eu/RegData/docs_autres_institutions/commission_europeenne/com/2023/0306/COM_COM%282023%290306_EN.pdf</vt:lpwstr>
      </vt:variant>
      <vt:variant>
        <vt:lpwstr/>
      </vt:variant>
      <vt:variant>
        <vt:i4>5308476</vt:i4>
      </vt:variant>
      <vt:variant>
        <vt:i4>18</vt:i4>
      </vt:variant>
      <vt:variant>
        <vt:i4>0</vt:i4>
      </vt:variant>
      <vt:variant>
        <vt:i4>5</vt:i4>
      </vt:variant>
      <vt:variant>
        <vt:lpwstr>https://www.oecd.org/en/publications/the-circular-economy-in-cities-and-regions-of-the-european-union_e09c21e2-en.html</vt:lpwstr>
      </vt:variant>
      <vt:variant>
        <vt:lpwstr/>
      </vt:variant>
      <vt:variant>
        <vt:i4>786459</vt:i4>
      </vt:variant>
      <vt:variant>
        <vt:i4>15</vt:i4>
      </vt:variant>
      <vt:variant>
        <vt:i4>0</vt:i4>
      </vt:variant>
      <vt:variant>
        <vt:i4>5</vt:i4>
      </vt:variant>
      <vt:variant>
        <vt:lpwstr>https://ec.europa.eu/jrc/en/publication/poles-jrc-model-documentation</vt:lpwstr>
      </vt:variant>
      <vt:variant>
        <vt:lpwstr/>
      </vt:variant>
      <vt:variant>
        <vt:i4>1900612</vt:i4>
      </vt:variant>
      <vt:variant>
        <vt:i4>12</vt:i4>
      </vt:variant>
      <vt:variant>
        <vt:i4>0</vt:i4>
      </vt:variant>
      <vt:variant>
        <vt:i4>5</vt:i4>
      </vt:variant>
      <vt:variant>
        <vt:lpwstr>https://op.europa.eu/en/publication-detail/-/publication/96c2ca82-e85e-11eb-93a8-01aa75ed71a1/language-en</vt:lpwstr>
      </vt:variant>
      <vt:variant>
        <vt:lpwstr/>
      </vt:variant>
      <vt:variant>
        <vt:i4>6160472</vt:i4>
      </vt:variant>
      <vt:variant>
        <vt:i4>8</vt:i4>
      </vt:variant>
      <vt:variant>
        <vt:i4>0</vt:i4>
      </vt:variant>
      <vt:variant>
        <vt:i4>5</vt:i4>
      </vt:variant>
      <vt:variant>
        <vt:lpwstr>https://economy-finance.ec.europa.eu/document/download/971dd209-41c2-425d-94f8-e3c3c3459af9_en?filename=ip279_en.pdf</vt:lpwstr>
      </vt:variant>
      <vt:variant>
        <vt:lpwstr/>
      </vt:variant>
      <vt:variant>
        <vt:i4>8323137</vt:i4>
      </vt:variant>
      <vt:variant>
        <vt:i4>6</vt:i4>
      </vt:variant>
      <vt:variant>
        <vt:i4>0</vt:i4>
      </vt:variant>
      <vt:variant>
        <vt:i4>5</vt:i4>
      </vt:variant>
      <vt:variant>
        <vt:lpwstr>https://economy-finance.ec.europa.eu/publications/2021-ageing-report-underlying-assumptions-and-projection-methodologies_en</vt:lpwstr>
      </vt:variant>
      <vt:variant>
        <vt:lpwstr/>
      </vt:variant>
      <vt:variant>
        <vt:i4>196678</vt:i4>
      </vt:variant>
      <vt:variant>
        <vt:i4>3</vt:i4>
      </vt:variant>
      <vt:variant>
        <vt:i4>0</vt:i4>
      </vt:variant>
      <vt:variant>
        <vt:i4>5</vt:i4>
      </vt:variant>
      <vt:variant>
        <vt:lpwstr>https://publications.jrc.ec.europa.eu/repository/handle/JRC106760</vt:lpwstr>
      </vt:variant>
      <vt:variant>
        <vt:lpwstr/>
      </vt:variant>
      <vt:variant>
        <vt:i4>5374051</vt:i4>
      </vt:variant>
      <vt:variant>
        <vt:i4>0</vt:i4>
      </vt:variant>
      <vt:variant>
        <vt:i4>0</vt:i4>
      </vt:variant>
      <vt:variant>
        <vt:i4>5</vt:i4>
      </vt:variant>
      <vt:variant>
        <vt:lpwstr>https://ec.europa.eu/info/law/better-regulation/have-your-say/initiatives/14549-EU-emissions-trading-system-for-maritime-aviation-and-stationary-installations-and-market-stability-reserve-review_en</vt:lpwstr>
      </vt:variant>
      <vt:variant>
        <vt:lpwstr/>
      </vt:variant>
      <vt:variant>
        <vt:i4>3145746</vt:i4>
      </vt:variant>
      <vt:variant>
        <vt:i4>27</vt:i4>
      </vt:variant>
      <vt:variant>
        <vt:i4>0</vt:i4>
      </vt:variant>
      <vt:variant>
        <vt:i4>5</vt:i4>
      </vt:variant>
      <vt:variant>
        <vt:lpwstr>mailto:Bartlomiej.GURBA@ec.europa.eu</vt:lpwstr>
      </vt:variant>
      <vt:variant>
        <vt:lpwstr/>
      </vt:variant>
      <vt:variant>
        <vt:i4>983080</vt:i4>
      </vt:variant>
      <vt:variant>
        <vt:i4>24</vt:i4>
      </vt:variant>
      <vt:variant>
        <vt:i4>0</vt:i4>
      </vt:variant>
      <vt:variant>
        <vt:i4>5</vt:i4>
      </vt:variant>
      <vt:variant>
        <vt:lpwstr>mailto:Victoria.VOLOSSOV@ec.europa.eu</vt:lpwstr>
      </vt:variant>
      <vt:variant>
        <vt:lpwstr/>
      </vt:variant>
      <vt:variant>
        <vt:i4>983080</vt:i4>
      </vt:variant>
      <vt:variant>
        <vt:i4>21</vt:i4>
      </vt:variant>
      <vt:variant>
        <vt:i4>0</vt:i4>
      </vt:variant>
      <vt:variant>
        <vt:i4>5</vt:i4>
      </vt:variant>
      <vt:variant>
        <vt:lpwstr>mailto:Victoria.VOLOSSOV@ec.europa.eu</vt:lpwstr>
      </vt:variant>
      <vt:variant>
        <vt:lpwstr/>
      </vt:variant>
      <vt:variant>
        <vt:i4>1835042</vt:i4>
      </vt:variant>
      <vt:variant>
        <vt:i4>18</vt:i4>
      </vt:variant>
      <vt:variant>
        <vt:i4>0</vt:i4>
      </vt:variant>
      <vt:variant>
        <vt:i4>5</vt:i4>
      </vt:variant>
      <vt:variant>
        <vt:lpwstr>mailto:Lawrence.CAPPELLE@ec.europa.eu</vt:lpwstr>
      </vt:variant>
      <vt:variant>
        <vt:lpwstr/>
      </vt:variant>
      <vt:variant>
        <vt:i4>1835042</vt:i4>
      </vt:variant>
      <vt:variant>
        <vt:i4>15</vt:i4>
      </vt:variant>
      <vt:variant>
        <vt:i4>0</vt:i4>
      </vt:variant>
      <vt:variant>
        <vt:i4>5</vt:i4>
      </vt:variant>
      <vt:variant>
        <vt:lpwstr>mailto:Lawrence.CAPPELLE@ec.europa.eu</vt:lpwstr>
      </vt:variant>
      <vt:variant>
        <vt:lpwstr/>
      </vt:variant>
      <vt:variant>
        <vt:i4>3145746</vt:i4>
      </vt:variant>
      <vt:variant>
        <vt:i4>12</vt:i4>
      </vt:variant>
      <vt:variant>
        <vt:i4>0</vt:i4>
      </vt:variant>
      <vt:variant>
        <vt:i4>5</vt:i4>
      </vt:variant>
      <vt:variant>
        <vt:lpwstr>mailto:Bartlomiej.GURBA@ec.europa.eu</vt:lpwstr>
      </vt:variant>
      <vt:variant>
        <vt:lpwstr/>
      </vt:variant>
      <vt:variant>
        <vt:i4>3932234</vt:i4>
      </vt:variant>
      <vt:variant>
        <vt:i4>9</vt:i4>
      </vt:variant>
      <vt:variant>
        <vt:i4>0</vt:i4>
      </vt:variant>
      <vt:variant>
        <vt:i4>5</vt:i4>
      </vt:variant>
      <vt:variant>
        <vt:lpwstr>mailto:Marina.GARCIA-ALONSO@ec.europa.eu</vt:lpwstr>
      </vt:variant>
      <vt:variant>
        <vt:lpwstr/>
      </vt:variant>
      <vt:variant>
        <vt:i4>3145746</vt:i4>
      </vt:variant>
      <vt:variant>
        <vt:i4>6</vt:i4>
      </vt:variant>
      <vt:variant>
        <vt:i4>0</vt:i4>
      </vt:variant>
      <vt:variant>
        <vt:i4>5</vt:i4>
      </vt:variant>
      <vt:variant>
        <vt:lpwstr>mailto:Bartlomiej.GURBA@ec.europa.eu</vt:lpwstr>
      </vt:variant>
      <vt:variant>
        <vt:lpwstr/>
      </vt:variant>
      <vt:variant>
        <vt:i4>3276811</vt:i4>
      </vt:variant>
      <vt:variant>
        <vt:i4>3</vt:i4>
      </vt:variant>
      <vt:variant>
        <vt:i4>0</vt:i4>
      </vt:variant>
      <vt:variant>
        <vt:i4>5</vt:i4>
      </vt:variant>
      <vt:variant>
        <vt:lpwstr>mailto:Luca.COLONNA@ec.europa.eu</vt:lpwstr>
      </vt:variant>
      <vt:variant>
        <vt:lpwstr/>
      </vt:variant>
      <vt:variant>
        <vt:i4>131104</vt:i4>
      </vt:variant>
      <vt:variant>
        <vt:i4>0</vt:i4>
      </vt:variant>
      <vt:variant>
        <vt:i4>0</vt:i4>
      </vt:variant>
      <vt:variant>
        <vt:i4>5</vt:i4>
      </vt:variant>
      <vt:variant>
        <vt:lpwstr>mailto:Evangelia.STAMOULI@ec.europa.eu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2026-07-17T09:15:00Z</dcterms:created>
  <dcterms:modified xsi:type="dcterms:W3CDTF">2026-07-17T09:15:00Z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2026-07-15T07:55:59Z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39001c1e-fba2-44ce-9288-aab97329aefd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